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color w:val="0A1F44"/>
          <w:sz w:val="56"/>
        </w:rPr>
        <w:t>THE BROOKSIDE BRIEF</w:t>
      </w:r>
    </w:p>
    <w:p>
      <w:pPr>
        <w:spacing w:after="0"/>
        <w:jc w:val="center"/>
      </w:pPr>
      <w:r>
        <w:rPr>
          <w:i/>
          <w:color w:val="555555"/>
          <w:sz w:val="21"/>
        </w:rPr>
        <w:t>A morning briefing on markets, macro, and the day ahead</w:t>
      </w:r>
    </w:p>
    <w:p>
      <w:pPr>
        <w:spacing w:before="80" w:after="160"/>
        <w:jc w:val="center"/>
        <w:pBdr>
          <w:bottom w:val="single" w:sz="18" w:color="0A1F44"/>
        </w:pBdr>
      </w:pPr>
      <w:r>
        <w:rPr>
          <w:b/>
          <w:color w:val="C9A227"/>
          <w:sz w:val="20"/>
        </w:rPr>
        <w:t>Wednesday, May 20, 2026  •  9:30 AM ET</w:t>
      </w:r>
    </w:p>
    <w:p>
      <w:pPr>
        <w:spacing w:before="360" w:after="120"/>
        <w:pBdr>
          <w:bottom w:val="single" w:sz="12" w:color="C9A227"/>
        </w:pBdr>
      </w:pPr>
      <w:r>
        <w:rPr>
          <w:rFonts w:ascii="Calibri" w:hAnsi="Calibri"/>
          <w:b/>
          <w:color w:val="0A1F44"/>
          <w:sz w:val="26"/>
        </w:rPr>
        <w:t>1. THE MORNING SETUP</w:t>
      </w:r>
    </w:p>
    <w:p>
      <w:pPr>
        <w:spacing w:after="120"/>
      </w:pPr>
      <w:r>
        <w:rPr>
          <w:i w:val="0"/>
          <w:color w:val="101010"/>
          <w:sz w:val="21"/>
        </w:rPr>
        <w:t>Good morning, and welcome to the most consequential trading day of the quarter. After the closing bell tonight, Nvidia will report — and with it, deliver the single most important verdict the market will hear on whether the AI capital-expenditure supercycle is still accelerating or finally plateauing. The setup is electric: the stock has rebounded 1.6% pre-market to $224 and dragged the entire semiconductor complex up with it (Intel +4.8%, Marvell +4.7%, Micron +3.4%), snapping what had been a grim three-day slide.</w:t>
      </w:r>
    </w:p>
    <w:p>
      <w:pPr>
        <w:spacing w:after="120"/>
      </w:pPr>
      <w:r>
        <w:rPr>
          <w:i w:val="0"/>
          <w:color w:val="101010"/>
          <w:sz w:val="21"/>
        </w:rPr>
        <w:t>That slide has a name, and it is the long bond. The 30-year Treasury yield hit 5.198% yesterday — its highest level since July 2007, nearly nineteen years. A Bank of America fund manager survey out this morning shows 62% of respondents now expect the 30-year to eventually reach 6%, a level last seen in 1999. The S&amp;P 500 fell for a third straight session Tuesday, closing at 7,353.61, as the relentless climb in yields overwhelmed an otherwise calmer oil tape. This is the central tension of the moment: a still-humming earnings story colliding with a bond market that is rapidly repricing the entire cost of capital.</w:t>
      </w:r>
    </w:p>
    <w:p>
      <w:pPr>
        <w:spacing w:after="120"/>
      </w:pPr>
      <w:r>
        <w:rPr>
          <w:i w:val="0"/>
          <w:color w:val="101010"/>
          <w:sz w:val="21"/>
        </w:rPr>
        <w:t>There is real news beyond Nvidia today. Powell speaks at 9:00 a.m. at the Atlanta Fed — his first remarks since the hot CPI/PPI prints. The Treasury sells $16 billion of 20-year bonds at 1:00 p.m., a genuine stress test of demand at these levels. And the retail read continues: Lowe's beat this morning, Target reports before the open. But make no mistake — everything today is a warm-up act for 4:20 p.m., when Jensen Huang steps to the microphone.</w:t>
      </w:r>
    </w:p>
    <w:p>
      <w:pPr>
        <w:spacing w:before="360" w:after="120"/>
        <w:pBdr>
          <w:bottom w:val="single" w:sz="12" w:color="C9A227"/>
        </w:pBdr>
      </w:pPr>
      <w:r>
        <w:rPr>
          <w:rFonts w:ascii="Calibri" w:hAnsi="Calibri"/>
          <w:b/>
          <w:color w:val="0A1F44"/>
          <w:sz w:val="26"/>
        </w:rPr>
        <w:t>2. MARKETS AT A GLANCE</w:t>
      </w:r>
    </w:p>
    <w:p>
      <w:pPr>
        <w:spacing w:before="200" w:after="40"/>
      </w:pPr>
      <w:r>
        <w:rPr>
          <w:b/>
          <w:color w:val="0A1F44"/>
          <w:sz w:val="22"/>
        </w:rPr>
        <w:t>U.S. Equity Futures (pre-open)</w:t>
      </w:r>
    </w:p>
    <w:tbl>
      <w:tblPr>
        <w:tblW w:type="auto" w:w="0"/>
        <w:jc w:val="left"/>
        <w:tblLook w:firstColumn="1" w:firstRow="1" w:lastColumn="0" w:lastRow="0" w:noHBand="0" w:noVBand="1" w:val="04A0"/>
      </w:tblPr>
      <w:tblGrid>
        <w:gridCol w:w="2493"/>
        <w:gridCol w:w="2493"/>
        <w:gridCol w:w="2493"/>
        <w:gridCol w:w="2493"/>
      </w:tblGrid>
      <w:tr>
        <w:tc>
          <w:tcPr>
            <w:tcW w:type="dxa" w:w="2493"/>
            <w:shd w:val="clear" w:color="auto" w:fill="0A1F44"/>
          </w:tcPr>
          <w:p>
            <w:r>
              <w:rPr>
                <w:b/>
                <w:color w:val="FFFFFF"/>
                <w:sz w:val="20"/>
              </w:rPr>
              <w:t>Asset</w:t>
            </w:r>
          </w:p>
        </w:tc>
        <w:tc>
          <w:tcPr>
            <w:tcW w:type="dxa" w:w="2493"/>
            <w:shd w:val="clear" w:color="auto" w:fill="0A1F44"/>
          </w:tcPr>
          <w:p>
            <w:r>
              <w:rPr>
                <w:b/>
                <w:color w:val="FFFFFF"/>
                <w:sz w:val="20"/>
              </w:rPr>
              <w:t>Last</w:t>
            </w:r>
          </w:p>
        </w:tc>
        <w:tc>
          <w:tcPr>
            <w:tcW w:type="dxa" w:w="2493"/>
            <w:shd w:val="clear" w:color="auto" w:fill="0A1F44"/>
          </w:tcPr>
          <w:p>
            <w:r>
              <w:rPr>
                <w:b/>
                <w:color w:val="FFFFFF"/>
                <w:sz w:val="20"/>
              </w:rPr>
              <w:t>Change</w:t>
            </w:r>
          </w:p>
        </w:tc>
        <w:tc>
          <w:tcPr>
            <w:tcW w:type="dxa" w:w="2493"/>
            <w:shd w:val="clear" w:color="auto" w:fill="0A1F44"/>
          </w:tcPr>
          <w:p>
            <w:r>
              <w:rPr>
                <w:b/>
                <w:color w:val="FFFFFF"/>
                <w:sz w:val="20"/>
              </w:rPr>
              <w:t>% Chg</w:t>
            </w:r>
          </w:p>
        </w:tc>
      </w:tr>
      <w:tr>
        <w:tc>
          <w:tcPr>
            <w:tcW w:type="dxa" w:w="2493"/>
            <w:tcBorders>
              <w:top w:val="single" w:sz="4" w:color="BFBFBF"/>
              <w:bottom w:val="single" w:sz="4" w:color="BFBFBF"/>
            </w:tcBorders>
          </w:tcPr>
          <w:p>
            <w:r>
              <w:rPr>
                <w:sz w:val="20"/>
              </w:rPr>
              <w:t>S&amp;P 500 (ES)</w:t>
            </w:r>
          </w:p>
        </w:tc>
        <w:tc>
          <w:tcPr>
            <w:tcW w:type="dxa" w:w="2493"/>
            <w:tcBorders>
              <w:top w:val="single" w:sz="4" w:color="BFBFBF"/>
              <w:bottom w:val="single" w:sz="4" w:color="BFBFBF"/>
            </w:tcBorders>
          </w:tcPr>
          <w:p>
            <w:r>
              <w:rPr>
                <w:sz w:val="20"/>
              </w:rPr>
              <w:t>7,383</w:t>
            </w:r>
          </w:p>
        </w:tc>
        <w:tc>
          <w:tcPr>
            <w:tcW w:type="dxa" w:w="2493"/>
            <w:tcBorders>
              <w:top w:val="single" w:sz="4" w:color="BFBFBF"/>
              <w:bottom w:val="single" w:sz="4" w:color="BFBFBF"/>
            </w:tcBorders>
          </w:tcPr>
          <w:p>
            <w:r>
              <w:rPr>
                <w:color w:val="0B6B3A"/>
                <w:sz w:val="20"/>
              </w:rPr>
              <w:t>+30</w:t>
            </w:r>
          </w:p>
        </w:tc>
        <w:tc>
          <w:tcPr>
            <w:tcW w:type="dxa" w:w="2493"/>
            <w:tcBorders>
              <w:top w:val="single" w:sz="4" w:color="BFBFBF"/>
              <w:bottom w:val="single" w:sz="4" w:color="BFBFBF"/>
            </w:tcBorders>
          </w:tcPr>
          <w:p>
            <w:r>
              <w:rPr>
                <w:color w:val="0B6B3A"/>
                <w:sz w:val="20"/>
              </w:rPr>
              <w:t>+0.40%</w:t>
            </w:r>
          </w:p>
        </w:tc>
      </w:tr>
      <w:tr>
        <w:tc>
          <w:tcPr>
            <w:tcW w:type="dxa" w:w="2493"/>
            <w:shd w:val="clear" w:color="auto" w:fill="F4F1E8"/>
            <w:tcBorders>
              <w:top w:val="single" w:sz="4" w:color="BFBFBF"/>
              <w:bottom w:val="single" w:sz="4" w:color="BFBFBF"/>
            </w:tcBorders>
          </w:tcPr>
          <w:p>
            <w:r>
              <w:rPr>
                <w:sz w:val="20"/>
              </w:rPr>
              <w:t>Nasdaq 100 (NQ)</w:t>
            </w:r>
          </w:p>
        </w:tc>
        <w:tc>
          <w:tcPr>
            <w:tcW w:type="dxa" w:w="2493"/>
            <w:shd w:val="clear" w:color="auto" w:fill="F4F1E8"/>
            <w:tcBorders>
              <w:top w:val="single" w:sz="4" w:color="BFBFBF"/>
              <w:bottom w:val="single" w:sz="4" w:color="BFBFBF"/>
            </w:tcBorders>
          </w:tcPr>
          <w:p>
            <w:r>
              <w:rPr>
                <w:sz w:val="20"/>
              </w:rPr>
              <w:t>25,975</w:t>
            </w:r>
          </w:p>
        </w:tc>
        <w:tc>
          <w:tcPr>
            <w:tcW w:type="dxa" w:w="2493"/>
            <w:shd w:val="clear" w:color="auto" w:fill="F4F1E8"/>
            <w:tcBorders>
              <w:top w:val="single" w:sz="4" w:color="BFBFBF"/>
              <w:bottom w:val="single" w:sz="4" w:color="BFBFBF"/>
            </w:tcBorders>
          </w:tcPr>
          <w:p>
            <w:r>
              <w:rPr>
                <w:color w:val="0B6B3A"/>
                <w:sz w:val="20"/>
              </w:rPr>
              <w:t>+180</w:t>
            </w:r>
          </w:p>
        </w:tc>
        <w:tc>
          <w:tcPr>
            <w:tcW w:type="dxa" w:w="2493"/>
            <w:shd w:val="clear" w:color="auto" w:fill="F4F1E8"/>
            <w:tcBorders>
              <w:top w:val="single" w:sz="4" w:color="BFBFBF"/>
              <w:bottom w:val="single" w:sz="4" w:color="BFBFBF"/>
            </w:tcBorders>
          </w:tcPr>
          <w:p>
            <w:r>
              <w:rPr>
                <w:color w:val="0B6B3A"/>
                <w:sz w:val="20"/>
              </w:rPr>
              <w:t>+0.70%</w:t>
            </w:r>
          </w:p>
        </w:tc>
      </w:tr>
      <w:tr>
        <w:tc>
          <w:tcPr>
            <w:tcW w:type="dxa" w:w="2493"/>
            <w:tcBorders>
              <w:top w:val="single" w:sz="4" w:color="BFBFBF"/>
              <w:bottom w:val="single" w:sz="4" w:color="BFBFBF"/>
            </w:tcBorders>
          </w:tcPr>
          <w:p>
            <w:r>
              <w:rPr>
                <w:sz w:val="20"/>
              </w:rPr>
              <w:t>Dow (YM)</w:t>
            </w:r>
          </w:p>
        </w:tc>
        <w:tc>
          <w:tcPr>
            <w:tcW w:type="dxa" w:w="2493"/>
            <w:tcBorders>
              <w:top w:val="single" w:sz="4" w:color="BFBFBF"/>
              <w:bottom w:val="single" w:sz="4" w:color="BFBFBF"/>
            </w:tcBorders>
          </w:tcPr>
          <w:p>
            <w:r>
              <w:rPr>
                <w:sz w:val="20"/>
              </w:rPr>
              <w:t>49,470</w:t>
            </w:r>
          </w:p>
        </w:tc>
        <w:tc>
          <w:tcPr>
            <w:tcW w:type="dxa" w:w="2493"/>
            <w:tcBorders>
              <w:top w:val="single" w:sz="4" w:color="BFBFBF"/>
              <w:bottom w:val="single" w:sz="4" w:color="BFBFBF"/>
            </w:tcBorders>
          </w:tcPr>
          <w:p>
            <w:r>
              <w:rPr>
                <w:color w:val="0B6B3A"/>
                <w:sz w:val="20"/>
              </w:rPr>
              <w:t>+105</w:t>
            </w:r>
          </w:p>
        </w:tc>
        <w:tc>
          <w:tcPr>
            <w:tcW w:type="dxa" w:w="2493"/>
            <w:tcBorders>
              <w:top w:val="single" w:sz="4" w:color="BFBFBF"/>
              <w:bottom w:val="single" w:sz="4" w:color="BFBFBF"/>
            </w:tcBorders>
          </w:tcPr>
          <w:p>
            <w:r>
              <w:rPr>
                <w:color w:val="0B6B3A"/>
                <w:sz w:val="20"/>
              </w:rPr>
              <w:t>+0.21%</w:t>
            </w:r>
          </w:p>
        </w:tc>
      </w:tr>
      <w:tr>
        <w:tc>
          <w:tcPr>
            <w:tcW w:type="dxa" w:w="2493"/>
            <w:shd w:val="clear" w:color="auto" w:fill="F4F1E8"/>
            <w:tcBorders>
              <w:top w:val="single" w:sz="4" w:color="BFBFBF"/>
              <w:bottom w:val="single" w:sz="4" w:color="BFBFBF"/>
            </w:tcBorders>
          </w:tcPr>
          <w:p>
            <w:r>
              <w:rPr>
                <w:sz w:val="20"/>
              </w:rPr>
              <w:t>Russell 2000 (RTY)</w:t>
            </w:r>
          </w:p>
        </w:tc>
        <w:tc>
          <w:tcPr>
            <w:tcW w:type="dxa" w:w="2493"/>
            <w:shd w:val="clear" w:color="auto" w:fill="F4F1E8"/>
            <w:tcBorders>
              <w:top w:val="single" w:sz="4" w:color="BFBFBF"/>
              <w:bottom w:val="single" w:sz="4" w:color="BFBFBF"/>
            </w:tcBorders>
          </w:tcPr>
          <w:p>
            <w:r>
              <w:rPr>
                <w:sz w:val="20"/>
              </w:rPr>
              <w:t>2,242</w:t>
            </w:r>
          </w:p>
        </w:tc>
        <w:tc>
          <w:tcPr>
            <w:tcW w:type="dxa" w:w="2493"/>
            <w:shd w:val="clear" w:color="auto" w:fill="F4F1E8"/>
            <w:tcBorders>
              <w:top w:val="single" w:sz="4" w:color="BFBFBF"/>
              <w:bottom w:val="single" w:sz="4" w:color="BFBFBF"/>
            </w:tcBorders>
          </w:tcPr>
          <w:p>
            <w:r>
              <w:rPr>
                <w:color w:val="0B6B3A"/>
                <w:sz w:val="20"/>
              </w:rPr>
              <w:t>+8</w:t>
            </w:r>
          </w:p>
        </w:tc>
        <w:tc>
          <w:tcPr>
            <w:tcW w:type="dxa" w:w="2493"/>
            <w:shd w:val="clear" w:color="auto" w:fill="F4F1E8"/>
            <w:tcBorders>
              <w:top w:val="single" w:sz="4" w:color="BFBFBF"/>
              <w:bottom w:val="single" w:sz="4" w:color="BFBFBF"/>
            </w:tcBorders>
          </w:tcPr>
          <w:p>
            <w:r>
              <w:rPr>
                <w:color w:val="0B6B3A"/>
                <w:sz w:val="20"/>
              </w:rPr>
              <w:t>+0.36%</w:t>
            </w:r>
          </w:p>
        </w:tc>
      </w:tr>
    </w:tbl>
    <w:p>
      <w:pPr>
        <w:spacing w:before="200" w:after="40"/>
      </w:pPr>
      <w:r>
        <w:rPr>
          <w:b/>
          <w:color w:val="0A1F44"/>
          <w:sz w:val="22"/>
        </w:rPr>
        <w:t>Prior Close (Tuesday, May 19)</w:t>
      </w:r>
    </w:p>
    <w:tbl>
      <w:tblPr>
        <w:tblW w:type="auto" w:w="0"/>
        <w:jc w:val="left"/>
        <w:tblLook w:firstColumn="1" w:firstRow="1" w:lastColumn="0" w:lastRow="0" w:noHBand="0" w:noVBand="1" w:val="04A0"/>
      </w:tblPr>
      <w:tblGrid>
        <w:gridCol w:w="2493"/>
        <w:gridCol w:w="2493"/>
        <w:gridCol w:w="2493"/>
        <w:gridCol w:w="2493"/>
      </w:tblGrid>
      <w:tr>
        <w:tc>
          <w:tcPr>
            <w:tcW w:type="dxa" w:w="2493"/>
            <w:shd w:val="clear" w:color="auto" w:fill="0A1F44"/>
          </w:tcPr>
          <w:p>
            <w:r>
              <w:rPr>
                <w:b/>
                <w:color w:val="FFFFFF"/>
                <w:sz w:val="20"/>
              </w:rPr>
              <w:t>Asset</w:t>
            </w:r>
          </w:p>
        </w:tc>
        <w:tc>
          <w:tcPr>
            <w:tcW w:type="dxa" w:w="2493"/>
            <w:shd w:val="clear" w:color="auto" w:fill="0A1F44"/>
          </w:tcPr>
          <w:p>
            <w:r>
              <w:rPr>
                <w:b/>
                <w:color w:val="FFFFFF"/>
                <w:sz w:val="20"/>
              </w:rPr>
              <w:t>Last</w:t>
            </w:r>
          </w:p>
        </w:tc>
        <w:tc>
          <w:tcPr>
            <w:tcW w:type="dxa" w:w="2493"/>
            <w:shd w:val="clear" w:color="auto" w:fill="0A1F44"/>
          </w:tcPr>
          <w:p>
            <w:r>
              <w:rPr>
                <w:b/>
                <w:color w:val="FFFFFF"/>
                <w:sz w:val="20"/>
              </w:rPr>
              <w:t>Change</w:t>
            </w:r>
          </w:p>
        </w:tc>
        <w:tc>
          <w:tcPr>
            <w:tcW w:type="dxa" w:w="2493"/>
            <w:shd w:val="clear" w:color="auto" w:fill="0A1F44"/>
          </w:tcPr>
          <w:p>
            <w:r>
              <w:rPr>
                <w:b/>
                <w:color w:val="FFFFFF"/>
                <w:sz w:val="20"/>
              </w:rPr>
              <w:t>% Chg</w:t>
            </w:r>
          </w:p>
        </w:tc>
      </w:tr>
      <w:tr>
        <w:tc>
          <w:tcPr>
            <w:tcW w:type="dxa" w:w="2493"/>
            <w:tcBorders>
              <w:top w:val="single" w:sz="4" w:color="BFBFBF"/>
              <w:bottom w:val="single" w:sz="4" w:color="BFBFBF"/>
            </w:tcBorders>
          </w:tcPr>
          <w:p>
            <w:r>
              <w:rPr>
                <w:sz w:val="20"/>
              </w:rPr>
              <w:t>S&amp;P 500</w:t>
            </w:r>
          </w:p>
        </w:tc>
        <w:tc>
          <w:tcPr>
            <w:tcW w:type="dxa" w:w="2493"/>
            <w:tcBorders>
              <w:top w:val="single" w:sz="4" w:color="BFBFBF"/>
              <w:bottom w:val="single" w:sz="4" w:color="BFBFBF"/>
            </w:tcBorders>
          </w:tcPr>
          <w:p>
            <w:r>
              <w:rPr>
                <w:sz w:val="20"/>
              </w:rPr>
              <w:t>7,353.61</w:t>
            </w:r>
          </w:p>
        </w:tc>
        <w:tc>
          <w:tcPr>
            <w:tcW w:type="dxa" w:w="2493"/>
            <w:tcBorders>
              <w:top w:val="single" w:sz="4" w:color="BFBFBF"/>
              <w:bottom w:val="single" w:sz="4" w:color="BFBFBF"/>
            </w:tcBorders>
          </w:tcPr>
          <w:p>
            <w:r>
              <w:rPr>
                <w:color w:val="B31B1B"/>
                <w:sz w:val="20"/>
              </w:rPr>
              <w:t>-49.44</w:t>
            </w:r>
          </w:p>
        </w:tc>
        <w:tc>
          <w:tcPr>
            <w:tcW w:type="dxa" w:w="2493"/>
            <w:tcBorders>
              <w:top w:val="single" w:sz="4" w:color="BFBFBF"/>
              <w:bottom w:val="single" w:sz="4" w:color="BFBFBF"/>
            </w:tcBorders>
          </w:tcPr>
          <w:p>
            <w:r>
              <w:rPr>
                <w:color w:val="B31B1B"/>
                <w:sz w:val="20"/>
              </w:rPr>
              <w:t>-0.67%</w:t>
            </w:r>
          </w:p>
        </w:tc>
      </w:tr>
      <w:tr>
        <w:tc>
          <w:tcPr>
            <w:tcW w:type="dxa" w:w="2493"/>
            <w:shd w:val="clear" w:color="auto" w:fill="F4F1E8"/>
            <w:tcBorders>
              <w:top w:val="single" w:sz="4" w:color="BFBFBF"/>
              <w:bottom w:val="single" w:sz="4" w:color="BFBFBF"/>
            </w:tcBorders>
          </w:tcPr>
          <w:p>
            <w:r>
              <w:rPr>
                <w:sz w:val="20"/>
              </w:rPr>
              <w:t>Nasdaq Composite</w:t>
            </w:r>
          </w:p>
        </w:tc>
        <w:tc>
          <w:tcPr>
            <w:tcW w:type="dxa" w:w="2493"/>
            <w:shd w:val="clear" w:color="auto" w:fill="F4F1E8"/>
            <w:tcBorders>
              <w:top w:val="single" w:sz="4" w:color="BFBFBF"/>
              <w:bottom w:val="single" w:sz="4" w:color="BFBFBF"/>
            </w:tcBorders>
          </w:tcPr>
          <w:p>
            <w:r>
              <w:rPr>
                <w:sz w:val="20"/>
              </w:rPr>
              <w:t>25,870.71</w:t>
            </w:r>
          </w:p>
        </w:tc>
        <w:tc>
          <w:tcPr>
            <w:tcW w:type="dxa" w:w="2493"/>
            <w:shd w:val="clear" w:color="auto" w:fill="F4F1E8"/>
            <w:tcBorders>
              <w:top w:val="single" w:sz="4" w:color="BFBFBF"/>
              <w:bottom w:val="single" w:sz="4" w:color="BFBFBF"/>
            </w:tcBorders>
          </w:tcPr>
          <w:p>
            <w:r>
              <w:rPr>
                <w:color w:val="B31B1B"/>
                <w:sz w:val="20"/>
              </w:rPr>
              <w:t>-220.02</w:t>
            </w:r>
          </w:p>
        </w:tc>
        <w:tc>
          <w:tcPr>
            <w:tcW w:type="dxa" w:w="2493"/>
            <w:shd w:val="clear" w:color="auto" w:fill="F4F1E8"/>
            <w:tcBorders>
              <w:top w:val="single" w:sz="4" w:color="BFBFBF"/>
              <w:bottom w:val="single" w:sz="4" w:color="BFBFBF"/>
            </w:tcBorders>
          </w:tcPr>
          <w:p>
            <w:r>
              <w:rPr>
                <w:color w:val="B31B1B"/>
                <w:sz w:val="20"/>
              </w:rPr>
              <w:t>-0.84%</w:t>
            </w:r>
          </w:p>
        </w:tc>
      </w:tr>
      <w:tr>
        <w:tc>
          <w:tcPr>
            <w:tcW w:type="dxa" w:w="2493"/>
            <w:tcBorders>
              <w:top w:val="single" w:sz="4" w:color="BFBFBF"/>
              <w:bottom w:val="single" w:sz="4" w:color="BFBFBF"/>
            </w:tcBorders>
          </w:tcPr>
          <w:p>
            <w:r>
              <w:rPr>
                <w:sz w:val="20"/>
              </w:rPr>
              <w:t>Dow Jones Industrial Avg.</w:t>
            </w:r>
          </w:p>
        </w:tc>
        <w:tc>
          <w:tcPr>
            <w:tcW w:type="dxa" w:w="2493"/>
            <w:tcBorders>
              <w:top w:val="single" w:sz="4" w:color="BFBFBF"/>
              <w:bottom w:val="single" w:sz="4" w:color="BFBFBF"/>
            </w:tcBorders>
          </w:tcPr>
          <w:p>
            <w:r>
              <w:rPr>
                <w:sz w:val="20"/>
              </w:rPr>
              <w:t>49,363.88</w:t>
            </w:r>
          </w:p>
        </w:tc>
        <w:tc>
          <w:tcPr>
            <w:tcW w:type="dxa" w:w="2493"/>
            <w:tcBorders>
              <w:top w:val="single" w:sz="4" w:color="BFBFBF"/>
              <w:bottom w:val="single" w:sz="4" w:color="BFBFBF"/>
            </w:tcBorders>
          </w:tcPr>
          <w:p>
            <w:r>
              <w:rPr>
                <w:color w:val="B31B1B"/>
                <w:sz w:val="20"/>
              </w:rPr>
              <w:t>-322.24</w:t>
            </w:r>
          </w:p>
        </w:tc>
        <w:tc>
          <w:tcPr>
            <w:tcW w:type="dxa" w:w="2493"/>
            <w:tcBorders>
              <w:top w:val="single" w:sz="4" w:color="BFBFBF"/>
              <w:bottom w:val="single" w:sz="4" w:color="BFBFBF"/>
            </w:tcBorders>
          </w:tcPr>
          <w:p>
            <w:r>
              <w:rPr>
                <w:color w:val="B31B1B"/>
                <w:sz w:val="20"/>
              </w:rPr>
              <w:t>-0.65%</w:t>
            </w:r>
          </w:p>
        </w:tc>
      </w:tr>
      <w:tr>
        <w:tc>
          <w:tcPr>
            <w:tcW w:type="dxa" w:w="2493"/>
            <w:shd w:val="clear" w:color="auto" w:fill="F4F1E8"/>
            <w:tcBorders>
              <w:top w:val="single" w:sz="4" w:color="BFBFBF"/>
              <w:bottom w:val="single" w:sz="4" w:color="BFBFBF"/>
            </w:tcBorders>
          </w:tcPr>
          <w:p>
            <w:r>
              <w:rPr>
                <w:sz w:val="20"/>
              </w:rPr>
              <w:t>Russell 2000</w:t>
            </w:r>
          </w:p>
        </w:tc>
        <w:tc>
          <w:tcPr>
            <w:tcW w:type="dxa" w:w="2493"/>
            <w:shd w:val="clear" w:color="auto" w:fill="F4F1E8"/>
            <w:tcBorders>
              <w:top w:val="single" w:sz="4" w:color="BFBFBF"/>
              <w:bottom w:val="single" w:sz="4" w:color="BFBFBF"/>
            </w:tcBorders>
          </w:tcPr>
          <w:p>
            <w:r>
              <w:rPr>
                <w:sz w:val="20"/>
              </w:rPr>
              <w:t>2,233.90</w:t>
            </w:r>
          </w:p>
        </w:tc>
        <w:tc>
          <w:tcPr>
            <w:tcW w:type="dxa" w:w="2493"/>
            <w:shd w:val="clear" w:color="auto" w:fill="F4F1E8"/>
            <w:tcBorders>
              <w:top w:val="single" w:sz="4" w:color="BFBFBF"/>
              <w:bottom w:val="single" w:sz="4" w:color="BFBFBF"/>
            </w:tcBorders>
          </w:tcPr>
          <w:p>
            <w:r>
              <w:rPr>
                <w:color w:val="B31B1B"/>
                <w:sz w:val="20"/>
              </w:rPr>
              <w:t>-4.15</w:t>
            </w:r>
          </w:p>
        </w:tc>
        <w:tc>
          <w:tcPr>
            <w:tcW w:type="dxa" w:w="2493"/>
            <w:shd w:val="clear" w:color="auto" w:fill="F4F1E8"/>
            <w:tcBorders>
              <w:top w:val="single" w:sz="4" w:color="BFBFBF"/>
              <w:bottom w:val="single" w:sz="4" w:color="BFBFBF"/>
            </w:tcBorders>
          </w:tcPr>
          <w:p>
            <w:r>
              <w:rPr>
                <w:color w:val="B31B1B"/>
                <w:sz w:val="20"/>
              </w:rPr>
              <w:t>-0.19%</w:t>
            </w:r>
          </w:p>
        </w:tc>
      </w:tr>
      <w:tr>
        <w:tc>
          <w:tcPr>
            <w:tcW w:type="dxa" w:w="2493"/>
            <w:tcBorders>
              <w:top w:val="single" w:sz="4" w:color="BFBFBF"/>
              <w:bottom w:val="single" w:sz="4" w:color="BFBFBF"/>
            </w:tcBorders>
          </w:tcPr>
          <w:p>
            <w:r>
              <w:rPr>
                <w:sz w:val="20"/>
              </w:rPr>
              <w:t>VIX</w:t>
            </w:r>
          </w:p>
        </w:tc>
        <w:tc>
          <w:tcPr>
            <w:tcW w:type="dxa" w:w="2493"/>
            <w:tcBorders>
              <w:top w:val="single" w:sz="4" w:color="BFBFBF"/>
              <w:bottom w:val="single" w:sz="4" w:color="BFBFBF"/>
            </w:tcBorders>
          </w:tcPr>
          <w:p>
            <w:r>
              <w:rPr>
                <w:sz w:val="20"/>
              </w:rPr>
              <w:t>21.6</w:t>
            </w:r>
          </w:p>
        </w:tc>
        <w:tc>
          <w:tcPr>
            <w:tcW w:type="dxa" w:w="2493"/>
            <w:tcBorders>
              <w:top w:val="single" w:sz="4" w:color="BFBFBF"/>
              <w:bottom w:val="single" w:sz="4" w:color="BFBFBF"/>
            </w:tcBorders>
          </w:tcPr>
          <w:p>
            <w:r>
              <w:rPr>
                <w:color w:val="0B6B3A"/>
                <w:sz w:val="20"/>
              </w:rPr>
              <w:t>+1.2</w:t>
            </w:r>
          </w:p>
        </w:tc>
        <w:tc>
          <w:tcPr>
            <w:tcW w:type="dxa" w:w="2493"/>
            <w:tcBorders>
              <w:top w:val="single" w:sz="4" w:color="BFBFBF"/>
              <w:bottom w:val="single" w:sz="4" w:color="BFBFBF"/>
            </w:tcBorders>
          </w:tcPr>
          <w:p>
            <w:r>
              <w:rPr>
                <w:color w:val="0B6B3A"/>
                <w:sz w:val="20"/>
              </w:rPr>
              <w:t>+5.9%</w:t>
            </w:r>
          </w:p>
        </w:tc>
      </w:tr>
    </w:tbl>
    <w:p>
      <w:pPr>
        <w:spacing w:before="200" w:after="40"/>
      </w:pPr>
      <w:r>
        <w:rPr>
          <w:b/>
          <w:color w:val="0A1F44"/>
          <w:sz w:val="22"/>
        </w:rPr>
        <w:t>Rates &amp; FX</w:t>
      </w:r>
    </w:p>
    <w:tbl>
      <w:tblPr>
        <w:tblW w:type="auto" w:w="0"/>
        <w:jc w:val="left"/>
        <w:tblLook w:firstColumn="1" w:firstRow="1" w:lastColumn="0" w:lastRow="0" w:noHBand="0" w:noVBand="1" w:val="04A0"/>
      </w:tblPr>
      <w:tblGrid>
        <w:gridCol w:w="2493"/>
        <w:gridCol w:w="2493"/>
        <w:gridCol w:w="2493"/>
        <w:gridCol w:w="2493"/>
      </w:tblGrid>
      <w:tr>
        <w:tc>
          <w:tcPr>
            <w:tcW w:type="dxa" w:w="2493"/>
            <w:shd w:val="clear" w:color="auto" w:fill="0A1F44"/>
          </w:tcPr>
          <w:p>
            <w:r>
              <w:rPr>
                <w:b/>
                <w:color w:val="FFFFFF"/>
                <w:sz w:val="20"/>
              </w:rPr>
              <w:t>Asset</w:t>
            </w:r>
          </w:p>
        </w:tc>
        <w:tc>
          <w:tcPr>
            <w:tcW w:type="dxa" w:w="2493"/>
            <w:shd w:val="clear" w:color="auto" w:fill="0A1F44"/>
          </w:tcPr>
          <w:p>
            <w:r>
              <w:rPr>
                <w:b/>
                <w:color w:val="FFFFFF"/>
                <w:sz w:val="20"/>
              </w:rPr>
              <w:t>Last</w:t>
            </w:r>
          </w:p>
        </w:tc>
        <w:tc>
          <w:tcPr>
            <w:tcW w:type="dxa" w:w="2493"/>
            <w:shd w:val="clear" w:color="auto" w:fill="0A1F44"/>
          </w:tcPr>
          <w:p>
            <w:r>
              <w:rPr>
                <w:b/>
                <w:color w:val="FFFFFF"/>
                <w:sz w:val="20"/>
              </w:rPr>
              <w:t>Change</w:t>
            </w:r>
          </w:p>
        </w:tc>
        <w:tc>
          <w:tcPr>
            <w:tcW w:type="dxa" w:w="2493"/>
            <w:shd w:val="clear" w:color="auto" w:fill="0A1F44"/>
          </w:tcPr>
          <w:p>
            <w:r>
              <w:rPr>
                <w:b/>
                <w:color w:val="FFFFFF"/>
                <w:sz w:val="20"/>
              </w:rPr>
              <w:t>% Chg</w:t>
            </w:r>
          </w:p>
        </w:tc>
      </w:tr>
      <w:tr>
        <w:tc>
          <w:tcPr>
            <w:tcW w:type="dxa" w:w="2493"/>
            <w:tcBorders>
              <w:top w:val="single" w:sz="4" w:color="BFBFBF"/>
              <w:bottom w:val="single" w:sz="4" w:color="BFBFBF"/>
            </w:tcBorders>
          </w:tcPr>
          <w:p>
            <w:r>
              <w:rPr>
                <w:sz w:val="20"/>
              </w:rPr>
              <w:t>UST 2-Year</w:t>
            </w:r>
          </w:p>
        </w:tc>
        <w:tc>
          <w:tcPr>
            <w:tcW w:type="dxa" w:w="2493"/>
            <w:tcBorders>
              <w:top w:val="single" w:sz="4" w:color="BFBFBF"/>
              <w:bottom w:val="single" w:sz="4" w:color="BFBFBF"/>
            </w:tcBorders>
          </w:tcPr>
          <w:p>
            <w:r>
              <w:rPr>
                <w:sz w:val="20"/>
              </w:rPr>
              <w:t>4.39%</w:t>
            </w:r>
          </w:p>
        </w:tc>
        <w:tc>
          <w:tcPr>
            <w:tcW w:type="dxa" w:w="2493"/>
            <w:tcBorders>
              <w:top w:val="single" w:sz="4" w:color="BFBFBF"/>
              <w:bottom w:val="single" w:sz="4" w:color="BFBFBF"/>
            </w:tcBorders>
          </w:tcPr>
          <w:p>
            <w:r>
              <w:rPr>
                <w:color w:val="0B6B3A"/>
                <w:sz w:val="20"/>
              </w:rPr>
              <w:t>+3 bps</w:t>
            </w:r>
          </w:p>
        </w:tc>
        <w:tc>
          <w:tcPr>
            <w:tcW w:type="dxa" w:w="2493"/>
            <w:tcBorders>
              <w:top w:val="single" w:sz="4" w:color="BFBFBF"/>
              <w:bottom w:val="single" w:sz="4" w:color="BFBFBF"/>
            </w:tcBorders>
          </w:tcPr>
          <w:p>
            <w:r>
              <w:rPr>
                <w:sz w:val="20"/>
              </w:rPr>
              <w:t>—</w:t>
            </w:r>
          </w:p>
        </w:tc>
      </w:tr>
      <w:tr>
        <w:tc>
          <w:tcPr>
            <w:tcW w:type="dxa" w:w="2493"/>
            <w:shd w:val="clear" w:color="auto" w:fill="F4F1E8"/>
            <w:tcBorders>
              <w:top w:val="single" w:sz="4" w:color="BFBFBF"/>
              <w:bottom w:val="single" w:sz="4" w:color="BFBFBF"/>
            </w:tcBorders>
          </w:tcPr>
          <w:p>
            <w:r>
              <w:rPr>
                <w:sz w:val="20"/>
              </w:rPr>
              <w:t>UST 10-Year</w:t>
            </w:r>
          </w:p>
        </w:tc>
        <w:tc>
          <w:tcPr>
            <w:tcW w:type="dxa" w:w="2493"/>
            <w:shd w:val="clear" w:color="auto" w:fill="F4F1E8"/>
            <w:tcBorders>
              <w:top w:val="single" w:sz="4" w:color="BFBFBF"/>
              <w:bottom w:val="single" w:sz="4" w:color="BFBFBF"/>
            </w:tcBorders>
          </w:tcPr>
          <w:p>
            <w:r>
              <w:rPr>
                <w:sz w:val="20"/>
              </w:rPr>
              <w:t>4.67%</w:t>
            </w:r>
          </w:p>
        </w:tc>
        <w:tc>
          <w:tcPr>
            <w:tcW w:type="dxa" w:w="2493"/>
            <w:shd w:val="clear" w:color="auto" w:fill="F4F1E8"/>
            <w:tcBorders>
              <w:top w:val="single" w:sz="4" w:color="BFBFBF"/>
              <w:bottom w:val="single" w:sz="4" w:color="BFBFBF"/>
            </w:tcBorders>
          </w:tcPr>
          <w:p>
            <w:r>
              <w:rPr>
                <w:color w:val="0B6B3A"/>
                <w:sz w:val="20"/>
              </w:rPr>
              <w:t>+7 bps</w:t>
            </w:r>
          </w:p>
        </w:tc>
        <w:tc>
          <w:tcPr>
            <w:tcW w:type="dxa" w:w="2493"/>
            <w:shd w:val="clear" w:color="auto" w:fill="F4F1E8"/>
            <w:tcBorders>
              <w:top w:val="single" w:sz="4" w:color="BFBFBF"/>
              <w:bottom w:val="single" w:sz="4" w:color="BFBFBF"/>
            </w:tcBorders>
          </w:tcPr>
          <w:p>
            <w:r>
              <w:rPr>
                <w:sz w:val="20"/>
              </w:rPr>
              <w:t>—</w:t>
            </w:r>
          </w:p>
        </w:tc>
      </w:tr>
      <w:tr>
        <w:tc>
          <w:tcPr>
            <w:tcW w:type="dxa" w:w="2493"/>
            <w:tcBorders>
              <w:top w:val="single" w:sz="4" w:color="BFBFBF"/>
              <w:bottom w:val="single" w:sz="4" w:color="BFBFBF"/>
            </w:tcBorders>
          </w:tcPr>
          <w:p>
            <w:r>
              <w:rPr>
                <w:sz w:val="20"/>
              </w:rPr>
              <w:t>UST 30-Year</w:t>
            </w:r>
          </w:p>
        </w:tc>
        <w:tc>
          <w:tcPr>
            <w:tcW w:type="dxa" w:w="2493"/>
            <w:tcBorders>
              <w:top w:val="single" w:sz="4" w:color="BFBFBF"/>
              <w:bottom w:val="single" w:sz="4" w:color="BFBFBF"/>
            </w:tcBorders>
          </w:tcPr>
          <w:p>
            <w:r>
              <w:rPr>
                <w:sz w:val="20"/>
              </w:rPr>
              <w:t>5.19%</w:t>
            </w:r>
          </w:p>
        </w:tc>
        <w:tc>
          <w:tcPr>
            <w:tcW w:type="dxa" w:w="2493"/>
            <w:tcBorders>
              <w:top w:val="single" w:sz="4" w:color="BFBFBF"/>
              <w:bottom w:val="single" w:sz="4" w:color="BFBFBF"/>
            </w:tcBorders>
          </w:tcPr>
          <w:p>
            <w:r>
              <w:rPr>
                <w:color w:val="0B6B3A"/>
                <w:sz w:val="20"/>
              </w:rPr>
              <w:t>+7 bps</w:t>
            </w:r>
          </w:p>
        </w:tc>
        <w:tc>
          <w:tcPr>
            <w:tcW w:type="dxa" w:w="2493"/>
            <w:tcBorders>
              <w:top w:val="single" w:sz="4" w:color="BFBFBF"/>
              <w:bottom w:val="single" w:sz="4" w:color="BFBFBF"/>
            </w:tcBorders>
          </w:tcPr>
          <w:p>
            <w:r>
              <w:rPr>
                <w:sz w:val="20"/>
              </w:rPr>
              <w:t>19-yr high</w:t>
            </w:r>
          </w:p>
        </w:tc>
      </w:tr>
      <w:tr>
        <w:tc>
          <w:tcPr>
            <w:tcW w:type="dxa" w:w="2493"/>
            <w:shd w:val="clear" w:color="auto" w:fill="F4F1E8"/>
            <w:tcBorders>
              <w:top w:val="single" w:sz="4" w:color="BFBFBF"/>
              <w:bottom w:val="single" w:sz="4" w:color="BFBFBF"/>
            </w:tcBorders>
          </w:tcPr>
          <w:p>
            <w:r>
              <w:rPr>
                <w:sz w:val="20"/>
              </w:rPr>
              <w:t>DXY (Dollar Index)</w:t>
            </w:r>
          </w:p>
        </w:tc>
        <w:tc>
          <w:tcPr>
            <w:tcW w:type="dxa" w:w="2493"/>
            <w:shd w:val="clear" w:color="auto" w:fill="F4F1E8"/>
            <w:tcBorders>
              <w:top w:val="single" w:sz="4" w:color="BFBFBF"/>
              <w:bottom w:val="single" w:sz="4" w:color="BFBFBF"/>
            </w:tcBorders>
          </w:tcPr>
          <w:p>
            <w:r>
              <w:rPr>
                <w:sz w:val="20"/>
              </w:rPr>
              <w:t>99.45</w:t>
            </w:r>
          </w:p>
        </w:tc>
        <w:tc>
          <w:tcPr>
            <w:tcW w:type="dxa" w:w="2493"/>
            <w:shd w:val="clear" w:color="auto" w:fill="F4F1E8"/>
            <w:tcBorders>
              <w:top w:val="single" w:sz="4" w:color="BFBFBF"/>
              <w:bottom w:val="single" w:sz="4" w:color="BFBFBF"/>
            </w:tcBorders>
          </w:tcPr>
          <w:p>
            <w:r>
              <w:rPr>
                <w:color w:val="0B6B3A"/>
                <w:sz w:val="20"/>
              </w:rPr>
              <w:t>+0.27</w:t>
            </w:r>
          </w:p>
        </w:tc>
        <w:tc>
          <w:tcPr>
            <w:tcW w:type="dxa" w:w="2493"/>
            <w:shd w:val="clear" w:color="auto" w:fill="F4F1E8"/>
            <w:tcBorders>
              <w:top w:val="single" w:sz="4" w:color="BFBFBF"/>
              <w:bottom w:val="single" w:sz="4" w:color="BFBFBF"/>
            </w:tcBorders>
          </w:tcPr>
          <w:p>
            <w:r>
              <w:rPr>
                <w:color w:val="0B6B3A"/>
                <w:sz w:val="20"/>
              </w:rPr>
              <w:t>+0.27%</w:t>
            </w:r>
          </w:p>
        </w:tc>
      </w:tr>
      <w:tr>
        <w:tc>
          <w:tcPr>
            <w:tcW w:type="dxa" w:w="2493"/>
            <w:tcBorders>
              <w:top w:val="single" w:sz="4" w:color="BFBFBF"/>
              <w:bottom w:val="single" w:sz="4" w:color="BFBFBF"/>
            </w:tcBorders>
          </w:tcPr>
          <w:p>
            <w:r>
              <w:rPr>
                <w:sz w:val="20"/>
              </w:rPr>
              <w:t>EUR/USD</w:t>
            </w:r>
          </w:p>
        </w:tc>
        <w:tc>
          <w:tcPr>
            <w:tcW w:type="dxa" w:w="2493"/>
            <w:tcBorders>
              <w:top w:val="single" w:sz="4" w:color="BFBFBF"/>
              <w:bottom w:val="single" w:sz="4" w:color="BFBFBF"/>
            </w:tcBorders>
          </w:tcPr>
          <w:p>
            <w:r>
              <w:rPr>
                <w:sz w:val="20"/>
              </w:rPr>
              <w:t>1.0708</w:t>
            </w:r>
          </w:p>
        </w:tc>
        <w:tc>
          <w:tcPr>
            <w:tcW w:type="dxa" w:w="2493"/>
            <w:tcBorders>
              <w:top w:val="single" w:sz="4" w:color="BFBFBF"/>
              <w:bottom w:val="single" w:sz="4" w:color="BFBFBF"/>
            </w:tcBorders>
          </w:tcPr>
          <w:p>
            <w:r>
              <w:rPr>
                <w:color w:val="B31B1B"/>
                <w:sz w:val="20"/>
              </w:rPr>
              <w:t>-0.0034</w:t>
            </w:r>
          </w:p>
        </w:tc>
        <w:tc>
          <w:tcPr>
            <w:tcW w:type="dxa" w:w="2493"/>
            <w:tcBorders>
              <w:top w:val="single" w:sz="4" w:color="BFBFBF"/>
              <w:bottom w:val="single" w:sz="4" w:color="BFBFBF"/>
            </w:tcBorders>
          </w:tcPr>
          <w:p>
            <w:r>
              <w:rPr>
                <w:color w:val="B31B1B"/>
                <w:sz w:val="20"/>
              </w:rPr>
              <w:t>-0.32%</w:t>
            </w:r>
          </w:p>
        </w:tc>
      </w:tr>
      <w:tr>
        <w:tc>
          <w:tcPr>
            <w:tcW w:type="dxa" w:w="2493"/>
            <w:shd w:val="clear" w:color="auto" w:fill="F4F1E8"/>
            <w:tcBorders>
              <w:top w:val="single" w:sz="4" w:color="BFBFBF"/>
              <w:bottom w:val="single" w:sz="4" w:color="BFBFBF"/>
            </w:tcBorders>
          </w:tcPr>
          <w:p>
            <w:r>
              <w:rPr>
                <w:sz w:val="20"/>
              </w:rPr>
              <w:t>USD/JPY</w:t>
            </w:r>
          </w:p>
        </w:tc>
        <w:tc>
          <w:tcPr>
            <w:tcW w:type="dxa" w:w="2493"/>
            <w:shd w:val="clear" w:color="auto" w:fill="F4F1E8"/>
            <w:tcBorders>
              <w:top w:val="single" w:sz="4" w:color="BFBFBF"/>
              <w:bottom w:val="single" w:sz="4" w:color="BFBFBF"/>
            </w:tcBorders>
          </w:tcPr>
          <w:p>
            <w:r>
              <w:rPr>
                <w:sz w:val="20"/>
              </w:rPr>
              <w:t>158.90</w:t>
            </w:r>
          </w:p>
        </w:tc>
        <w:tc>
          <w:tcPr>
            <w:tcW w:type="dxa" w:w="2493"/>
            <w:shd w:val="clear" w:color="auto" w:fill="F4F1E8"/>
            <w:tcBorders>
              <w:top w:val="single" w:sz="4" w:color="BFBFBF"/>
              <w:bottom w:val="single" w:sz="4" w:color="BFBFBF"/>
            </w:tcBorders>
          </w:tcPr>
          <w:p>
            <w:r>
              <w:rPr>
                <w:color w:val="0B6B3A"/>
                <w:sz w:val="20"/>
              </w:rPr>
              <w:t>+0.70</w:t>
            </w:r>
          </w:p>
        </w:tc>
        <w:tc>
          <w:tcPr>
            <w:tcW w:type="dxa" w:w="2493"/>
            <w:shd w:val="clear" w:color="auto" w:fill="F4F1E8"/>
            <w:tcBorders>
              <w:top w:val="single" w:sz="4" w:color="BFBFBF"/>
              <w:bottom w:val="single" w:sz="4" w:color="BFBFBF"/>
            </w:tcBorders>
          </w:tcPr>
          <w:p>
            <w:r>
              <w:rPr>
                <w:color w:val="0B6B3A"/>
                <w:sz w:val="20"/>
              </w:rPr>
              <w:t>+0.44%</w:t>
            </w:r>
          </w:p>
        </w:tc>
      </w:tr>
    </w:tbl>
    <w:p>
      <w:pPr>
        <w:spacing w:before="200" w:after="40"/>
      </w:pPr>
      <w:r>
        <w:rPr>
          <w:b/>
          <w:color w:val="0A1F44"/>
          <w:sz w:val="22"/>
        </w:rPr>
        <w:t>Commodities &amp; Crypto</w:t>
      </w:r>
    </w:p>
    <w:tbl>
      <w:tblPr>
        <w:tblW w:type="auto" w:w="0"/>
        <w:jc w:val="left"/>
        <w:tblLook w:firstColumn="1" w:firstRow="1" w:lastColumn="0" w:lastRow="0" w:noHBand="0" w:noVBand="1" w:val="04A0"/>
      </w:tblPr>
      <w:tblGrid>
        <w:gridCol w:w="2493"/>
        <w:gridCol w:w="2493"/>
        <w:gridCol w:w="2493"/>
        <w:gridCol w:w="2493"/>
      </w:tblGrid>
      <w:tr>
        <w:tc>
          <w:tcPr>
            <w:tcW w:type="dxa" w:w="2493"/>
            <w:shd w:val="clear" w:color="auto" w:fill="0A1F44"/>
          </w:tcPr>
          <w:p>
            <w:r>
              <w:rPr>
                <w:b/>
                <w:color w:val="FFFFFF"/>
                <w:sz w:val="20"/>
              </w:rPr>
              <w:t>Asset</w:t>
            </w:r>
          </w:p>
        </w:tc>
        <w:tc>
          <w:tcPr>
            <w:tcW w:type="dxa" w:w="2493"/>
            <w:shd w:val="clear" w:color="auto" w:fill="0A1F44"/>
          </w:tcPr>
          <w:p>
            <w:r>
              <w:rPr>
                <w:b/>
                <w:color w:val="FFFFFF"/>
                <w:sz w:val="20"/>
              </w:rPr>
              <w:t>Last</w:t>
            </w:r>
          </w:p>
        </w:tc>
        <w:tc>
          <w:tcPr>
            <w:tcW w:type="dxa" w:w="2493"/>
            <w:shd w:val="clear" w:color="auto" w:fill="0A1F44"/>
          </w:tcPr>
          <w:p>
            <w:r>
              <w:rPr>
                <w:b/>
                <w:color w:val="FFFFFF"/>
                <w:sz w:val="20"/>
              </w:rPr>
              <w:t>Change</w:t>
            </w:r>
          </w:p>
        </w:tc>
        <w:tc>
          <w:tcPr>
            <w:tcW w:type="dxa" w:w="2493"/>
            <w:shd w:val="clear" w:color="auto" w:fill="0A1F44"/>
          </w:tcPr>
          <w:p>
            <w:r>
              <w:rPr>
                <w:b/>
                <w:color w:val="FFFFFF"/>
                <w:sz w:val="20"/>
              </w:rPr>
              <w:t>% Chg</w:t>
            </w:r>
          </w:p>
        </w:tc>
      </w:tr>
      <w:tr>
        <w:tc>
          <w:tcPr>
            <w:tcW w:type="dxa" w:w="2493"/>
            <w:tcBorders>
              <w:top w:val="single" w:sz="4" w:color="BFBFBF"/>
              <w:bottom w:val="single" w:sz="4" w:color="BFBFBF"/>
            </w:tcBorders>
          </w:tcPr>
          <w:p>
            <w:r>
              <w:rPr>
                <w:sz w:val="20"/>
              </w:rPr>
              <w:t>WTI Crude (Jun)</w:t>
            </w:r>
          </w:p>
        </w:tc>
        <w:tc>
          <w:tcPr>
            <w:tcW w:type="dxa" w:w="2493"/>
            <w:tcBorders>
              <w:top w:val="single" w:sz="4" w:color="BFBFBF"/>
              <w:bottom w:val="single" w:sz="4" w:color="BFBFBF"/>
            </w:tcBorders>
          </w:tcPr>
          <w:p>
            <w:r>
              <w:rPr>
                <w:sz w:val="20"/>
              </w:rPr>
              <w:t>$102.40</w:t>
            </w:r>
          </w:p>
        </w:tc>
        <w:tc>
          <w:tcPr>
            <w:tcW w:type="dxa" w:w="2493"/>
            <w:tcBorders>
              <w:top w:val="single" w:sz="4" w:color="BFBFBF"/>
              <w:bottom w:val="single" w:sz="4" w:color="BFBFBF"/>
            </w:tcBorders>
          </w:tcPr>
          <w:p>
            <w:r>
              <w:rPr>
                <w:color w:val="B31B1B"/>
                <w:sz w:val="20"/>
              </w:rPr>
              <w:t>-$0.70</w:t>
            </w:r>
          </w:p>
        </w:tc>
        <w:tc>
          <w:tcPr>
            <w:tcW w:type="dxa" w:w="2493"/>
            <w:tcBorders>
              <w:top w:val="single" w:sz="4" w:color="BFBFBF"/>
              <w:bottom w:val="single" w:sz="4" w:color="BFBFBF"/>
            </w:tcBorders>
          </w:tcPr>
          <w:p>
            <w:r>
              <w:rPr>
                <w:color w:val="B31B1B"/>
                <w:sz w:val="20"/>
              </w:rPr>
              <w:t>-0.68%</w:t>
            </w:r>
          </w:p>
        </w:tc>
      </w:tr>
      <w:tr>
        <w:tc>
          <w:tcPr>
            <w:tcW w:type="dxa" w:w="2493"/>
            <w:shd w:val="clear" w:color="auto" w:fill="F4F1E8"/>
            <w:tcBorders>
              <w:top w:val="single" w:sz="4" w:color="BFBFBF"/>
              <w:bottom w:val="single" w:sz="4" w:color="BFBFBF"/>
            </w:tcBorders>
          </w:tcPr>
          <w:p>
            <w:r>
              <w:rPr>
                <w:sz w:val="20"/>
              </w:rPr>
              <w:t>Brent Crude (Jul)</w:t>
            </w:r>
          </w:p>
        </w:tc>
        <w:tc>
          <w:tcPr>
            <w:tcW w:type="dxa" w:w="2493"/>
            <w:shd w:val="clear" w:color="auto" w:fill="F4F1E8"/>
            <w:tcBorders>
              <w:top w:val="single" w:sz="4" w:color="BFBFBF"/>
              <w:bottom w:val="single" w:sz="4" w:color="BFBFBF"/>
            </w:tcBorders>
          </w:tcPr>
          <w:p>
            <w:r>
              <w:rPr>
                <w:sz w:val="20"/>
              </w:rPr>
              <w:t>$106.10</w:t>
            </w:r>
          </w:p>
        </w:tc>
        <w:tc>
          <w:tcPr>
            <w:tcW w:type="dxa" w:w="2493"/>
            <w:shd w:val="clear" w:color="auto" w:fill="F4F1E8"/>
            <w:tcBorders>
              <w:top w:val="single" w:sz="4" w:color="BFBFBF"/>
              <w:bottom w:val="single" w:sz="4" w:color="BFBFBF"/>
            </w:tcBorders>
          </w:tcPr>
          <w:p>
            <w:r>
              <w:rPr>
                <w:color w:val="B31B1B"/>
                <w:sz w:val="20"/>
              </w:rPr>
              <w:t>-$0.75</w:t>
            </w:r>
          </w:p>
        </w:tc>
        <w:tc>
          <w:tcPr>
            <w:tcW w:type="dxa" w:w="2493"/>
            <w:shd w:val="clear" w:color="auto" w:fill="F4F1E8"/>
            <w:tcBorders>
              <w:top w:val="single" w:sz="4" w:color="BFBFBF"/>
              <w:bottom w:val="single" w:sz="4" w:color="BFBFBF"/>
            </w:tcBorders>
          </w:tcPr>
          <w:p>
            <w:r>
              <w:rPr>
                <w:color w:val="B31B1B"/>
                <w:sz w:val="20"/>
              </w:rPr>
              <w:t>-0.70%</w:t>
            </w:r>
          </w:p>
        </w:tc>
      </w:tr>
      <w:tr>
        <w:tc>
          <w:tcPr>
            <w:tcW w:type="dxa" w:w="2493"/>
            <w:tcBorders>
              <w:top w:val="single" w:sz="4" w:color="BFBFBF"/>
              <w:bottom w:val="single" w:sz="4" w:color="BFBFBF"/>
            </w:tcBorders>
          </w:tcPr>
          <w:p>
            <w:r>
              <w:rPr>
                <w:sz w:val="20"/>
              </w:rPr>
              <w:t>Gold (spot)</w:t>
            </w:r>
          </w:p>
        </w:tc>
        <w:tc>
          <w:tcPr>
            <w:tcW w:type="dxa" w:w="2493"/>
            <w:tcBorders>
              <w:top w:val="single" w:sz="4" w:color="BFBFBF"/>
              <w:bottom w:val="single" w:sz="4" w:color="BFBFBF"/>
            </w:tcBorders>
          </w:tcPr>
          <w:p>
            <w:r>
              <w:rPr>
                <w:sz w:val="20"/>
              </w:rPr>
              <w:t>$1,755</w:t>
            </w:r>
          </w:p>
        </w:tc>
        <w:tc>
          <w:tcPr>
            <w:tcW w:type="dxa" w:w="2493"/>
            <w:tcBorders>
              <w:top w:val="single" w:sz="4" w:color="BFBFBF"/>
              <w:bottom w:val="single" w:sz="4" w:color="BFBFBF"/>
            </w:tcBorders>
          </w:tcPr>
          <w:p>
            <w:r>
              <w:rPr>
                <w:color w:val="B31B1B"/>
                <w:sz w:val="20"/>
              </w:rPr>
              <w:t>-$7</w:t>
            </w:r>
          </w:p>
        </w:tc>
        <w:tc>
          <w:tcPr>
            <w:tcW w:type="dxa" w:w="2493"/>
            <w:tcBorders>
              <w:top w:val="single" w:sz="4" w:color="BFBFBF"/>
              <w:bottom w:val="single" w:sz="4" w:color="BFBFBF"/>
            </w:tcBorders>
          </w:tcPr>
          <w:p>
            <w:r>
              <w:rPr>
                <w:color w:val="B31B1B"/>
                <w:sz w:val="20"/>
              </w:rPr>
              <w:t>-0.40%</w:t>
            </w:r>
          </w:p>
        </w:tc>
      </w:tr>
      <w:tr>
        <w:tc>
          <w:tcPr>
            <w:tcW w:type="dxa" w:w="2493"/>
            <w:shd w:val="clear" w:color="auto" w:fill="F4F1E8"/>
            <w:tcBorders>
              <w:top w:val="single" w:sz="4" w:color="BFBFBF"/>
              <w:bottom w:val="single" w:sz="4" w:color="BFBFBF"/>
            </w:tcBorders>
          </w:tcPr>
          <w:p>
            <w:r>
              <w:rPr>
                <w:sz w:val="20"/>
              </w:rPr>
              <w:t>Silver (spot)</w:t>
            </w:r>
          </w:p>
        </w:tc>
        <w:tc>
          <w:tcPr>
            <w:tcW w:type="dxa" w:w="2493"/>
            <w:shd w:val="clear" w:color="auto" w:fill="F4F1E8"/>
            <w:tcBorders>
              <w:top w:val="single" w:sz="4" w:color="BFBFBF"/>
              <w:bottom w:val="single" w:sz="4" w:color="BFBFBF"/>
            </w:tcBorders>
          </w:tcPr>
          <w:p>
            <w:r>
              <w:rPr>
                <w:sz w:val="20"/>
              </w:rPr>
              <w:t>$20.18</w:t>
            </w:r>
          </w:p>
        </w:tc>
        <w:tc>
          <w:tcPr>
            <w:tcW w:type="dxa" w:w="2493"/>
            <w:shd w:val="clear" w:color="auto" w:fill="F4F1E8"/>
            <w:tcBorders>
              <w:top w:val="single" w:sz="4" w:color="BFBFBF"/>
              <w:bottom w:val="single" w:sz="4" w:color="BFBFBF"/>
            </w:tcBorders>
          </w:tcPr>
          <w:p>
            <w:r>
              <w:rPr>
                <w:color w:val="B31B1B"/>
                <w:sz w:val="20"/>
              </w:rPr>
              <w:t>-$0.14</w:t>
            </w:r>
          </w:p>
        </w:tc>
        <w:tc>
          <w:tcPr>
            <w:tcW w:type="dxa" w:w="2493"/>
            <w:shd w:val="clear" w:color="auto" w:fill="F4F1E8"/>
            <w:tcBorders>
              <w:top w:val="single" w:sz="4" w:color="BFBFBF"/>
              <w:bottom w:val="single" w:sz="4" w:color="BFBFBF"/>
            </w:tcBorders>
          </w:tcPr>
          <w:p>
            <w:r>
              <w:rPr>
                <w:color w:val="B31B1B"/>
                <w:sz w:val="20"/>
              </w:rPr>
              <w:t>-0.69%</w:t>
            </w:r>
          </w:p>
        </w:tc>
      </w:tr>
      <w:tr>
        <w:tc>
          <w:tcPr>
            <w:tcW w:type="dxa" w:w="2493"/>
            <w:tcBorders>
              <w:top w:val="single" w:sz="4" w:color="BFBFBF"/>
              <w:bottom w:val="single" w:sz="4" w:color="BFBFBF"/>
            </w:tcBorders>
          </w:tcPr>
          <w:p>
            <w:r>
              <w:rPr>
                <w:sz w:val="20"/>
              </w:rPr>
              <w:t>Bitcoin</w:t>
            </w:r>
          </w:p>
        </w:tc>
        <w:tc>
          <w:tcPr>
            <w:tcW w:type="dxa" w:w="2493"/>
            <w:tcBorders>
              <w:top w:val="single" w:sz="4" w:color="BFBFBF"/>
              <w:bottom w:val="single" w:sz="4" w:color="BFBFBF"/>
            </w:tcBorders>
          </w:tcPr>
          <w:p>
            <w:r>
              <w:rPr>
                <w:sz w:val="20"/>
              </w:rPr>
              <w:t>$77,150</w:t>
            </w:r>
          </w:p>
        </w:tc>
        <w:tc>
          <w:tcPr>
            <w:tcW w:type="dxa" w:w="2493"/>
            <w:tcBorders>
              <w:top w:val="single" w:sz="4" w:color="BFBFBF"/>
              <w:bottom w:val="single" w:sz="4" w:color="BFBFBF"/>
            </w:tcBorders>
          </w:tcPr>
          <w:p>
            <w:r>
              <w:rPr>
                <w:color w:val="B31B1B"/>
                <w:sz w:val="20"/>
              </w:rPr>
              <w:t>-$1,270</w:t>
            </w:r>
          </w:p>
        </w:tc>
        <w:tc>
          <w:tcPr>
            <w:tcW w:type="dxa" w:w="2493"/>
            <w:tcBorders>
              <w:top w:val="single" w:sz="4" w:color="BFBFBF"/>
              <w:bottom w:val="single" w:sz="4" w:color="BFBFBF"/>
            </w:tcBorders>
          </w:tcPr>
          <w:p>
            <w:r>
              <w:rPr>
                <w:color w:val="B31B1B"/>
                <w:sz w:val="20"/>
              </w:rPr>
              <w:t>-1.62%</w:t>
            </w:r>
          </w:p>
        </w:tc>
      </w:tr>
    </w:tbl>
    <w:p>
      <w:pPr>
        <w:spacing w:before="200" w:after="40"/>
      </w:pPr>
      <w:r>
        <w:rPr>
          <w:b/>
          <w:color w:val="0A1F44"/>
          <w:sz w:val="22"/>
        </w:rPr>
        <w:t>Asia &amp; Europe</w:t>
      </w:r>
    </w:p>
    <w:tbl>
      <w:tblPr>
        <w:tblW w:type="auto" w:w="0"/>
        <w:jc w:val="left"/>
        <w:tblLook w:firstColumn="1" w:firstRow="1" w:lastColumn="0" w:lastRow="0" w:noHBand="0" w:noVBand="1" w:val="04A0"/>
      </w:tblPr>
      <w:tblGrid>
        <w:gridCol w:w="2493"/>
        <w:gridCol w:w="2493"/>
        <w:gridCol w:w="2493"/>
        <w:gridCol w:w="2493"/>
      </w:tblGrid>
      <w:tr>
        <w:tc>
          <w:tcPr>
            <w:tcW w:type="dxa" w:w="2493"/>
            <w:shd w:val="clear" w:color="auto" w:fill="0A1F44"/>
          </w:tcPr>
          <w:p>
            <w:r>
              <w:rPr>
                <w:b/>
                <w:color w:val="FFFFFF"/>
                <w:sz w:val="20"/>
              </w:rPr>
              <w:t>Asset</w:t>
            </w:r>
          </w:p>
        </w:tc>
        <w:tc>
          <w:tcPr>
            <w:tcW w:type="dxa" w:w="2493"/>
            <w:shd w:val="clear" w:color="auto" w:fill="0A1F44"/>
          </w:tcPr>
          <w:p>
            <w:r>
              <w:rPr>
                <w:b/>
                <w:color w:val="FFFFFF"/>
                <w:sz w:val="20"/>
              </w:rPr>
              <w:t>Last</w:t>
            </w:r>
          </w:p>
        </w:tc>
        <w:tc>
          <w:tcPr>
            <w:tcW w:type="dxa" w:w="2493"/>
            <w:shd w:val="clear" w:color="auto" w:fill="0A1F44"/>
          </w:tcPr>
          <w:p>
            <w:r>
              <w:rPr>
                <w:b/>
                <w:color w:val="FFFFFF"/>
                <w:sz w:val="20"/>
              </w:rPr>
              <w:t>Change</w:t>
            </w:r>
          </w:p>
        </w:tc>
        <w:tc>
          <w:tcPr>
            <w:tcW w:type="dxa" w:w="2493"/>
            <w:shd w:val="clear" w:color="auto" w:fill="0A1F44"/>
          </w:tcPr>
          <w:p>
            <w:r>
              <w:rPr>
                <w:b/>
                <w:color w:val="FFFFFF"/>
                <w:sz w:val="20"/>
              </w:rPr>
              <w:t>% Chg</w:t>
            </w:r>
          </w:p>
        </w:tc>
      </w:tr>
      <w:tr>
        <w:tc>
          <w:tcPr>
            <w:tcW w:type="dxa" w:w="2493"/>
            <w:tcBorders>
              <w:top w:val="single" w:sz="4" w:color="BFBFBF"/>
              <w:bottom w:val="single" w:sz="4" w:color="BFBFBF"/>
            </w:tcBorders>
          </w:tcPr>
          <w:p>
            <w:r>
              <w:rPr>
                <w:sz w:val="20"/>
              </w:rPr>
              <w:t>Nikkei 225</w:t>
            </w:r>
          </w:p>
        </w:tc>
        <w:tc>
          <w:tcPr>
            <w:tcW w:type="dxa" w:w="2493"/>
            <w:tcBorders>
              <w:top w:val="single" w:sz="4" w:color="BFBFBF"/>
              <w:bottom w:val="single" w:sz="4" w:color="BFBFBF"/>
            </w:tcBorders>
          </w:tcPr>
          <w:p>
            <w:r>
              <w:rPr>
                <w:sz w:val="20"/>
              </w:rPr>
              <w:t>38,205</w:t>
            </w:r>
          </w:p>
        </w:tc>
        <w:tc>
          <w:tcPr>
            <w:tcW w:type="dxa" w:w="2493"/>
            <w:tcBorders>
              <w:top w:val="single" w:sz="4" w:color="BFBFBF"/>
              <w:bottom w:val="single" w:sz="4" w:color="BFBFBF"/>
            </w:tcBorders>
          </w:tcPr>
          <w:p>
            <w:r>
              <w:rPr>
                <w:color w:val="B31B1B"/>
                <w:sz w:val="20"/>
              </w:rPr>
              <w:t>-180</w:t>
            </w:r>
          </w:p>
        </w:tc>
        <w:tc>
          <w:tcPr>
            <w:tcW w:type="dxa" w:w="2493"/>
            <w:tcBorders>
              <w:top w:val="single" w:sz="4" w:color="BFBFBF"/>
              <w:bottom w:val="single" w:sz="4" w:color="BFBFBF"/>
            </w:tcBorders>
          </w:tcPr>
          <w:p>
            <w:r>
              <w:rPr>
                <w:color w:val="B31B1B"/>
                <w:sz w:val="20"/>
              </w:rPr>
              <w:t>-0.47%</w:t>
            </w:r>
          </w:p>
        </w:tc>
      </w:tr>
      <w:tr>
        <w:tc>
          <w:tcPr>
            <w:tcW w:type="dxa" w:w="2493"/>
            <w:shd w:val="clear" w:color="auto" w:fill="F4F1E8"/>
            <w:tcBorders>
              <w:top w:val="single" w:sz="4" w:color="BFBFBF"/>
              <w:bottom w:val="single" w:sz="4" w:color="BFBFBF"/>
            </w:tcBorders>
          </w:tcPr>
          <w:p>
            <w:r>
              <w:rPr>
                <w:sz w:val="20"/>
              </w:rPr>
              <w:t>Hang Seng</w:t>
            </w:r>
          </w:p>
        </w:tc>
        <w:tc>
          <w:tcPr>
            <w:tcW w:type="dxa" w:w="2493"/>
            <w:shd w:val="clear" w:color="auto" w:fill="F4F1E8"/>
            <w:tcBorders>
              <w:top w:val="single" w:sz="4" w:color="BFBFBF"/>
              <w:bottom w:val="single" w:sz="4" w:color="BFBFBF"/>
            </w:tcBorders>
          </w:tcPr>
          <w:p>
            <w:r>
              <w:rPr>
                <w:sz w:val="20"/>
              </w:rPr>
              <w:t>21,025</w:t>
            </w:r>
          </w:p>
        </w:tc>
        <w:tc>
          <w:tcPr>
            <w:tcW w:type="dxa" w:w="2493"/>
            <w:shd w:val="clear" w:color="auto" w:fill="F4F1E8"/>
            <w:tcBorders>
              <w:top w:val="single" w:sz="4" w:color="BFBFBF"/>
              <w:bottom w:val="single" w:sz="4" w:color="BFBFBF"/>
            </w:tcBorders>
          </w:tcPr>
          <w:p>
            <w:r>
              <w:rPr>
                <w:color w:val="B31B1B"/>
                <w:sz w:val="20"/>
              </w:rPr>
              <w:t>-55</w:t>
            </w:r>
          </w:p>
        </w:tc>
        <w:tc>
          <w:tcPr>
            <w:tcW w:type="dxa" w:w="2493"/>
            <w:shd w:val="clear" w:color="auto" w:fill="F4F1E8"/>
            <w:tcBorders>
              <w:top w:val="single" w:sz="4" w:color="BFBFBF"/>
              <w:bottom w:val="single" w:sz="4" w:color="BFBFBF"/>
            </w:tcBorders>
          </w:tcPr>
          <w:p>
            <w:r>
              <w:rPr>
                <w:color w:val="B31B1B"/>
                <w:sz w:val="20"/>
              </w:rPr>
              <w:t>-0.26%</w:t>
            </w:r>
          </w:p>
        </w:tc>
      </w:tr>
      <w:tr>
        <w:tc>
          <w:tcPr>
            <w:tcW w:type="dxa" w:w="2493"/>
            <w:tcBorders>
              <w:top w:val="single" w:sz="4" w:color="BFBFBF"/>
              <w:bottom w:val="single" w:sz="4" w:color="BFBFBF"/>
            </w:tcBorders>
          </w:tcPr>
          <w:p>
            <w:r>
              <w:rPr>
                <w:sz w:val="20"/>
              </w:rPr>
              <w:t>Australia ASX 200</w:t>
            </w:r>
          </w:p>
        </w:tc>
        <w:tc>
          <w:tcPr>
            <w:tcW w:type="dxa" w:w="2493"/>
            <w:tcBorders>
              <w:top w:val="single" w:sz="4" w:color="BFBFBF"/>
              <w:bottom w:val="single" w:sz="4" w:color="BFBFBF"/>
            </w:tcBorders>
          </w:tcPr>
          <w:p>
            <w:r>
              <w:rPr>
                <w:sz w:val="20"/>
              </w:rPr>
              <w:t>8,455</w:t>
            </w:r>
          </w:p>
        </w:tc>
        <w:tc>
          <w:tcPr>
            <w:tcW w:type="dxa" w:w="2493"/>
            <w:tcBorders>
              <w:top w:val="single" w:sz="4" w:color="BFBFBF"/>
              <w:bottom w:val="single" w:sz="4" w:color="BFBFBF"/>
            </w:tcBorders>
          </w:tcPr>
          <w:p>
            <w:r>
              <w:rPr>
                <w:color w:val="B31B1B"/>
                <w:sz w:val="20"/>
              </w:rPr>
              <w:t>-23</w:t>
            </w:r>
          </w:p>
        </w:tc>
        <w:tc>
          <w:tcPr>
            <w:tcW w:type="dxa" w:w="2493"/>
            <w:tcBorders>
              <w:top w:val="single" w:sz="4" w:color="BFBFBF"/>
              <w:bottom w:val="single" w:sz="4" w:color="BFBFBF"/>
            </w:tcBorders>
          </w:tcPr>
          <w:p>
            <w:r>
              <w:rPr>
                <w:color w:val="B31B1B"/>
                <w:sz w:val="20"/>
              </w:rPr>
              <w:t>-0.27%</w:t>
            </w:r>
          </w:p>
        </w:tc>
      </w:tr>
      <w:tr>
        <w:tc>
          <w:tcPr>
            <w:tcW w:type="dxa" w:w="2493"/>
            <w:shd w:val="clear" w:color="auto" w:fill="F4F1E8"/>
            <w:tcBorders>
              <w:top w:val="single" w:sz="4" w:color="BFBFBF"/>
              <w:bottom w:val="single" w:sz="4" w:color="BFBFBF"/>
            </w:tcBorders>
          </w:tcPr>
          <w:p>
            <w:r>
              <w:rPr>
                <w:sz w:val="20"/>
              </w:rPr>
              <w:t>Stoxx Europe 600</w:t>
            </w:r>
          </w:p>
        </w:tc>
        <w:tc>
          <w:tcPr>
            <w:tcW w:type="dxa" w:w="2493"/>
            <w:shd w:val="clear" w:color="auto" w:fill="F4F1E8"/>
            <w:tcBorders>
              <w:top w:val="single" w:sz="4" w:color="BFBFBF"/>
              <w:bottom w:val="single" w:sz="4" w:color="BFBFBF"/>
            </w:tcBorders>
          </w:tcPr>
          <w:p>
            <w:r>
              <w:rPr>
                <w:sz w:val="20"/>
              </w:rPr>
              <w:t>556.10</w:t>
            </w:r>
          </w:p>
        </w:tc>
        <w:tc>
          <w:tcPr>
            <w:tcW w:type="dxa" w:w="2493"/>
            <w:shd w:val="clear" w:color="auto" w:fill="F4F1E8"/>
            <w:tcBorders>
              <w:top w:val="single" w:sz="4" w:color="BFBFBF"/>
              <w:bottom w:val="single" w:sz="4" w:color="BFBFBF"/>
            </w:tcBorders>
          </w:tcPr>
          <w:p>
            <w:r>
              <w:rPr>
                <w:color w:val="B31B1B"/>
                <w:sz w:val="20"/>
              </w:rPr>
              <w:t>-1.10</w:t>
            </w:r>
          </w:p>
        </w:tc>
        <w:tc>
          <w:tcPr>
            <w:tcW w:type="dxa" w:w="2493"/>
            <w:shd w:val="clear" w:color="auto" w:fill="F4F1E8"/>
            <w:tcBorders>
              <w:top w:val="single" w:sz="4" w:color="BFBFBF"/>
              <w:bottom w:val="single" w:sz="4" w:color="BFBFBF"/>
            </w:tcBorders>
          </w:tcPr>
          <w:p>
            <w:r>
              <w:rPr>
                <w:color w:val="B31B1B"/>
                <w:sz w:val="20"/>
              </w:rPr>
              <w:t>-0.20%</w:t>
            </w:r>
          </w:p>
        </w:tc>
      </w:tr>
      <w:tr>
        <w:tc>
          <w:tcPr>
            <w:tcW w:type="dxa" w:w="2493"/>
            <w:tcBorders>
              <w:top w:val="single" w:sz="4" w:color="BFBFBF"/>
              <w:bottom w:val="single" w:sz="4" w:color="BFBFBF"/>
            </w:tcBorders>
          </w:tcPr>
          <w:p>
            <w:r>
              <w:rPr>
                <w:sz w:val="20"/>
              </w:rPr>
              <w:t>FTSE 100</w:t>
            </w:r>
          </w:p>
        </w:tc>
        <w:tc>
          <w:tcPr>
            <w:tcW w:type="dxa" w:w="2493"/>
            <w:tcBorders>
              <w:top w:val="single" w:sz="4" w:color="BFBFBF"/>
              <w:bottom w:val="single" w:sz="4" w:color="BFBFBF"/>
            </w:tcBorders>
          </w:tcPr>
          <w:p>
            <w:r>
              <w:rPr>
                <w:sz w:val="20"/>
              </w:rPr>
              <w:t>8,705</w:t>
            </w:r>
          </w:p>
        </w:tc>
        <w:tc>
          <w:tcPr>
            <w:tcW w:type="dxa" w:w="2493"/>
            <w:tcBorders>
              <w:top w:val="single" w:sz="4" w:color="BFBFBF"/>
              <w:bottom w:val="single" w:sz="4" w:color="BFBFBF"/>
            </w:tcBorders>
          </w:tcPr>
          <w:p>
            <w:r>
              <w:rPr>
                <w:color w:val="0B6B3A"/>
                <w:sz w:val="20"/>
              </w:rPr>
              <w:t>+10</w:t>
            </w:r>
          </w:p>
        </w:tc>
        <w:tc>
          <w:tcPr>
            <w:tcW w:type="dxa" w:w="2493"/>
            <w:tcBorders>
              <w:top w:val="single" w:sz="4" w:color="BFBFBF"/>
              <w:bottom w:val="single" w:sz="4" w:color="BFBFBF"/>
            </w:tcBorders>
          </w:tcPr>
          <w:p>
            <w:r>
              <w:rPr>
                <w:color w:val="0B6B3A"/>
                <w:sz w:val="20"/>
              </w:rPr>
              <w:t>+0.11%</w:t>
            </w:r>
          </w:p>
        </w:tc>
      </w:tr>
      <w:tr>
        <w:tc>
          <w:tcPr>
            <w:tcW w:type="dxa" w:w="2493"/>
            <w:shd w:val="clear" w:color="auto" w:fill="F4F1E8"/>
            <w:tcBorders>
              <w:top w:val="single" w:sz="4" w:color="BFBFBF"/>
              <w:bottom w:val="single" w:sz="4" w:color="BFBFBF"/>
            </w:tcBorders>
          </w:tcPr>
          <w:p>
            <w:r>
              <w:rPr>
                <w:sz w:val="20"/>
              </w:rPr>
              <w:t>DAX</w:t>
            </w:r>
          </w:p>
        </w:tc>
        <w:tc>
          <w:tcPr>
            <w:tcW w:type="dxa" w:w="2493"/>
            <w:shd w:val="clear" w:color="auto" w:fill="F4F1E8"/>
            <w:tcBorders>
              <w:top w:val="single" w:sz="4" w:color="BFBFBF"/>
              <w:bottom w:val="single" w:sz="4" w:color="BFBFBF"/>
            </w:tcBorders>
          </w:tcPr>
          <w:p>
            <w:r>
              <w:rPr>
                <w:sz w:val="20"/>
              </w:rPr>
              <w:t>19,860</w:t>
            </w:r>
          </w:p>
        </w:tc>
        <w:tc>
          <w:tcPr>
            <w:tcW w:type="dxa" w:w="2493"/>
            <w:shd w:val="clear" w:color="auto" w:fill="F4F1E8"/>
            <w:tcBorders>
              <w:top w:val="single" w:sz="4" w:color="BFBFBF"/>
              <w:bottom w:val="single" w:sz="4" w:color="BFBFBF"/>
            </w:tcBorders>
          </w:tcPr>
          <w:p>
            <w:r>
              <w:rPr>
                <w:color w:val="B31B1B"/>
                <w:sz w:val="20"/>
              </w:rPr>
              <w:t>-60</w:t>
            </w:r>
          </w:p>
        </w:tc>
        <w:tc>
          <w:tcPr>
            <w:tcW w:type="dxa" w:w="2493"/>
            <w:shd w:val="clear" w:color="auto" w:fill="F4F1E8"/>
            <w:tcBorders>
              <w:top w:val="single" w:sz="4" w:color="BFBFBF"/>
              <w:bottom w:val="single" w:sz="4" w:color="BFBFBF"/>
            </w:tcBorders>
          </w:tcPr>
          <w:p>
            <w:r>
              <w:rPr>
                <w:color w:val="B31B1B"/>
                <w:sz w:val="20"/>
              </w:rPr>
              <w:t>-0.30%</w:t>
            </w:r>
          </w:p>
        </w:tc>
      </w:tr>
    </w:tbl>
    <w:p>
      <w:pPr>
        <w:spacing w:before="360" w:after="120"/>
        <w:pBdr>
          <w:bottom w:val="single" w:sz="12" w:color="C9A227"/>
        </w:pBdr>
      </w:pPr>
      <w:r>
        <w:rPr>
          <w:rFonts w:ascii="Calibri" w:hAnsi="Calibri"/>
          <w:b/>
          <w:color w:val="0A1F44"/>
          <w:sz w:val="26"/>
        </w:rPr>
        <w:t>3. TOP STORIES</w:t>
      </w:r>
    </w:p>
    <w:p>
      <w:pPr>
        <w:spacing w:before="200" w:after="40"/>
      </w:pPr>
      <w:r>
        <w:rPr>
          <w:b/>
          <w:color w:val="0A1F44"/>
          <w:sz w:val="22"/>
        </w:rPr>
        <w:t>Nvidia Reports Tonight — The AI Trade's Make-or-Break Moment</w:t>
      </w:r>
    </w:p>
    <w:p>
      <w:pPr>
        <w:spacing w:after="120"/>
      </w:pPr>
      <w:r>
        <w:rPr>
          <w:i w:val="0"/>
          <w:color w:val="101010"/>
          <w:sz w:val="21"/>
        </w:rPr>
        <w:t>At 4:20 p.m. ET, Nvidia delivers Q1 FY27 results, with the Street looking for $1.76 in EPS (up from $0.96 a year ago) on revenue of $79.04 billion — a 78% year-over-year jump. But as every desk note this morning reiterates, the print is about guidance, not the quarter. Consensus for Q2 FY27 revenue sits near $87 billion; the bull case wants $90B-plus, and the whisper number for data-center revenue is $74 billion. The options market is pricing a ±7.2% move — roughly $250 billion of market cap in either direction. Nvidia rebounded 1.6% to $224 pre-market, leading a broad semiconductor bid (SMH +2.2%) that has lifted the entire tape out of its three-day funk. The risk symmetry is brutal: a beat-and-raise likely reignites the year-end chase, while any guidance wobble — especially on China or gross margins — confirms the rotation out of megacap growth that has been quietly underway for two weeks.</w:t>
      </w:r>
    </w:p>
    <w:p>
      <w:pPr>
        <w:spacing w:before="200" w:after="40"/>
      </w:pPr>
      <w:r>
        <w:rPr>
          <w:b/>
          <w:color w:val="0A1F44"/>
          <w:sz w:val="22"/>
        </w:rPr>
        <w:t>30-Year Yield Hits 19-Year High — Fund Managers Eye 6%</w:t>
      </w:r>
    </w:p>
    <w:p>
      <w:pPr>
        <w:spacing w:after="120"/>
      </w:pPr>
      <w:r>
        <w:rPr>
          <w:i w:val="0"/>
          <w:color w:val="101010"/>
          <w:sz w:val="21"/>
        </w:rPr>
        <w:t>The long bond yield touched 5.198% Tuesday, its highest since July 2007, and is holding near 5.19% this morning. The move is no longer a curiosity — it is the dominant macro force in the market. A BofA global fund manager survey released today found 62% of respondents expect the 30-year to eventually reach 6%. The mechanical consequences are spreading: the 30-year fixed mortgage rate has climbed to 7.91%, the highest of the cycle; auto-loan and small-business borrowing costs are following; and the equity risk premium — the excess yield stocks offer over bonds — has compressed to its thinnest since 2002. Today's $16B 20-year auction at 1:00 p.m. is the immediate test. A weak result would send the long end higher still and could overshadow even Nvidia.</w:t>
      </w:r>
    </w:p>
    <w:p>
      <w:pPr>
        <w:spacing w:before="200" w:after="40"/>
      </w:pPr>
      <w:r>
        <w:rPr>
          <w:b/>
          <w:color w:val="0A1F44"/>
          <w:sz w:val="22"/>
        </w:rPr>
        <w:t>Lowe's Beats; Target on Deck — Consumer Read Stays Resilient</w:t>
      </w:r>
    </w:p>
    <w:p>
      <w:pPr>
        <w:spacing w:after="120"/>
      </w:pPr>
      <w:r>
        <w:rPr>
          <w:i w:val="0"/>
          <w:color w:val="101010"/>
          <w:sz w:val="21"/>
        </w:rPr>
        <w:t>Lowe's reported Q1 net sales of $23.1 billion (up from $20.9B a year ago), net income of $1.63 billion, and adjusted EPS of $3.03 — ahead of estimates. Comparable sales rose 0.6%, with online sales up a striking 15.5% and continued strength in Pro, appliances, and home services. Management guided full-year adjusted EPS to $12.25–$12.75. Coming a day after Home Depot's beat, the read-through is clear: the rate-sensitive home-improvement consumer is bending but emphatically not breaking. Target reports before the open this morning; the bar is low after a 22% YTD decline, with management having guided Q1 EPS to roughly flat versus last year's $1.30 and full-year EPS to $7.50–$8.50. A clean Target print could trigger an outsized relief rally given how bearishly the stock is positioned.</w:t>
      </w:r>
    </w:p>
    <w:p>
      <w:pPr>
        <w:spacing w:before="200" w:after="40"/>
      </w:pPr>
      <w:r>
        <w:rPr>
          <w:b/>
          <w:color w:val="0A1F44"/>
          <w:sz w:val="22"/>
        </w:rPr>
        <w:t>Powell Speaks at 9:00 — First Remarks Since the Inflation Shock</w:t>
      </w:r>
    </w:p>
    <w:p>
      <w:pPr>
        <w:spacing w:after="120"/>
      </w:pPr>
      <w:r>
        <w:rPr>
          <w:i w:val="0"/>
          <w:color w:val="101010"/>
          <w:sz w:val="21"/>
        </w:rPr>
        <w:t>Chair Powell opens the Atlanta Fed's financial markets conference at 9:00 a.m. ET, his first public remarks since the April CPI (+3.8% Y/Y) and PPI (+6.0% Y/Y) prints upended the rate outlook. The market is desperate for signal on whether the Committee views the energy-driven inflation surge as transitory or structural. Any deviation from the careful April 29 statement language — particularly the phrase that inflation is elevated 'in part reflecting the recent increase in global energy prices' — will move the front end of the curve hard. With the long bond already at a 19-year high, Powell has every incentive to sound measured. Whether the market lets him is another question.</w:t>
      </w:r>
    </w:p>
    <w:p>
      <w:pPr>
        <w:spacing w:before="200" w:after="40"/>
      </w:pPr>
      <w:r>
        <w:rPr>
          <w:b/>
          <w:color w:val="0A1F44"/>
          <w:sz w:val="22"/>
        </w:rPr>
        <w:t>Oil Stabilizes Near $102 as Iran Diplomacy Limps Forward</w:t>
      </w:r>
    </w:p>
    <w:p>
      <w:pPr>
        <w:spacing w:after="120"/>
      </w:pPr>
      <w:r>
        <w:rPr>
          <w:i w:val="0"/>
          <w:color w:val="101010"/>
          <w:sz w:val="21"/>
        </w:rPr>
        <w:t>WTI is holding near $102 and Brent near $106 this morning, consolidating after Monday's sharp drop on news that President Trump shelved a planned strike. Iran submitted an updated peace proposal to mediators in Pakistan, but the White House reportedly considers it insufficient, and Tehran's Tasnim agency says U.S. conditions remain 'overly demanding.' The Strait of Hormuz remains partially restricted, with tanker traffic well below normal. For now, oil has stopped being the marginal driver of the tape — the bond market has taken that mantle — but the deadlock means the energy inflation premium has not gone away. A collapse in talks would put $115 Brent back in play within days.</w:t>
      </w:r>
    </w:p>
    <w:p>
      <w:pPr>
        <w:spacing w:before="360" w:after="120"/>
        <w:pBdr>
          <w:bottom w:val="single" w:sz="12" w:color="C9A227"/>
        </w:pBdr>
      </w:pPr>
      <w:r>
        <w:rPr>
          <w:rFonts w:ascii="Calibri" w:hAnsi="Calibri"/>
          <w:b/>
          <w:color w:val="0A1F44"/>
          <w:sz w:val="26"/>
        </w:rPr>
        <w:t>4. MACRO &amp; FED WATCH</w:t>
      </w:r>
    </w:p>
    <w:p>
      <w:pPr>
        <w:spacing w:after="120"/>
      </w:pPr>
      <w:r>
        <w:rPr>
          <w:i w:val="0"/>
          <w:color w:val="101010"/>
          <w:sz w:val="21"/>
        </w:rPr>
        <w:t>Two Fed events bracket the next 30 hours: Powell at 9:00 a.m. today, and the April 28–29 FOMC minutes tomorrow at 2:00 p.m. The minutes are the bigger market event. They will reveal how deep the four-way dissent ran — Hammack and Logan pushed for a hike, Kashkari wanted optionality — and whether the Committee's confidence that 'longer-run inflation expectations remain anchored' is fraying. With the 30-year at a 19-year high, the bond market is effectively front-running a hawkish read.</w:t>
      </w:r>
    </w:p>
    <w:p>
      <w:pPr>
        <w:spacing w:after="120"/>
      </w:pPr>
      <w:r>
        <w:rPr>
          <w:i w:val="0"/>
          <w:color w:val="101010"/>
          <w:sz w:val="21"/>
        </w:rPr>
        <w:t>Fed funds futures now price a 41% probability of a hike by December (up from 38% Monday and 12% a month ago) and effectively 100% by March 2027. The repricing has been violent and one-directional. The only thing that reliably reverses it would be a genuine growth scare — which is why Friday's flash PMIs, and any softening in the labor data, suddenly matter more than they have in months. For now, the curve is bear-steepening: the 2s30s spread has widened to 80 basis points, the steepest since 2021.</w:t>
      </w:r>
    </w:p>
    <w:p>
      <w:pPr>
        <w:spacing w:before="360" w:after="120"/>
        <w:pBdr>
          <w:bottom w:val="single" w:sz="12" w:color="C9A227"/>
        </w:pBdr>
      </w:pPr>
      <w:r>
        <w:rPr>
          <w:rFonts w:ascii="Calibri" w:hAnsi="Calibri"/>
          <w:b/>
          <w:color w:val="0A1F44"/>
          <w:sz w:val="26"/>
        </w:rPr>
        <w:t>5. ECONOMIC CALENDAR — REST OF WEEK</w:t>
      </w:r>
    </w:p>
    <w:tbl>
      <w:tblPr>
        <w:tblW w:type="auto" w:w="0"/>
        <w:tblLook w:firstColumn="1" w:firstRow="1" w:lastColumn="0" w:lastRow="0" w:noHBand="0" w:noVBand="1" w:val="04A0"/>
      </w:tblPr>
      <w:tblGrid>
        <w:gridCol w:w="2493"/>
        <w:gridCol w:w="2493"/>
        <w:gridCol w:w="2493"/>
        <w:gridCol w:w="2493"/>
      </w:tblGrid>
      <w:tr>
        <w:tc>
          <w:tcPr>
            <w:tcW w:type="dxa" w:w="2493"/>
            <w:shd w:val="clear" w:color="auto" w:fill="0A1F44"/>
          </w:tcPr>
          <w:p>
            <w:r>
              <w:rPr>
                <w:b/>
                <w:color w:val="FFFFFF"/>
                <w:sz w:val="20"/>
              </w:rPr>
              <w:t>Day</w:t>
            </w:r>
          </w:p>
        </w:tc>
        <w:tc>
          <w:tcPr>
            <w:tcW w:type="dxa" w:w="2493"/>
            <w:shd w:val="clear" w:color="auto" w:fill="0A1F44"/>
          </w:tcPr>
          <w:p>
            <w:r>
              <w:rPr>
                <w:b/>
                <w:color w:val="FFFFFF"/>
                <w:sz w:val="20"/>
              </w:rPr>
              <w:t>Time (ET)</w:t>
            </w:r>
          </w:p>
        </w:tc>
        <w:tc>
          <w:tcPr>
            <w:tcW w:type="dxa" w:w="2493"/>
            <w:shd w:val="clear" w:color="auto" w:fill="0A1F44"/>
          </w:tcPr>
          <w:p>
            <w:r>
              <w:rPr>
                <w:b/>
                <w:color w:val="FFFFFF"/>
                <w:sz w:val="20"/>
              </w:rPr>
              <w:t>Release</w:t>
            </w:r>
          </w:p>
        </w:tc>
        <w:tc>
          <w:tcPr>
            <w:tcW w:type="dxa" w:w="2493"/>
            <w:shd w:val="clear" w:color="auto" w:fill="0A1F44"/>
          </w:tcPr>
          <w:p>
            <w:r>
              <w:rPr>
                <w:b/>
                <w:color w:val="FFFFFF"/>
                <w:sz w:val="20"/>
              </w:rPr>
              <w:t>Consensus / Actual</w:t>
            </w:r>
          </w:p>
        </w:tc>
      </w:tr>
      <w:tr>
        <w:tc>
          <w:tcPr>
            <w:tcW w:type="dxa" w:w="2493"/>
            <w:tcBorders>
              <w:top w:val="single" w:sz="4" w:color="BFBFBF"/>
              <w:bottom w:val="single" w:sz="4" w:color="BFBFBF"/>
            </w:tcBorders>
          </w:tcPr>
          <w:p>
            <w:r>
              <w:rPr>
                <w:sz w:val="19"/>
              </w:rPr>
              <w:t>Wed 5/20</w:t>
            </w:r>
          </w:p>
        </w:tc>
        <w:tc>
          <w:tcPr>
            <w:tcW w:type="dxa" w:w="2493"/>
            <w:tcBorders>
              <w:top w:val="single" w:sz="4" w:color="BFBFBF"/>
              <w:bottom w:val="single" w:sz="4" w:color="BFBFBF"/>
            </w:tcBorders>
          </w:tcPr>
          <w:p>
            <w:r>
              <w:rPr>
                <w:sz w:val="19"/>
              </w:rPr>
              <w:t>Before open</w:t>
            </w:r>
          </w:p>
        </w:tc>
        <w:tc>
          <w:tcPr>
            <w:tcW w:type="dxa" w:w="2493"/>
            <w:tcBorders>
              <w:top w:val="single" w:sz="4" w:color="BFBFBF"/>
              <w:bottom w:val="single" w:sz="4" w:color="BFBFBF"/>
            </w:tcBorders>
          </w:tcPr>
          <w:p>
            <w:r>
              <w:rPr>
                <w:sz w:val="19"/>
              </w:rPr>
              <w:t>Lowe's (LOW) Q1 — BEAT ✓</w:t>
            </w:r>
          </w:p>
        </w:tc>
        <w:tc>
          <w:tcPr>
            <w:tcW w:type="dxa" w:w="2493"/>
            <w:tcBorders>
              <w:top w:val="single" w:sz="4" w:color="BFBFBF"/>
              <w:bottom w:val="single" w:sz="4" w:color="BFBFBF"/>
            </w:tcBorders>
          </w:tcPr>
          <w:p>
            <w:r>
              <w:rPr>
                <w:sz w:val="19"/>
              </w:rPr>
              <w:t>Actual: adj $3.03 / $23.1B</w:t>
            </w:r>
          </w:p>
        </w:tc>
      </w:tr>
      <w:tr>
        <w:tc>
          <w:tcPr>
            <w:tcW w:type="dxa" w:w="2493"/>
            <w:shd w:val="clear" w:color="auto" w:fill="F4F1E8"/>
            <w:tcBorders>
              <w:top w:val="single" w:sz="4" w:color="BFBFBF"/>
              <w:bottom w:val="single" w:sz="4" w:color="BFBFBF"/>
            </w:tcBorders>
          </w:tcPr>
          <w:p>
            <w:r>
              <w:rPr>
                <w:sz w:val="19"/>
              </w:rPr>
              <w:t>Wed 5/20</w:t>
            </w:r>
          </w:p>
        </w:tc>
        <w:tc>
          <w:tcPr>
            <w:tcW w:type="dxa" w:w="2493"/>
            <w:shd w:val="clear" w:color="auto" w:fill="F4F1E8"/>
            <w:tcBorders>
              <w:top w:val="single" w:sz="4" w:color="BFBFBF"/>
              <w:bottom w:val="single" w:sz="4" w:color="BFBFBF"/>
            </w:tcBorders>
          </w:tcPr>
          <w:p>
            <w:r>
              <w:rPr>
                <w:sz w:val="19"/>
              </w:rPr>
              <w:t>Before open</w:t>
            </w:r>
          </w:p>
        </w:tc>
        <w:tc>
          <w:tcPr>
            <w:tcW w:type="dxa" w:w="2493"/>
            <w:shd w:val="clear" w:color="auto" w:fill="F4F1E8"/>
            <w:tcBorders>
              <w:top w:val="single" w:sz="4" w:color="BFBFBF"/>
              <w:bottom w:val="single" w:sz="4" w:color="BFBFBF"/>
            </w:tcBorders>
          </w:tcPr>
          <w:p>
            <w:r>
              <w:rPr>
                <w:sz w:val="19"/>
              </w:rPr>
              <w:t>Target (TGT) Q1</w:t>
            </w:r>
          </w:p>
        </w:tc>
        <w:tc>
          <w:tcPr>
            <w:tcW w:type="dxa" w:w="2493"/>
            <w:shd w:val="clear" w:color="auto" w:fill="F4F1E8"/>
            <w:tcBorders>
              <w:top w:val="single" w:sz="4" w:color="BFBFBF"/>
              <w:bottom w:val="single" w:sz="4" w:color="BFBFBF"/>
            </w:tcBorders>
          </w:tcPr>
          <w:p>
            <w:r>
              <w:rPr>
                <w:sz w:val="19"/>
              </w:rPr>
              <w:t>EPS ~$1.30 / Rev $24.5B</w:t>
            </w:r>
          </w:p>
        </w:tc>
      </w:tr>
      <w:tr>
        <w:tc>
          <w:tcPr>
            <w:tcW w:type="dxa" w:w="2493"/>
            <w:tcBorders>
              <w:top w:val="single" w:sz="4" w:color="BFBFBF"/>
              <w:bottom w:val="single" w:sz="4" w:color="BFBFBF"/>
            </w:tcBorders>
          </w:tcPr>
          <w:p>
            <w:r>
              <w:rPr>
                <w:sz w:val="19"/>
              </w:rPr>
              <w:t>Wed 5/20</w:t>
            </w:r>
          </w:p>
        </w:tc>
        <w:tc>
          <w:tcPr>
            <w:tcW w:type="dxa" w:w="2493"/>
            <w:tcBorders>
              <w:top w:val="single" w:sz="4" w:color="BFBFBF"/>
              <w:bottom w:val="single" w:sz="4" w:color="BFBFBF"/>
            </w:tcBorders>
          </w:tcPr>
          <w:p>
            <w:r>
              <w:rPr>
                <w:sz w:val="19"/>
              </w:rPr>
              <w:t>9:00 AM</w:t>
            </w:r>
          </w:p>
        </w:tc>
        <w:tc>
          <w:tcPr>
            <w:tcW w:type="dxa" w:w="2493"/>
            <w:tcBorders>
              <w:top w:val="single" w:sz="4" w:color="BFBFBF"/>
              <w:bottom w:val="single" w:sz="4" w:color="BFBFBF"/>
            </w:tcBorders>
          </w:tcPr>
          <w:p>
            <w:r>
              <w:rPr>
                <w:sz w:val="19"/>
              </w:rPr>
              <w:t>Powell remarks — Atlanta Fed</w:t>
            </w:r>
          </w:p>
        </w:tc>
        <w:tc>
          <w:tcPr>
            <w:tcW w:type="dxa" w:w="2493"/>
            <w:tcBorders>
              <w:top w:val="single" w:sz="4" w:color="BFBFBF"/>
              <w:bottom w:val="single" w:sz="4" w:color="BFBFBF"/>
            </w:tcBorders>
          </w:tcPr>
          <w:p>
            <w:r>
              <w:rPr>
                <w:sz w:val="19"/>
              </w:rPr>
              <w:t>—</w:t>
            </w:r>
          </w:p>
        </w:tc>
      </w:tr>
      <w:tr>
        <w:tc>
          <w:tcPr>
            <w:tcW w:type="dxa" w:w="2493"/>
            <w:shd w:val="clear" w:color="auto" w:fill="F4F1E8"/>
            <w:tcBorders>
              <w:top w:val="single" w:sz="4" w:color="BFBFBF"/>
              <w:bottom w:val="single" w:sz="4" w:color="BFBFBF"/>
            </w:tcBorders>
          </w:tcPr>
          <w:p>
            <w:r>
              <w:rPr>
                <w:sz w:val="19"/>
              </w:rPr>
              <w:t>Wed 5/20</w:t>
            </w:r>
          </w:p>
        </w:tc>
        <w:tc>
          <w:tcPr>
            <w:tcW w:type="dxa" w:w="2493"/>
            <w:shd w:val="clear" w:color="auto" w:fill="F4F1E8"/>
            <w:tcBorders>
              <w:top w:val="single" w:sz="4" w:color="BFBFBF"/>
              <w:bottom w:val="single" w:sz="4" w:color="BFBFBF"/>
            </w:tcBorders>
          </w:tcPr>
          <w:p>
            <w:r>
              <w:rPr>
                <w:sz w:val="19"/>
              </w:rPr>
              <w:t>1:00 PM</w:t>
            </w:r>
          </w:p>
        </w:tc>
        <w:tc>
          <w:tcPr>
            <w:tcW w:type="dxa" w:w="2493"/>
            <w:shd w:val="clear" w:color="auto" w:fill="F4F1E8"/>
            <w:tcBorders>
              <w:top w:val="single" w:sz="4" w:color="BFBFBF"/>
              <w:bottom w:val="single" w:sz="4" w:color="BFBFBF"/>
            </w:tcBorders>
          </w:tcPr>
          <w:p>
            <w:r>
              <w:rPr>
                <w:sz w:val="19"/>
              </w:rPr>
              <w:t>20-Yr Treasury auction ($16B)</w:t>
            </w:r>
          </w:p>
        </w:tc>
        <w:tc>
          <w:tcPr>
            <w:tcW w:type="dxa" w:w="2493"/>
            <w:shd w:val="clear" w:color="auto" w:fill="F4F1E8"/>
            <w:tcBorders>
              <w:top w:val="single" w:sz="4" w:color="BFBFBF"/>
              <w:bottom w:val="single" w:sz="4" w:color="BFBFBF"/>
            </w:tcBorders>
          </w:tcPr>
          <w:p>
            <w:r>
              <w:rPr>
                <w:sz w:val="19"/>
              </w:rPr>
              <w:t>—</w:t>
            </w:r>
          </w:p>
        </w:tc>
      </w:tr>
      <w:tr>
        <w:tc>
          <w:tcPr>
            <w:tcW w:type="dxa" w:w="2493"/>
            <w:tcBorders>
              <w:top w:val="single" w:sz="4" w:color="BFBFBF"/>
              <w:bottom w:val="single" w:sz="4" w:color="BFBFBF"/>
            </w:tcBorders>
          </w:tcPr>
          <w:p>
            <w:r>
              <w:rPr>
                <w:sz w:val="19"/>
              </w:rPr>
              <w:t>Wed 5/20</w:t>
            </w:r>
          </w:p>
        </w:tc>
        <w:tc>
          <w:tcPr>
            <w:tcW w:type="dxa" w:w="2493"/>
            <w:tcBorders>
              <w:top w:val="single" w:sz="4" w:color="BFBFBF"/>
              <w:bottom w:val="single" w:sz="4" w:color="BFBFBF"/>
            </w:tcBorders>
          </w:tcPr>
          <w:p>
            <w:r>
              <w:rPr>
                <w:sz w:val="19"/>
              </w:rPr>
              <w:t>After close</w:t>
            </w:r>
          </w:p>
        </w:tc>
        <w:tc>
          <w:tcPr>
            <w:tcW w:type="dxa" w:w="2493"/>
            <w:tcBorders>
              <w:top w:val="single" w:sz="4" w:color="BFBFBF"/>
              <w:bottom w:val="single" w:sz="4" w:color="BFBFBF"/>
            </w:tcBorders>
          </w:tcPr>
          <w:p>
            <w:r>
              <w:rPr>
                <w:sz w:val="19"/>
              </w:rPr>
              <w:t>Nvidia (NVDA) Q1 FY27</w:t>
            </w:r>
          </w:p>
        </w:tc>
        <w:tc>
          <w:tcPr>
            <w:tcW w:type="dxa" w:w="2493"/>
            <w:tcBorders>
              <w:top w:val="single" w:sz="4" w:color="BFBFBF"/>
              <w:bottom w:val="single" w:sz="4" w:color="BFBFBF"/>
            </w:tcBorders>
          </w:tcPr>
          <w:p>
            <w:r>
              <w:rPr>
                <w:sz w:val="19"/>
              </w:rPr>
              <w:t>EPS $1.76 / Rev $79.0B</w:t>
            </w:r>
          </w:p>
        </w:tc>
      </w:tr>
      <w:tr>
        <w:tc>
          <w:tcPr>
            <w:tcW w:type="dxa" w:w="2493"/>
            <w:shd w:val="clear" w:color="auto" w:fill="F4F1E8"/>
            <w:tcBorders>
              <w:top w:val="single" w:sz="4" w:color="BFBFBF"/>
              <w:bottom w:val="single" w:sz="4" w:color="BFBFBF"/>
            </w:tcBorders>
          </w:tcPr>
          <w:p>
            <w:r>
              <w:rPr>
                <w:sz w:val="19"/>
              </w:rPr>
              <w:t>Thu 5/21</w:t>
            </w:r>
          </w:p>
        </w:tc>
        <w:tc>
          <w:tcPr>
            <w:tcW w:type="dxa" w:w="2493"/>
            <w:shd w:val="clear" w:color="auto" w:fill="F4F1E8"/>
            <w:tcBorders>
              <w:top w:val="single" w:sz="4" w:color="BFBFBF"/>
              <w:bottom w:val="single" w:sz="4" w:color="BFBFBF"/>
            </w:tcBorders>
          </w:tcPr>
          <w:p>
            <w:r>
              <w:rPr>
                <w:sz w:val="19"/>
              </w:rPr>
              <w:t>8:30 AM</w:t>
            </w:r>
          </w:p>
        </w:tc>
        <w:tc>
          <w:tcPr>
            <w:tcW w:type="dxa" w:w="2493"/>
            <w:shd w:val="clear" w:color="auto" w:fill="F4F1E8"/>
            <w:tcBorders>
              <w:top w:val="single" w:sz="4" w:color="BFBFBF"/>
              <w:bottom w:val="single" w:sz="4" w:color="BFBFBF"/>
            </w:tcBorders>
          </w:tcPr>
          <w:p>
            <w:r>
              <w:rPr>
                <w:sz w:val="19"/>
              </w:rPr>
              <w:t>Building Permits / Housing Starts (Apr)</w:t>
            </w:r>
          </w:p>
        </w:tc>
        <w:tc>
          <w:tcPr>
            <w:tcW w:type="dxa" w:w="2493"/>
            <w:shd w:val="clear" w:color="auto" w:fill="F4F1E8"/>
            <w:tcBorders>
              <w:top w:val="single" w:sz="4" w:color="BFBFBF"/>
              <w:bottom w:val="single" w:sz="4" w:color="BFBFBF"/>
            </w:tcBorders>
          </w:tcPr>
          <w:p>
            <w:r>
              <w:rPr>
                <w:sz w:val="19"/>
              </w:rPr>
              <w:t>1.44M / 1.36M</w:t>
            </w:r>
          </w:p>
        </w:tc>
      </w:tr>
      <w:tr>
        <w:tc>
          <w:tcPr>
            <w:tcW w:type="dxa" w:w="2493"/>
            <w:tcBorders>
              <w:top w:val="single" w:sz="4" w:color="BFBFBF"/>
              <w:bottom w:val="single" w:sz="4" w:color="BFBFBF"/>
            </w:tcBorders>
          </w:tcPr>
          <w:p>
            <w:r>
              <w:rPr>
                <w:sz w:val="19"/>
              </w:rPr>
              <w:t>Thu 5/21</w:t>
            </w:r>
          </w:p>
        </w:tc>
        <w:tc>
          <w:tcPr>
            <w:tcW w:type="dxa" w:w="2493"/>
            <w:tcBorders>
              <w:top w:val="single" w:sz="4" w:color="BFBFBF"/>
              <w:bottom w:val="single" w:sz="4" w:color="BFBFBF"/>
            </w:tcBorders>
          </w:tcPr>
          <w:p>
            <w:r>
              <w:rPr>
                <w:sz w:val="19"/>
              </w:rPr>
              <w:t>8:30 AM</w:t>
            </w:r>
          </w:p>
        </w:tc>
        <w:tc>
          <w:tcPr>
            <w:tcW w:type="dxa" w:w="2493"/>
            <w:tcBorders>
              <w:top w:val="single" w:sz="4" w:color="BFBFBF"/>
              <w:bottom w:val="single" w:sz="4" w:color="BFBFBF"/>
            </w:tcBorders>
          </w:tcPr>
          <w:p>
            <w:r>
              <w:rPr>
                <w:sz w:val="19"/>
              </w:rPr>
              <w:t>Initial Jobless Claims</w:t>
            </w:r>
          </w:p>
        </w:tc>
        <w:tc>
          <w:tcPr>
            <w:tcW w:type="dxa" w:w="2493"/>
            <w:tcBorders>
              <w:top w:val="single" w:sz="4" w:color="BFBFBF"/>
              <w:bottom w:val="single" w:sz="4" w:color="BFBFBF"/>
            </w:tcBorders>
          </w:tcPr>
          <w:p>
            <w:r>
              <w:rPr>
                <w:sz w:val="19"/>
              </w:rPr>
              <w:t>228K</w:t>
            </w:r>
          </w:p>
        </w:tc>
      </w:tr>
      <w:tr>
        <w:tc>
          <w:tcPr>
            <w:tcW w:type="dxa" w:w="2493"/>
            <w:shd w:val="clear" w:color="auto" w:fill="F4F1E8"/>
            <w:tcBorders>
              <w:top w:val="single" w:sz="4" w:color="BFBFBF"/>
              <w:bottom w:val="single" w:sz="4" w:color="BFBFBF"/>
            </w:tcBorders>
          </w:tcPr>
          <w:p>
            <w:r>
              <w:rPr>
                <w:sz w:val="19"/>
              </w:rPr>
              <w:t>Thu 5/21</w:t>
            </w:r>
          </w:p>
        </w:tc>
        <w:tc>
          <w:tcPr>
            <w:tcW w:type="dxa" w:w="2493"/>
            <w:shd w:val="clear" w:color="auto" w:fill="F4F1E8"/>
            <w:tcBorders>
              <w:top w:val="single" w:sz="4" w:color="BFBFBF"/>
              <w:bottom w:val="single" w:sz="4" w:color="BFBFBF"/>
            </w:tcBorders>
          </w:tcPr>
          <w:p>
            <w:r>
              <w:rPr>
                <w:sz w:val="19"/>
              </w:rPr>
              <w:t>8:30 AM</w:t>
            </w:r>
          </w:p>
        </w:tc>
        <w:tc>
          <w:tcPr>
            <w:tcW w:type="dxa" w:w="2493"/>
            <w:shd w:val="clear" w:color="auto" w:fill="F4F1E8"/>
            <w:tcBorders>
              <w:top w:val="single" w:sz="4" w:color="BFBFBF"/>
              <w:bottom w:val="single" w:sz="4" w:color="BFBFBF"/>
            </w:tcBorders>
          </w:tcPr>
          <w:p>
            <w:r>
              <w:rPr>
                <w:sz w:val="19"/>
              </w:rPr>
              <w:t>Philly Fed Mfg. (May)</w:t>
            </w:r>
          </w:p>
        </w:tc>
        <w:tc>
          <w:tcPr>
            <w:tcW w:type="dxa" w:w="2493"/>
            <w:shd w:val="clear" w:color="auto" w:fill="F4F1E8"/>
            <w:tcBorders>
              <w:top w:val="single" w:sz="4" w:color="BFBFBF"/>
              <w:bottom w:val="single" w:sz="4" w:color="BFBFBF"/>
            </w:tcBorders>
          </w:tcPr>
          <w:p>
            <w:r>
              <w:rPr>
                <w:sz w:val="19"/>
              </w:rPr>
              <w:t>-2.0</w:t>
            </w:r>
          </w:p>
        </w:tc>
      </w:tr>
      <w:tr>
        <w:tc>
          <w:tcPr>
            <w:tcW w:type="dxa" w:w="2493"/>
            <w:tcBorders>
              <w:top w:val="single" w:sz="4" w:color="BFBFBF"/>
              <w:bottom w:val="single" w:sz="4" w:color="BFBFBF"/>
            </w:tcBorders>
          </w:tcPr>
          <w:p>
            <w:r>
              <w:rPr>
                <w:sz w:val="19"/>
              </w:rPr>
              <w:t>Thu 5/21</w:t>
            </w:r>
          </w:p>
        </w:tc>
        <w:tc>
          <w:tcPr>
            <w:tcW w:type="dxa" w:w="2493"/>
            <w:tcBorders>
              <w:top w:val="single" w:sz="4" w:color="BFBFBF"/>
              <w:bottom w:val="single" w:sz="4" w:color="BFBFBF"/>
            </w:tcBorders>
          </w:tcPr>
          <w:p>
            <w:r>
              <w:rPr>
                <w:sz w:val="19"/>
              </w:rPr>
              <w:t>Before open</w:t>
            </w:r>
          </w:p>
        </w:tc>
        <w:tc>
          <w:tcPr>
            <w:tcW w:type="dxa" w:w="2493"/>
            <w:tcBorders>
              <w:top w:val="single" w:sz="4" w:color="BFBFBF"/>
              <w:bottom w:val="single" w:sz="4" w:color="BFBFBF"/>
            </w:tcBorders>
          </w:tcPr>
          <w:p>
            <w:r>
              <w:rPr>
                <w:sz w:val="19"/>
              </w:rPr>
              <w:t>Walmart (WMT) Q1</w:t>
            </w:r>
          </w:p>
        </w:tc>
        <w:tc>
          <w:tcPr>
            <w:tcW w:type="dxa" w:w="2493"/>
            <w:tcBorders>
              <w:top w:val="single" w:sz="4" w:color="BFBFBF"/>
              <w:bottom w:val="single" w:sz="4" w:color="BFBFBF"/>
            </w:tcBorders>
          </w:tcPr>
          <w:p>
            <w:r>
              <w:rPr>
                <w:sz w:val="19"/>
              </w:rPr>
              <w:t>EPS $0.66 / Rev $171B</w:t>
            </w:r>
          </w:p>
        </w:tc>
      </w:tr>
      <w:tr>
        <w:tc>
          <w:tcPr>
            <w:tcW w:type="dxa" w:w="2493"/>
            <w:shd w:val="clear" w:color="auto" w:fill="F4F1E8"/>
            <w:tcBorders>
              <w:top w:val="single" w:sz="4" w:color="BFBFBF"/>
              <w:bottom w:val="single" w:sz="4" w:color="BFBFBF"/>
            </w:tcBorders>
          </w:tcPr>
          <w:p>
            <w:r>
              <w:rPr>
                <w:sz w:val="19"/>
              </w:rPr>
              <w:t>Thu 5/21</w:t>
            </w:r>
          </w:p>
        </w:tc>
        <w:tc>
          <w:tcPr>
            <w:tcW w:type="dxa" w:w="2493"/>
            <w:shd w:val="clear" w:color="auto" w:fill="F4F1E8"/>
            <w:tcBorders>
              <w:top w:val="single" w:sz="4" w:color="BFBFBF"/>
              <w:bottom w:val="single" w:sz="4" w:color="BFBFBF"/>
            </w:tcBorders>
          </w:tcPr>
          <w:p>
            <w:r>
              <w:rPr>
                <w:sz w:val="19"/>
              </w:rPr>
              <w:t>10:00 AM</w:t>
            </w:r>
          </w:p>
        </w:tc>
        <w:tc>
          <w:tcPr>
            <w:tcW w:type="dxa" w:w="2493"/>
            <w:shd w:val="clear" w:color="auto" w:fill="F4F1E8"/>
            <w:tcBorders>
              <w:top w:val="single" w:sz="4" w:color="BFBFBF"/>
              <w:bottom w:val="single" w:sz="4" w:color="BFBFBF"/>
            </w:tcBorders>
          </w:tcPr>
          <w:p>
            <w:r>
              <w:rPr>
                <w:sz w:val="19"/>
              </w:rPr>
              <w:t>Existing Home Sales (Apr)</w:t>
            </w:r>
          </w:p>
        </w:tc>
        <w:tc>
          <w:tcPr>
            <w:tcW w:type="dxa" w:w="2493"/>
            <w:shd w:val="clear" w:color="auto" w:fill="F4F1E8"/>
            <w:tcBorders>
              <w:top w:val="single" w:sz="4" w:color="BFBFBF"/>
              <w:bottom w:val="single" w:sz="4" w:color="BFBFBF"/>
            </w:tcBorders>
          </w:tcPr>
          <w:p>
            <w:r>
              <w:rPr>
                <w:sz w:val="19"/>
              </w:rPr>
              <w:t>4.10M</w:t>
            </w:r>
          </w:p>
        </w:tc>
      </w:tr>
      <w:tr>
        <w:tc>
          <w:tcPr>
            <w:tcW w:type="dxa" w:w="2493"/>
            <w:tcBorders>
              <w:top w:val="single" w:sz="4" w:color="BFBFBF"/>
              <w:bottom w:val="single" w:sz="4" w:color="BFBFBF"/>
            </w:tcBorders>
          </w:tcPr>
          <w:p>
            <w:r>
              <w:rPr>
                <w:sz w:val="19"/>
              </w:rPr>
              <w:t>Thu 5/21</w:t>
            </w:r>
          </w:p>
        </w:tc>
        <w:tc>
          <w:tcPr>
            <w:tcW w:type="dxa" w:w="2493"/>
            <w:tcBorders>
              <w:top w:val="single" w:sz="4" w:color="BFBFBF"/>
              <w:bottom w:val="single" w:sz="4" w:color="BFBFBF"/>
            </w:tcBorders>
          </w:tcPr>
          <w:p>
            <w:r>
              <w:rPr>
                <w:sz w:val="19"/>
              </w:rPr>
              <w:t>2:00 PM</w:t>
            </w:r>
          </w:p>
        </w:tc>
        <w:tc>
          <w:tcPr>
            <w:tcW w:type="dxa" w:w="2493"/>
            <w:tcBorders>
              <w:top w:val="single" w:sz="4" w:color="BFBFBF"/>
              <w:bottom w:val="single" w:sz="4" w:color="BFBFBF"/>
            </w:tcBorders>
          </w:tcPr>
          <w:p>
            <w:r>
              <w:rPr>
                <w:sz w:val="19"/>
              </w:rPr>
              <w:t>FOMC Minutes (Apr 28–29)</w:t>
            </w:r>
          </w:p>
        </w:tc>
        <w:tc>
          <w:tcPr>
            <w:tcW w:type="dxa" w:w="2493"/>
            <w:tcBorders>
              <w:top w:val="single" w:sz="4" w:color="BFBFBF"/>
              <w:bottom w:val="single" w:sz="4" w:color="BFBFBF"/>
            </w:tcBorders>
          </w:tcPr>
          <w:p>
            <w:r>
              <w:rPr>
                <w:sz w:val="19"/>
              </w:rPr>
              <w:t>—</w:t>
            </w:r>
          </w:p>
        </w:tc>
      </w:tr>
      <w:tr>
        <w:tc>
          <w:tcPr>
            <w:tcW w:type="dxa" w:w="2493"/>
            <w:shd w:val="clear" w:color="auto" w:fill="F4F1E8"/>
            <w:tcBorders>
              <w:top w:val="single" w:sz="4" w:color="BFBFBF"/>
              <w:bottom w:val="single" w:sz="4" w:color="BFBFBF"/>
            </w:tcBorders>
          </w:tcPr>
          <w:p>
            <w:r>
              <w:rPr>
                <w:sz w:val="19"/>
              </w:rPr>
              <w:t>Fri 5/22</w:t>
            </w:r>
          </w:p>
        </w:tc>
        <w:tc>
          <w:tcPr>
            <w:tcW w:type="dxa" w:w="2493"/>
            <w:shd w:val="clear" w:color="auto" w:fill="F4F1E8"/>
            <w:tcBorders>
              <w:top w:val="single" w:sz="4" w:color="BFBFBF"/>
              <w:bottom w:val="single" w:sz="4" w:color="BFBFBF"/>
            </w:tcBorders>
          </w:tcPr>
          <w:p>
            <w:r>
              <w:rPr>
                <w:sz w:val="19"/>
              </w:rPr>
              <w:t>9:45 AM</w:t>
            </w:r>
          </w:p>
        </w:tc>
        <w:tc>
          <w:tcPr>
            <w:tcW w:type="dxa" w:w="2493"/>
            <w:shd w:val="clear" w:color="auto" w:fill="F4F1E8"/>
            <w:tcBorders>
              <w:top w:val="single" w:sz="4" w:color="BFBFBF"/>
              <w:bottom w:val="single" w:sz="4" w:color="BFBFBF"/>
            </w:tcBorders>
          </w:tcPr>
          <w:p>
            <w:r>
              <w:rPr>
                <w:sz w:val="19"/>
              </w:rPr>
              <w:t>S&amp;P Global Flash PMIs (May)</w:t>
            </w:r>
          </w:p>
        </w:tc>
        <w:tc>
          <w:tcPr>
            <w:tcW w:type="dxa" w:w="2493"/>
            <w:shd w:val="clear" w:color="auto" w:fill="F4F1E8"/>
            <w:tcBorders>
              <w:top w:val="single" w:sz="4" w:color="BFBFBF"/>
              <w:bottom w:val="single" w:sz="4" w:color="BFBFBF"/>
            </w:tcBorders>
          </w:tcPr>
          <w:p>
            <w:r>
              <w:rPr>
                <w:sz w:val="19"/>
              </w:rPr>
              <w:t>Mfg 49.2 / Svc 51.3</w:t>
            </w:r>
          </w:p>
        </w:tc>
      </w:tr>
    </w:tbl>
    <w:p>
      <w:pPr>
        <w:spacing w:before="360" w:after="120"/>
        <w:pBdr>
          <w:bottom w:val="single" w:sz="12" w:color="C9A227"/>
        </w:pBdr>
      </w:pPr>
      <w:r>
        <w:rPr>
          <w:rFonts w:ascii="Calibri" w:hAnsi="Calibri"/>
          <w:b/>
          <w:color w:val="0A1F44"/>
          <w:sz w:val="26"/>
        </w:rPr>
        <w:t>6. EARNINGS WATCH</w:t>
      </w:r>
    </w:p>
    <w:p>
      <w:pPr>
        <w:spacing w:after="120"/>
      </w:pPr>
      <w:r>
        <w:rPr>
          <w:i w:val="0"/>
          <w:color w:val="101010"/>
          <w:sz w:val="21"/>
        </w:rPr>
        <w:t>The week's two storylines — AI capex and the rate-pressured consumer — both crest today. On the consumer side, Lowe's beat (adj. $3.03, comps +0.6%, online +15.5%) confirms the Home Depot read: home-improvement demand is stabilizing even with mortgage rates near 8%. Target before the open is the wild card; sentiment is washed out, short interest elevated, and the options market implies a ±8.5% move. A beat plus reaffirmed guidance is the recipe for a squeeze.</w:t>
      </w:r>
    </w:p>
    <w:p>
      <w:pPr>
        <w:spacing w:after="120"/>
      </w:pPr>
      <w:r>
        <w:rPr>
          <w:i w:val="0"/>
          <w:color w:val="101010"/>
          <w:sz w:val="21"/>
        </w:rPr>
        <w:t>But the marquee event is Nvidia tonight. The setup matters as much as the number: with the stock having bounced off a multi-week low, positioning is no longer one-sided, which raises the bar for a clean upside reaction. Watch three things on the call — Q2 revenue guidance (&gt;$90B is the bull line), gross margin trajectory (Blackwell ramp costs), and any commentary on China H20 shipments. Walmart Thursday closes the retail trifecta; consensus $0.66 / $171B with ex-fuel U.S. comps seen +3.86%. Roughly 95% of the S&amp;P 500 has now reported Q1, with blended growth at +11.4% and 76% beating on EPS.</w:t>
      </w:r>
    </w:p>
    <w:p>
      <w:pPr>
        <w:spacing w:before="360" w:after="120"/>
        <w:pBdr>
          <w:bottom w:val="single" w:sz="12" w:color="C9A227"/>
        </w:pBdr>
      </w:pPr>
      <w:r>
        <w:rPr>
          <w:rFonts w:ascii="Calibri" w:hAnsi="Calibri"/>
          <w:b/>
          <w:color w:val="0A1F44"/>
          <w:sz w:val="26"/>
        </w:rPr>
        <w:t>7. SECTOR SPOTLIGHT: SEMICONDUCTORS</w:t>
      </w:r>
    </w:p>
    <w:p>
      <w:pPr>
        <w:spacing w:after="120"/>
      </w:pPr>
      <w:r>
        <w:rPr>
          <w:i w:val="0"/>
          <w:color w:val="101010"/>
          <w:sz w:val="21"/>
        </w:rPr>
        <w:t>All eyes — and an outsized share of index weight — sit on the chips today. The iShares Semiconductor ETF (SMH) is up 2.2% pre-market, with the rebound notably broad: Intel +4.8%, Marvell +4.7%, Micron +3.4%, Broadcom +2.1%, AMD +1.9%. The breadth matters because it suggests the bid is a genuine pre-Nvidia risk-on rotation rather than a narrow Nvidia-only trade. Year-to-date, the SOX index is up just 3% — a striking underperformance versus the AI narrative, and a sign that the group has already de-rated meaningfully on rate and China-export concerns.</w:t>
      </w:r>
    </w:p>
    <w:p>
      <w:pPr>
        <w:spacing w:after="120"/>
      </w:pPr>
      <w:r>
        <w:rPr>
          <w:i w:val="0"/>
          <w:color w:val="101010"/>
          <w:sz w:val="21"/>
        </w:rPr>
        <w:t>The asymmetry into tonight is the whole story. The semis carry roughly 11% of S&amp;P 500 weight; a 7% Nvidia move translates to roughly 30 S&amp;P points on its own, before the sympathy moves in AMD, Broadcom, and the hyperscalers (MSFT, GOOGL, META, AMZN) that buy Nvidia's chips. This is the rare single corporate event with genuine index-level consequences — closer to a Fed day than an ordinary earnings report.</w:t>
      </w:r>
    </w:p>
    <w:p>
      <w:pPr>
        <w:spacing w:before="360" w:after="120"/>
        <w:pBdr>
          <w:bottom w:val="single" w:sz="12" w:color="C9A227"/>
        </w:pBdr>
      </w:pPr>
      <w:r>
        <w:rPr>
          <w:rFonts w:ascii="Calibri" w:hAnsi="Calibri"/>
          <w:b/>
          <w:color w:val="0A1F44"/>
          <w:sz w:val="26"/>
        </w:rPr>
        <w:t>8. ANALYST CALLS DRIVING ACTION</w:t>
      </w:r>
    </w:p>
    <w:p>
      <w:pPr>
        <w:spacing w:after="120"/>
      </w:pPr>
      <w:r>
        <w:rPr>
          <w:i w:val="0"/>
          <w:color w:val="101010"/>
          <w:sz w:val="21"/>
        </w:rPr>
        <w:t>Notable upgrades / target hikes: Most-accurate analysts revised Nvidia targets higher into the print — Morgan Stanley to $245 (from $230), Cantor to $260 (from $220), and Melius to $275, the Street high. Citi reiterated Buy on Lowe's (LOW) with a $290 PT post-earnings. Evercore upgraded Intel (INTC) to In-Line with a $120 PT on foundry-order momentum. KeyBanc raised Micron (MU) to Overweight on HBM pricing power.</w:t>
      </w:r>
    </w:p>
    <w:p>
      <w:pPr>
        <w:spacing w:after="120"/>
      </w:pPr>
      <w:r>
        <w:rPr>
          <w:i w:val="0"/>
          <w:color w:val="101010"/>
          <w:sz w:val="21"/>
        </w:rPr>
        <w:t>Notable downgrades / target cuts: Wells Fargo cut its 30-year-rate-sensitive REIT coverage, downgrading Realty Income (O) and Federal Realty (FRT) to Equal-Weight. Barclays trimmed homebuilder targets across the board (DHI, LEN, PHM) on the mortgage-rate spike. Goldman cut long-duration tech names UiPath (PATH) and Snowflake (SNOW) on multiple compression from higher discount rates.</w:t>
      </w:r>
    </w:p>
    <w:p>
      <w:pPr>
        <w:spacing w:before="360" w:after="120"/>
        <w:pBdr>
          <w:bottom w:val="single" w:sz="12" w:color="C9A227"/>
        </w:pBdr>
      </w:pPr>
      <w:r>
        <w:rPr>
          <w:rFonts w:ascii="Calibri" w:hAnsi="Calibri"/>
          <w:b/>
          <w:color w:val="0A1F44"/>
          <w:sz w:val="26"/>
        </w:rPr>
        <w:t>9. STOCKS TO WATCH</w:t>
      </w:r>
    </w:p>
    <w:p>
      <w:pPr>
        <w:spacing w:after="120"/>
      </w:pPr>
      <w:r>
        <w:rPr>
          <w:i w:val="0"/>
          <w:color w:val="101010"/>
          <w:sz w:val="21"/>
        </w:rPr>
        <w:t>Nvidia (NVDA) — Pre-market $224, up 1.6%. Reports after close. Implied move ±7.2%. Q2 guidance above $90B is the bull line; watch China H20 commentary and Blackwell gross margins.</w:t>
      </w:r>
    </w:p>
    <w:p>
      <w:pPr>
        <w:spacing w:after="120"/>
      </w:pPr>
      <w:r>
        <w:rPr>
          <w:i w:val="0"/>
          <w:color w:val="101010"/>
          <w:sz w:val="21"/>
        </w:rPr>
        <w:t>Target (TGT) — Reports before open. Implied move ±8.5%. Washed-out sentiment + low bar = squeeze setup on any clean print.</w:t>
      </w:r>
    </w:p>
    <w:p>
      <w:pPr>
        <w:spacing w:after="120"/>
      </w:pPr>
      <w:r>
        <w:rPr>
          <w:i w:val="0"/>
          <w:color w:val="101010"/>
          <w:sz w:val="21"/>
        </w:rPr>
        <w:t>Lowe's (LOW) — Up ~3% pre-market on the beat. Watch follow-through above the $250 level.</w:t>
      </w:r>
    </w:p>
    <w:p>
      <w:pPr>
        <w:spacing w:after="120"/>
      </w:pPr>
      <w:r>
        <w:rPr>
          <w:i w:val="0"/>
          <w:color w:val="101010"/>
          <w:sz w:val="21"/>
        </w:rPr>
        <w:t>Intel (INTC) — +4.8% pre-market to $115.58, leading the chip rebound on foundry-order momentum and the Evercore upgrade.</w:t>
      </w:r>
    </w:p>
    <w:p>
      <w:pPr>
        <w:spacing w:after="120"/>
      </w:pPr>
      <w:r>
        <w:rPr>
          <w:i w:val="0"/>
          <w:color w:val="101010"/>
          <w:sz w:val="21"/>
        </w:rPr>
        <w:t>Micron (MU) — +3.4% on the KeyBanc upgrade and HBM pricing tailwinds; a key Nvidia-supply-chain proxy into tonight.</w:t>
      </w:r>
    </w:p>
    <w:p>
      <w:pPr>
        <w:spacing w:after="120"/>
      </w:pPr>
      <w:r>
        <w:rPr>
          <w:i w:val="0"/>
          <w:color w:val="101010"/>
          <w:sz w:val="21"/>
        </w:rPr>
        <w:t>Homebuilders (DHI, LEN, PHM) — Under pressure as the 30-year mortgage rate hits 7.91%. Barclays target cuts add to the bearish tone.</w:t>
      </w:r>
    </w:p>
    <w:p>
      <w:pPr>
        <w:spacing w:after="120"/>
      </w:pPr>
      <w:r>
        <w:rPr>
          <w:i w:val="0"/>
          <w:color w:val="101010"/>
          <w:sz w:val="21"/>
        </w:rPr>
        <w:t>TLT (20+ Yr Treasury ETF) — At a fresh 52-week low. The single cleanest expression of the long-bond stress; watch the 1:00 p.m. 20-year auction for the next leg.</w:t>
      </w:r>
    </w:p>
    <w:p>
      <w:pPr>
        <w:spacing w:before="360" w:after="120"/>
        <w:pBdr>
          <w:bottom w:val="single" w:sz="12" w:color="C9A227"/>
        </w:pBdr>
      </w:pPr>
      <w:r>
        <w:rPr>
          <w:rFonts w:ascii="Calibri" w:hAnsi="Calibri"/>
          <w:b/>
          <w:color w:val="0A1F44"/>
          <w:sz w:val="26"/>
        </w:rPr>
        <w:t>10. GLOBAL MACRO SNAPSHOT</w:t>
      </w:r>
    </w:p>
    <w:p>
      <w:pPr>
        <w:spacing w:after="120"/>
      </w:pPr>
      <w:r>
        <w:rPr>
          <w:i w:val="0"/>
          <w:color w:val="101010"/>
          <w:sz w:val="21"/>
        </w:rPr>
        <w:t>Europe: Stoxx 600 modestly lower, tracking the U.S. rates move; the German 10-year Bund yield climbed to 2.78%, a fresh multi-month high, in sympathy with Treasuries. UK April CPI printed +3.3% Y/Y this morning, a touch hotter than the 3.2% consensus, reinforcing the global inflation-stickiness narrative. ECB's Lagarde speaks tomorrow at the Brussels Forum.</w:t>
      </w:r>
    </w:p>
    <w:p>
      <w:pPr>
        <w:spacing w:after="120"/>
      </w:pPr>
      <w:r>
        <w:rPr>
          <w:i w:val="0"/>
          <w:color w:val="101010"/>
          <w:sz w:val="21"/>
        </w:rPr>
        <w:t>Asia: Markets reopened after Monday's holidays and traded modestly lower — Nikkei -0.47%, Hang Seng -0.26% — as the global bond selloff weighed. Japan's stronger-than-expected Q1 GDP (+2.1% annualized) keeps a June BoJ hike on the table; the yen held near 158.90.</w:t>
      </w:r>
    </w:p>
    <w:p>
      <w:pPr>
        <w:spacing w:after="120"/>
      </w:pPr>
      <w:r>
        <w:rPr>
          <w:i w:val="0"/>
          <w:color w:val="101010"/>
          <w:sz w:val="21"/>
        </w:rPr>
        <w:t>Emerging markets: The renewed dollar bid is pressuring EM FX again after Monday's reprieve. Turkey's central bank decision tomorrow is the regional focus; consensus is for the benchmark to hold at 50%. India's Sensex remains the EM outperformer, up 2% over the past month.</w:t>
      </w:r>
    </w:p>
    <w:p>
      <w:pPr>
        <w:spacing w:before="360" w:after="120"/>
        <w:pBdr>
          <w:bottom w:val="single" w:sz="12" w:color="C9A227"/>
        </w:pBdr>
      </w:pPr>
      <w:r>
        <w:rPr>
          <w:rFonts w:ascii="Calibri" w:hAnsi="Calibri"/>
          <w:b/>
          <w:color w:val="0A1F44"/>
          <w:sz w:val="26"/>
        </w:rPr>
        <w:t>11. WEEK AHEAD PREVIEW</w:t>
      </w:r>
    </w:p>
    <w:p>
      <w:pPr>
        <w:spacing w:after="120"/>
      </w:pPr>
      <w:r>
        <w:rPr>
          <w:i w:val="0"/>
          <w:color w:val="101010"/>
          <w:sz w:val="21"/>
        </w:rPr>
        <w:t>The next 30 hours carry more event risk than the rest of the month combined.</w:t>
      </w:r>
    </w:p>
    <w:p>
      <w:pPr>
        <w:spacing w:after="120"/>
      </w:pPr>
      <w:r>
        <w:rPr>
          <w:i w:val="0"/>
          <w:color w:val="101010"/>
          <w:sz w:val="21"/>
        </w:rPr>
        <w:t>(1) Tonight, after close — Nvidia. Q2 guidance above $90B reignites the AI trade and likely the broad tape; below $87B confirms the rotation out of megacap growth.</w:t>
      </w:r>
    </w:p>
    <w:p>
      <w:pPr>
        <w:spacing w:after="120"/>
      </w:pPr>
      <w:r>
        <w:rPr>
          <w:i w:val="0"/>
          <w:color w:val="101010"/>
          <w:sz w:val="21"/>
        </w:rPr>
        <w:t>(2) Tomorrow 2:00 p.m. — FOMC minutes. The read on how serious the hike camp is. A hawkish set of minutes pushes the 30-year toward 5.25%+.</w:t>
      </w:r>
    </w:p>
    <w:p>
      <w:pPr>
        <w:spacing w:after="120"/>
      </w:pPr>
      <w:r>
        <w:rPr>
          <w:i w:val="0"/>
          <w:color w:val="101010"/>
          <w:sz w:val="21"/>
        </w:rPr>
        <w:t>(3) Friday 9:45 a.m. — flash PMIs. The first hint of whether the rate and energy shock is finally crimping growth — the one development that could reverse the relentless bond selloff.</w:t>
      </w:r>
    </w:p>
    <w:p>
      <w:pPr>
        <w:spacing w:after="120"/>
      </w:pPr>
      <w:r>
        <w:rPr>
          <w:i w:val="0"/>
          <w:color w:val="101010"/>
          <w:sz w:val="21"/>
        </w:rPr>
        <w:t>Also on deck: Walmart Thursday (the consumer's marquee print) and Powell today at 9:00.</w:t>
      </w:r>
    </w:p>
    <w:p>
      <w:pPr>
        <w:spacing w:before="360" w:after="120"/>
        <w:pBdr>
          <w:bottom w:val="single" w:sz="12" w:color="C9A227"/>
        </w:pBdr>
      </w:pPr>
      <w:r>
        <w:rPr>
          <w:rFonts w:ascii="Calibri" w:hAnsi="Calibri"/>
          <w:b/>
          <w:color w:val="0A1F44"/>
          <w:sz w:val="26"/>
        </w:rPr>
        <w:t>12. THE CLOSING THOUGHT</w:t>
      </w:r>
    </w:p>
    <w:p>
      <w:pPr>
        <w:spacing w:after="120"/>
      </w:pPr>
      <w:r>
        <w:rPr>
          <w:i/>
          <w:color w:val="0A1F44"/>
          <w:sz w:val="21"/>
        </w:rPr>
        <w:t>Markets love a clean narrative, and today they have an unusually pure one: a single company, reporting after a single bell, will tell us whether the defining investment theme of the decade is still intact. But the more important story may be the quieter one playing out in the bond market, where the 30-year yield just hit a level not seen in nineteen years and fund managers are openly discussing 6%. If Nvidia delivers and the AI trade roars back, the celebration could be short-lived — because a 6% long bond eventually breaks something, whether it is housing, leveraged credit, or the equity multiple itself. Tonight we learn about the numerator. The denominator, sitting at 5.19% and climbing, is the part that should keep you up at night. Trade it carefully.</w:t>
      </w:r>
    </w:p>
    <w:p>
      <w:pPr>
        <w:spacing w:after="120"/>
      </w:pPr>
      <w:r>
        <w:rPr>
          <w:i w:val="0"/>
          <w:color w:val="101010"/>
          <w:sz w:val="21"/>
        </w:rPr>
      </w:r>
    </w:p>
    <w:p>
      <w:pPr>
        <w:jc w:val="center"/>
      </w:pPr>
      <w:r>
        <w:rPr>
          <w:i/>
          <w:color w:val="555555"/>
          <w:sz w:val="16"/>
        </w:rPr>
        <w:t>— The Brookside Brief  •  Compiled 9:30 AM ET  •  Sources: WSJ, CNBC, CNN, Bloomberg, Reuters, Kiplinger, TradingEconomics, S&amp;P Global, BLS, U.S. Treasury —</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