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b/>
          <w:color w:val="0A1F44"/>
          <w:sz w:val="56"/>
        </w:rPr>
        <w:t>THE BROOKSIDE BRIEF</w:t>
      </w:r>
    </w:p>
    <w:p>
      <w:pPr>
        <w:spacing w:after="0"/>
        <w:jc w:val="center"/>
      </w:pPr>
      <w:r>
        <w:rPr>
          <w:i/>
          <w:color w:val="555555"/>
          <w:sz w:val="21"/>
        </w:rPr>
        <w:t>A morning briefing on markets, macro, and the day ahead</w:t>
      </w:r>
    </w:p>
    <w:p>
      <w:pPr>
        <w:spacing w:before="80" w:after="160"/>
        <w:jc w:val="center"/>
        <w:pBdr>
          <w:bottom w:val="single" w:sz="18" w:color="0A1F44"/>
        </w:pBdr>
      </w:pPr>
      <w:r>
        <w:rPr>
          <w:b/>
          <w:color w:val="C9A227"/>
          <w:sz w:val="20"/>
        </w:rPr>
        <w:t>Thursday, May 21, 2026  •  9:30 AM ET</w:t>
      </w:r>
    </w:p>
    <w:p>
      <w:pPr>
        <w:spacing w:before="360" w:after="120"/>
        <w:pBdr>
          <w:bottom w:val="single" w:sz="12" w:color="C9A227"/>
        </w:pBdr>
      </w:pPr>
      <w:r>
        <w:rPr>
          <w:rFonts w:ascii="Calibri" w:hAnsi="Calibri"/>
          <w:b/>
          <w:color w:val="0A1F44"/>
          <w:sz w:val="26"/>
        </w:rPr>
        <w:t>1. THE MORNING SETUP</w:t>
      </w:r>
    </w:p>
    <w:p>
      <w:pPr>
        <w:spacing w:after="120"/>
      </w:pPr>
      <w:r>
        <w:rPr>
          <w:i w:val="0"/>
          <w:color w:val="101010"/>
          <w:sz w:val="21"/>
        </w:rPr>
        <w:t>Good morning. Nvidia delivered — and the market's reaction tells you everything about where sentiment sits. The chip giant beat on the top and bottom line ($81.6B revenue, $1.87 EPS), guided Q2 to a stunning $91 billion (well above the $87B consensus), announced an additional $80 billion buyback, and raised its dividend twenty-five-fold. By any historical standard it was a blowout. And yet the stock initially fell about 1% after-hours on a data-center compute line that narrowly missed the most aggressive whisper numbers, before steadying. When a beat-and-raise of that magnitude can't move the stock decisively higher, it tells you just how much good news was already in the price.</w:t>
      </w:r>
    </w:p>
    <w:p>
      <w:pPr>
        <w:spacing w:after="120"/>
      </w:pPr>
      <w:r>
        <w:rPr>
          <w:i w:val="0"/>
          <w:color w:val="101010"/>
          <w:sz w:val="21"/>
        </w:rPr>
        <w:t>The broader tape, though, liked it. Wednesday's regular session snapped a three-day losing streak — the S&amp;P 500 rose 1%, the Dow and Nasdaq each gained roughly 1.2% — helped as much by easing oil and a pause in the bond rout as by pre-Nvidia positioning. That relief is already fading this morning. Oil has turned sharply higher (WTI +2.9% to $101, Brent +2.3% to $107) on renewed Iran-supply worries, and the 30-year yield is resuming its climb toward the 5.198% high it set Tuesday. Equity futures are modestly lower.</w:t>
      </w:r>
    </w:p>
    <w:p>
      <w:pPr>
        <w:spacing w:after="120"/>
      </w:pPr>
      <w:r>
        <w:rPr>
          <w:i w:val="0"/>
          <w:color w:val="101010"/>
          <w:sz w:val="21"/>
        </w:rPr>
        <w:t>All of which sets up a genuinely pivotal afternoon: the April FOMC minutes drop at 2:00 p.m. ET. After a week in which markets moved from pricing cuts to pricing hikes, the minutes will reveal exactly how serious the hawkish faction on the Committee has become. With Walmart this morning warning on full-year guidance — and explicitly citing higher fuel costs tied to the Iran conflict — the stagflation whisper is getting louder. Today is about whether the Fed confirms it.</w:t>
      </w:r>
    </w:p>
    <w:p>
      <w:pPr>
        <w:spacing w:before="360" w:after="120"/>
        <w:pBdr>
          <w:bottom w:val="single" w:sz="12" w:color="C9A227"/>
        </w:pBdr>
      </w:pPr>
      <w:r>
        <w:rPr>
          <w:rFonts w:ascii="Calibri" w:hAnsi="Calibri"/>
          <w:b/>
          <w:color w:val="0A1F44"/>
          <w:sz w:val="26"/>
        </w:rPr>
        <w:t>2. MARKETS AT A GLANCE</w:t>
      </w:r>
    </w:p>
    <w:p>
      <w:pPr>
        <w:spacing w:before="200" w:after="40"/>
      </w:pPr>
      <w:r>
        <w:rPr>
          <w:b/>
          <w:color w:val="0A1F44"/>
          <w:sz w:val="22"/>
        </w:rPr>
        <w:t>U.S. Equity Futures (pre-open)</w:t>
      </w:r>
    </w:p>
    <w:tbl>
      <w:tblPr>
        <w:tblW w:type="auto" w:w="0"/>
        <w:jc w:val="left"/>
        <w:tblLook w:firstColumn="1" w:firstRow="1" w:lastColumn="0" w:lastRow="0" w:noHBand="0" w:noVBand="1" w:val="04A0"/>
      </w:tblPr>
      <w:tblGrid>
        <w:gridCol w:w="2493"/>
        <w:gridCol w:w="2493"/>
        <w:gridCol w:w="2493"/>
        <w:gridCol w:w="2493"/>
      </w:tblGrid>
      <w:tr>
        <w:tc>
          <w:tcPr>
            <w:tcW w:type="dxa" w:w="2493"/>
            <w:shd w:val="clear" w:color="auto" w:fill="0A1F44"/>
          </w:tcPr>
          <w:p>
            <w:r>
              <w:rPr>
                <w:b/>
                <w:color w:val="FFFFFF"/>
                <w:sz w:val="20"/>
              </w:rPr>
              <w:t>Asset</w:t>
            </w:r>
          </w:p>
        </w:tc>
        <w:tc>
          <w:tcPr>
            <w:tcW w:type="dxa" w:w="2493"/>
            <w:shd w:val="clear" w:color="auto" w:fill="0A1F44"/>
          </w:tcPr>
          <w:p>
            <w:r>
              <w:rPr>
                <w:b/>
                <w:color w:val="FFFFFF"/>
                <w:sz w:val="20"/>
              </w:rPr>
              <w:t>Last</w:t>
            </w:r>
          </w:p>
        </w:tc>
        <w:tc>
          <w:tcPr>
            <w:tcW w:type="dxa" w:w="2493"/>
            <w:shd w:val="clear" w:color="auto" w:fill="0A1F44"/>
          </w:tcPr>
          <w:p>
            <w:r>
              <w:rPr>
                <w:b/>
                <w:color w:val="FFFFFF"/>
                <w:sz w:val="20"/>
              </w:rPr>
              <w:t>Change</w:t>
            </w:r>
          </w:p>
        </w:tc>
        <w:tc>
          <w:tcPr>
            <w:tcW w:type="dxa" w:w="2493"/>
            <w:shd w:val="clear" w:color="auto" w:fill="0A1F44"/>
          </w:tcPr>
          <w:p>
            <w:r>
              <w:rPr>
                <w:b/>
                <w:color w:val="FFFFFF"/>
                <w:sz w:val="20"/>
              </w:rPr>
              <w:t>% Chg</w:t>
            </w:r>
          </w:p>
        </w:tc>
      </w:tr>
      <w:tr>
        <w:tc>
          <w:tcPr>
            <w:tcW w:type="dxa" w:w="2493"/>
            <w:tcBorders>
              <w:top w:val="single" w:sz="4" w:color="BFBFBF"/>
              <w:bottom w:val="single" w:sz="4" w:color="BFBFBF"/>
            </w:tcBorders>
          </w:tcPr>
          <w:p>
            <w:r>
              <w:rPr>
                <w:sz w:val="20"/>
              </w:rPr>
              <w:t>S&amp;P 500 (ES)</w:t>
            </w:r>
          </w:p>
        </w:tc>
        <w:tc>
          <w:tcPr>
            <w:tcW w:type="dxa" w:w="2493"/>
            <w:tcBorders>
              <w:top w:val="single" w:sz="4" w:color="BFBFBF"/>
              <w:bottom w:val="single" w:sz="4" w:color="BFBFBF"/>
            </w:tcBorders>
          </w:tcPr>
          <w:p>
            <w:r>
              <w:rPr>
                <w:sz w:val="20"/>
              </w:rPr>
              <w:t>7,412</w:t>
            </w:r>
          </w:p>
        </w:tc>
        <w:tc>
          <w:tcPr>
            <w:tcW w:type="dxa" w:w="2493"/>
            <w:tcBorders>
              <w:top w:val="single" w:sz="4" w:color="BFBFBF"/>
              <w:bottom w:val="single" w:sz="4" w:color="BFBFBF"/>
            </w:tcBorders>
          </w:tcPr>
          <w:p>
            <w:r>
              <w:rPr>
                <w:color w:val="B31B1B"/>
                <w:sz w:val="20"/>
              </w:rPr>
              <w:t>-15</w:t>
            </w:r>
          </w:p>
        </w:tc>
        <w:tc>
          <w:tcPr>
            <w:tcW w:type="dxa" w:w="2493"/>
            <w:tcBorders>
              <w:top w:val="single" w:sz="4" w:color="BFBFBF"/>
              <w:bottom w:val="single" w:sz="4" w:color="BFBFBF"/>
            </w:tcBorders>
          </w:tcPr>
          <w:p>
            <w:r>
              <w:rPr>
                <w:color w:val="B31B1B"/>
                <w:sz w:val="20"/>
              </w:rPr>
              <w:t>-0.20%</w:t>
            </w:r>
          </w:p>
        </w:tc>
      </w:tr>
      <w:tr>
        <w:tc>
          <w:tcPr>
            <w:tcW w:type="dxa" w:w="2493"/>
            <w:shd w:val="clear" w:color="auto" w:fill="F4F1E8"/>
            <w:tcBorders>
              <w:top w:val="single" w:sz="4" w:color="BFBFBF"/>
              <w:bottom w:val="single" w:sz="4" w:color="BFBFBF"/>
            </w:tcBorders>
          </w:tcPr>
          <w:p>
            <w:r>
              <w:rPr>
                <w:sz w:val="20"/>
              </w:rPr>
              <w:t>Nasdaq 100 (NQ)</w:t>
            </w:r>
          </w:p>
        </w:tc>
        <w:tc>
          <w:tcPr>
            <w:tcW w:type="dxa" w:w="2493"/>
            <w:shd w:val="clear" w:color="auto" w:fill="F4F1E8"/>
            <w:tcBorders>
              <w:top w:val="single" w:sz="4" w:color="BFBFBF"/>
              <w:bottom w:val="single" w:sz="4" w:color="BFBFBF"/>
            </w:tcBorders>
          </w:tcPr>
          <w:p>
            <w:r>
              <w:rPr>
                <w:sz w:val="20"/>
              </w:rPr>
              <w:t>26,030</w:t>
            </w:r>
          </w:p>
        </w:tc>
        <w:tc>
          <w:tcPr>
            <w:tcW w:type="dxa" w:w="2493"/>
            <w:shd w:val="clear" w:color="auto" w:fill="F4F1E8"/>
            <w:tcBorders>
              <w:top w:val="single" w:sz="4" w:color="BFBFBF"/>
              <w:bottom w:val="single" w:sz="4" w:color="BFBFBF"/>
            </w:tcBorders>
          </w:tcPr>
          <w:p>
            <w:r>
              <w:rPr>
                <w:color w:val="B31B1B"/>
                <w:sz w:val="20"/>
              </w:rPr>
              <w:t>-80</w:t>
            </w:r>
          </w:p>
        </w:tc>
        <w:tc>
          <w:tcPr>
            <w:tcW w:type="dxa" w:w="2493"/>
            <w:shd w:val="clear" w:color="auto" w:fill="F4F1E8"/>
            <w:tcBorders>
              <w:top w:val="single" w:sz="4" w:color="BFBFBF"/>
              <w:bottom w:val="single" w:sz="4" w:color="BFBFBF"/>
            </w:tcBorders>
          </w:tcPr>
          <w:p>
            <w:r>
              <w:rPr>
                <w:color w:val="B31B1B"/>
                <w:sz w:val="20"/>
              </w:rPr>
              <w:t>-0.31%</w:t>
            </w:r>
          </w:p>
        </w:tc>
      </w:tr>
      <w:tr>
        <w:tc>
          <w:tcPr>
            <w:tcW w:type="dxa" w:w="2493"/>
            <w:tcBorders>
              <w:top w:val="single" w:sz="4" w:color="BFBFBF"/>
              <w:bottom w:val="single" w:sz="4" w:color="BFBFBF"/>
            </w:tcBorders>
          </w:tcPr>
          <w:p>
            <w:r>
              <w:rPr>
                <w:sz w:val="20"/>
              </w:rPr>
              <w:t>Dow (YM)</w:t>
            </w:r>
          </w:p>
        </w:tc>
        <w:tc>
          <w:tcPr>
            <w:tcW w:type="dxa" w:w="2493"/>
            <w:tcBorders>
              <w:top w:val="single" w:sz="4" w:color="BFBFBF"/>
              <w:bottom w:val="single" w:sz="4" w:color="BFBFBF"/>
            </w:tcBorders>
          </w:tcPr>
          <w:p>
            <w:r>
              <w:rPr>
                <w:sz w:val="20"/>
              </w:rPr>
              <w:t>49,890</w:t>
            </w:r>
          </w:p>
        </w:tc>
        <w:tc>
          <w:tcPr>
            <w:tcW w:type="dxa" w:w="2493"/>
            <w:tcBorders>
              <w:top w:val="single" w:sz="4" w:color="BFBFBF"/>
              <w:bottom w:val="single" w:sz="4" w:color="BFBFBF"/>
            </w:tcBorders>
          </w:tcPr>
          <w:p>
            <w:r>
              <w:rPr>
                <w:color w:val="B31B1B"/>
                <w:sz w:val="20"/>
              </w:rPr>
              <w:t>-65</w:t>
            </w:r>
          </w:p>
        </w:tc>
        <w:tc>
          <w:tcPr>
            <w:tcW w:type="dxa" w:w="2493"/>
            <w:tcBorders>
              <w:top w:val="single" w:sz="4" w:color="BFBFBF"/>
              <w:bottom w:val="single" w:sz="4" w:color="BFBFBF"/>
            </w:tcBorders>
          </w:tcPr>
          <w:p>
            <w:r>
              <w:rPr>
                <w:color w:val="B31B1B"/>
                <w:sz w:val="20"/>
              </w:rPr>
              <w:t>-0.13%</w:t>
            </w:r>
          </w:p>
        </w:tc>
      </w:tr>
      <w:tr>
        <w:tc>
          <w:tcPr>
            <w:tcW w:type="dxa" w:w="2493"/>
            <w:shd w:val="clear" w:color="auto" w:fill="F4F1E8"/>
            <w:tcBorders>
              <w:top w:val="single" w:sz="4" w:color="BFBFBF"/>
              <w:bottom w:val="single" w:sz="4" w:color="BFBFBF"/>
            </w:tcBorders>
          </w:tcPr>
          <w:p>
            <w:r>
              <w:rPr>
                <w:sz w:val="20"/>
              </w:rPr>
              <w:t>Russell 2000 (RTY)</w:t>
            </w:r>
          </w:p>
        </w:tc>
        <w:tc>
          <w:tcPr>
            <w:tcW w:type="dxa" w:w="2493"/>
            <w:shd w:val="clear" w:color="auto" w:fill="F4F1E8"/>
            <w:tcBorders>
              <w:top w:val="single" w:sz="4" w:color="BFBFBF"/>
              <w:bottom w:val="single" w:sz="4" w:color="BFBFBF"/>
            </w:tcBorders>
          </w:tcPr>
          <w:p>
            <w:r>
              <w:rPr>
                <w:sz w:val="20"/>
              </w:rPr>
              <w:t>2,248</w:t>
            </w:r>
          </w:p>
        </w:tc>
        <w:tc>
          <w:tcPr>
            <w:tcW w:type="dxa" w:w="2493"/>
            <w:shd w:val="clear" w:color="auto" w:fill="F4F1E8"/>
            <w:tcBorders>
              <w:top w:val="single" w:sz="4" w:color="BFBFBF"/>
              <w:bottom w:val="single" w:sz="4" w:color="BFBFBF"/>
            </w:tcBorders>
          </w:tcPr>
          <w:p>
            <w:r>
              <w:rPr>
                <w:color w:val="B31B1B"/>
                <w:sz w:val="20"/>
              </w:rPr>
              <w:t>-6</w:t>
            </w:r>
          </w:p>
        </w:tc>
        <w:tc>
          <w:tcPr>
            <w:tcW w:type="dxa" w:w="2493"/>
            <w:shd w:val="clear" w:color="auto" w:fill="F4F1E8"/>
            <w:tcBorders>
              <w:top w:val="single" w:sz="4" w:color="BFBFBF"/>
              <w:bottom w:val="single" w:sz="4" w:color="BFBFBF"/>
            </w:tcBorders>
          </w:tcPr>
          <w:p>
            <w:r>
              <w:rPr>
                <w:color w:val="B31B1B"/>
                <w:sz w:val="20"/>
              </w:rPr>
              <w:t>-0.27%</w:t>
            </w:r>
          </w:p>
        </w:tc>
      </w:tr>
    </w:tbl>
    <w:p>
      <w:pPr>
        <w:spacing w:before="200" w:after="40"/>
      </w:pPr>
      <w:r>
        <w:rPr>
          <w:b/>
          <w:color w:val="0A1F44"/>
          <w:sz w:val="22"/>
        </w:rPr>
        <w:t>Prior Close (Wednesday, May 20)</w:t>
      </w:r>
    </w:p>
    <w:tbl>
      <w:tblPr>
        <w:tblW w:type="auto" w:w="0"/>
        <w:jc w:val="left"/>
        <w:tblLook w:firstColumn="1" w:firstRow="1" w:lastColumn="0" w:lastRow="0" w:noHBand="0" w:noVBand="1" w:val="04A0"/>
      </w:tblPr>
      <w:tblGrid>
        <w:gridCol w:w="2493"/>
        <w:gridCol w:w="2493"/>
        <w:gridCol w:w="2493"/>
        <w:gridCol w:w="2493"/>
      </w:tblGrid>
      <w:tr>
        <w:tc>
          <w:tcPr>
            <w:tcW w:type="dxa" w:w="2493"/>
            <w:shd w:val="clear" w:color="auto" w:fill="0A1F44"/>
          </w:tcPr>
          <w:p>
            <w:r>
              <w:rPr>
                <w:b/>
                <w:color w:val="FFFFFF"/>
                <w:sz w:val="20"/>
              </w:rPr>
              <w:t>Asset</w:t>
            </w:r>
          </w:p>
        </w:tc>
        <w:tc>
          <w:tcPr>
            <w:tcW w:type="dxa" w:w="2493"/>
            <w:shd w:val="clear" w:color="auto" w:fill="0A1F44"/>
          </w:tcPr>
          <w:p>
            <w:r>
              <w:rPr>
                <w:b/>
                <w:color w:val="FFFFFF"/>
                <w:sz w:val="20"/>
              </w:rPr>
              <w:t>Last</w:t>
            </w:r>
          </w:p>
        </w:tc>
        <w:tc>
          <w:tcPr>
            <w:tcW w:type="dxa" w:w="2493"/>
            <w:shd w:val="clear" w:color="auto" w:fill="0A1F44"/>
          </w:tcPr>
          <w:p>
            <w:r>
              <w:rPr>
                <w:b/>
                <w:color w:val="FFFFFF"/>
                <w:sz w:val="20"/>
              </w:rPr>
              <w:t>Change</w:t>
            </w:r>
          </w:p>
        </w:tc>
        <w:tc>
          <w:tcPr>
            <w:tcW w:type="dxa" w:w="2493"/>
            <w:shd w:val="clear" w:color="auto" w:fill="0A1F44"/>
          </w:tcPr>
          <w:p>
            <w:r>
              <w:rPr>
                <w:b/>
                <w:color w:val="FFFFFF"/>
                <w:sz w:val="20"/>
              </w:rPr>
              <w:t>% Chg</w:t>
            </w:r>
          </w:p>
        </w:tc>
      </w:tr>
      <w:tr>
        <w:tc>
          <w:tcPr>
            <w:tcW w:type="dxa" w:w="2493"/>
            <w:tcBorders>
              <w:top w:val="single" w:sz="4" w:color="BFBFBF"/>
              <w:bottom w:val="single" w:sz="4" w:color="BFBFBF"/>
            </w:tcBorders>
          </w:tcPr>
          <w:p>
            <w:r>
              <w:rPr>
                <w:sz w:val="20"/>
              </w:rPr>
              <w:t>S&amp;P 500</w:t>
            </w:r>
          </w:p>
        </w:tc>
        <w:tc>
          <w:tcPr>
            <w:tcW w:type="dxa" w:w="2493"/>
            <w:tcBorders>
              <w:top w:val="single" w:sz="4" w:color="BFBFBF"/>
              <w:bottom w:val="single" w:sz="4" w:color="BFBFBF"/>
            </w:tcBorders>
          </w:tcPr>
          <w:p>
            <w:r>
              <w:rPr>
                <w:sz w:val="20"/>
              </w:rPr>
              <w:t>7,427.15</w:t>
            </w:r>
          </w:p>
        </w:tc>
        <w:tc>
          <w:tcPr>
            <w:tcW w:type="dxa" w:w="2493"/>
            <w:tcBorders>
              <w:top w:val="single" w:sz="4" w:color="BFBFBF"/>
              <w:bottom w:val="single" w:sz="4" w:color="BFBFBF"/>
            </w:tcBorders>
          </w:tcPr>
          <w:p>
            <w:r>
              <w:rPr>
                <w:color w:val="0B6B3A"/>
                <w:sz w:val="20"/>
              </w:rPr>
              <w:t>+73.54</w:t>
            </w:r>
          </w:p>
        </w:tc>
        <w:tc>
          <w:tcPr>
            <w:tcW w:type="dxa" w:w="2493"/>
            <w:tcBorders>
              <w:top w:val="single" w:sz="4" w:color="BFBFBF"/>
              <w:bottom w:val="single" w:sz="4" w:color="BFBFBF"/>
            </w:tcBorders>
          </w:tcPr>
          <w:p>
            <w:r>
              <w:rPr>
                <w:color w:val="0B6B3A"/>
                <w:sz w:val="20"/>
              </w:rPr>
              <w:t>+1.00%</w:t>
            </w:r>
          </w:p>
        </w:tc>
      </w:tr>
      <w:tr>
        <w:tc>
          <w:tcPr>
            <w:tcW w:type="dxa" w:w="2493"/>
            <w:shd w:val="clear" w:color="auto" w:fill="F4F1E8"/>
            <w:tcBorders>
              <w:top w:val="single" w:sz="4" w:color="BFBFBF"/>
              <w:bottom w:val="single" w:sz="4" w:color="BFBFBF"/>
            </w:tcBorders>
          </w:tcPr>
          <w:p>
            <w:r>
              <w:rPr>
                <w:sz w:val="20"/>
              </w:rPr>
              <w:t>Nasdaq Composite</w:t>
            </w:r>
          </w:p>
        </w:tc>
        <w:tc>
          <w:tcPr>
            <w:tcW w:type="dxa" w:w="2493"/>
            <w:shd w:val="clear" w:color="auto" w:fill="F4F1E8"/>
            <w:tcBorders>
              <w:top w:val="single" w:sz="4" w:color="BFBFBF"/>
              <w:bottom w:val="single" w:sz="4" w:color="BFBFBF"/>
            </w:tcBorders>
          </w:tcPr>
          <w:p>
            <w:r>
              <w:rPr>
                <w:sz w:val="20"/>
              </w:rPr>
              <w:t>26,157.50</w:t>
            </w:r>
          </w:p>
        </w:tc>
        <w:tc>
          <w:tcPr>
            <w:tcW w:type="dxa" w:w="2493"/>
            <w:shd w:val="clear" w:color="auto" w:fill="F4F1E8"/>
            <w:tcBorders>
              <w:top w:val="single" w:sz="4" w:color="BFBFBF"/>
              <w:bottom w:val="single" w:sz="4" w:color="BFBFBF"/>
            </w:tcBorders>
          </w:tcPr>
          <w:p>
            <w:r>
              <w:rPr>
                <w:color w:val="0B6B3A"/>
                <w:sz w:val="20"/>
              </w:rPr>
              <w:t>+286.79</w:t>
            </w:r>
          </w:p>
        </w:tc>
        <w:tc>
          <w:tcPr>
            <w:tcW w:type="dxa" w:w="2493"/>
            <w:shd w:val="clear" w:color="auto" w:fill="F4F1E8"/>
            <w:tcBorders>
              <w:top w:val="single" w:sz="4" w:color="BFBFBF"/>
              <w:bottom w:val="single" w:sz="4" w:color="BFBFBF"/>
            </w:tcBorders>
          </w:tcPr>
          <w:p>
            <w:r>
              <w:rPr>
                <w:color w:val="0B6B3A"/>
                <w:sz w:val="20"/>
              </w:rPr>
              <w:t>+1.11%</w:t>
            </w:r>
          </w:p>
        </w:tc>
      </w:tr>
      <w:tr>
        <w:tc>
          <w:tcPr>
            <w:tcW w:type="dxa" w:w="2493"/>
            <w:tcBorders>
              <w:top w:val="single" w:sz="4" w:color="BFBFBF"/>
              <w:bottom w:val="single" w:sz="4" w:color="BFBFBF"/>
            </w:tcBorders>
          </w:tcPr>
          <w:p>
            <w:r>
              <w:rPr>
                <w:sz w:val="20"/>
              </w:rPr>
              <w:t>Dow Jones Industrial Avg.</w:t>
            </w:r>
          </w:p>
        </w:tc>
        <w:tc>
          <w:tcPr>
            <w:tcW w:type="dxa" w:w="2493"/>
            <w:tcBorders>
              <w:top w:val="single" w:sz="4" w:color="BFBFBF"/>
              <w:bottom w:val="single" w:sz="4" w:color="BFBFBF"/>
            </w:tcBorders>
          </w:tcPr>
          <w:p>
            <w:r>
              <w:rPr>
                <w:sz w:val="20"/>
              </w:rPr>
              <w:t>49,956.25</w:t>
            </w:r>
          </w:p>
        </w:tc>
        <w:tc>
          <w:tcPr>
            <w:tcW w:type="dxa" w:w="2493"/>
            <w:tcBorders>
              <w:top w:val="single" w:sz="4" w:color="BFBFBF"/>
              <w:bottom w:val="single" w:sz="4" w:color="BFBFBF"/>
            </w:tcBorders>
          </w:tcPr>
          <w:p>
            <w:r>
              <w:rPr>
                <w:color w:val="0B6B3A"/>
                <w:sz w:val="20"/>
              </w:rPr>
              <w:t>+592.37</w:t>
            </w:r>
          </w:p>
        </w:tc>
        <w:tc>
          <w:tcPr>
            <w:tcW w:type="dxa" w:w="2493"/>
            <w:tcBorders>
              <w:top w:val="single" w:sz="4" w:color="BFBFBF"/>
              <w:bottom w:val="single" w:sz="4" w:color="BFBFBF"/>
            </w:tcBorders>
          </w:tcPr>
          <w:p>
            <w:r>
              <w:rPr>
                <w:color w:val="0B6B3A"/>
                <w:sz w:val="20"/>
              </w:rPr>
              <w:t>+1.20%</w:t>
            </w:r>
          </w:p>
        </w:tc>
      </w:tr>
      <w:tr>
        <w:tc>
          <w:tcPr>
            <w:tcW w:type="dxa" w:w="2493"/>
            <w:shd w:val="clear" w:color="auto" w:fill="F4F1E8"/>
            <w:tcBorders>
              <w:top w:val="single" w:sz="4" w:color="BFBFBF"/>
              <w:bottom w:val="single" w:sz="4" w:color="BFBFBF"/>
            </w:tcBorders>
          </w:tcPr>
          <w:p>
            <w:r>
              <w:rPr>
                <w:sz w:val="20"/>
              </w:rPr>
              <w:t>Russell 2000</w:t>
            </w:r>
          </w:p>
        </w:tc>
        <w:tc>
          <w:tcPr>
            <w:tcW w:type="dxa" w:w="2493"/>
            <w:shd w:val="clear" w:color="auto" w:fill="F4F1E8"/>
            <w:tcBorders>
              <w:top w:val="single" w:sz="4" w:color="BFBFBF"/>
              <w:bottom w:val="single" w:sz="4" w:color="BFBFBF"/>
            </w:tcBorders>
          </w:tcPr>
          <w:p>
            <w:r>
              <w:rPr>
                <w:sz w:val="20"/>
              </w:rPr>
              <w:t>2,254.10</w:t>
            </w:r>
          </w:p>
        </w:tc>
        <w:tc>
          <w:tcPr>
            <w:tcW w:type="dxa" w:w="2493"/>
            <w:shd w:val="clear" w:color="auto" w:fill="F4F1E8"/>
            <w:tcBorders>
              <w:top w:val="single" w:sz="4" w:color="BFBFBF"/>
              <w:bottom w:val="single" w:sz="4" w:color="BFBFBF"/>
            </w:tcBorders>
          </w:tcPr>
          <w:p>
            <w:r>
              <w:rPr>
                <w:color w:val="0B6B3A"/>
                <w:sz w:val="20"/>
              </w:rPr>
              <w:t>+20.20</w:t>
            </w:r>
          </w:p>
        </w:tc>
        <w:tc>
          <w:tcPr>
            <w:tcW w:type="dxa" w:w="2493"/>
            <w:shd w:val="clear" w:color="auto" w:fill="F4F1E8"/>
            <w:tcBorders>
              <w:top w:val="single" w:sz="4" w:color="BFBFBF"/>
              <w:bottom w:val="single" w:sz="4" w:color="BFBFBF"/>
            </w:tcBorders>
          </w:tcPr>
          <w:p>
            <w:r>
              <w:rPr>
                <w:color w:val="0B6B3A"/>
                <w:sz w:val="20"/>
              </w:rPr>
              <w:t>+0.90%</w:t>
            </w:r>
          </w:p>
        </w:tc>
      </w:tr>
      <w:tr>
        <w:tc>
          <w:tcPr>
            <w:tcW w:type="dxa" w:w="2493"/>
            <w:tcBorders>
              <w:top w:val="single" w:sz="4" w:color="BFBFBF"/>
              <w:bottom w:val="single" w:sz="4" w:color="BFBFBF"/>
            </w:tcBorders>
          </w:tcPr>
          <w:p>
            <w:r>
              <w:rPr>
                <w:sz w:val="20"/>
              </w:rPr>
              <w:t>VIX</w:t>
            </w:r>
          </w:p>
        </w:tc>
        <w:tc>
          <w:tcPr>
            <w:tcW w:type="dxa" w:w="2493"/>
            <w:tcBorders>
              <w:top w:val="single" w:sz="4" w:color="BFBFBF"/>
              <w:bottom w:val="single" w:sz="4" w:color="BFBFBF"/>
            </w:tcBorders>
          </w:tcPr>
          <w:p>
            <w:r>
              <w:rPr>
                <w:sz w:val="20"/>
              </w:rPr>
              <w:t>19.9</w:t>
            </w:r>
          </w:p>
        </w:tc>
        <w:tc>
          <w:tcPr>
            <w:tcW w:type="dxa" w:w="2493"/>
            <w:tcBorders>
              <w:top w:val="single" w:sz="4" w:color="BFBFBF"/>
              <w:bottom w:val="single" w:sz="4" w:color="BFBFBF"/>
            </w:tcBorders>
          </w:tcPr>
          <w:p>
            <w:r>
              <w:rPr>
                <w:color w:val="B31B1B"/>
                <w:sz w:val="20"/>
              </w:rPr>
              <w:t>-1.7</w:t>
            </w:r>
          </w:p>
        </w:tc>
        <w:tc>
          <w:tcPr>
            <w:tcW w:type="dxa" w:w="2493"/>
            <w:tcBorders>
              <w:top w:val="single" w:sz="4" w:color="BFBFBF"/>
              <w:bottom w:val="single" w:sz="4" w:color="BFBFBF"/>
            </w:tcBorders>
          </w:tcPr>
          <w:p>
            <w:r>
              <w:rPr>
                <w:color w:val="B31B1B"/>
                <w:sz w:val="20"/>
              </w:rPr>
              <w:t>-7.9%</w:t>
            </w:r>
          </w:p>
        </w:tc>
      </w:tr>
    </w:tbl>
    <w:p>
      <w:pPr>
        <w:spacing w:before="200" w:after="40"/>
      </w:pPr>
      <w:r>
        <w:rPr>
          <w:b/>
          <w:color w:val="0A1F44"/>
          <w:sz w:val="22"/>
        </w:rPr>
        <w:t>Rates &amp; FX</w:t>
      </w:r>
    </w:p>
    <w:tbl>
      <w:tblPr>
        <w:tblW w:type="auto" w:w="0"/>
        <w:jc w:val="left"/>
        <w:tblLook w:firstColumn="1" w:firstRow="1" w:lastColumn="0" w:lastRow="0" w:noHBand="0" w:noVBand="1" w:val="04A0"/>
      </w:tblPr>
      <w:tblGrid>
        <w:gridCol w:w="2493"/>
        <w:gridCol w:w="2493"/>
        <w:gridCol w:w="2493"/>
        <w:gridCol w:w="2493"/>
      </w:tblGrid>
      <w:tr>
        <w:tc>
          <w:tcPr>
            <w:tcW w:type="dxa" w:w="2493"/>
            <w:shd w:val="clear" w:color="auto" w:fill="0A1F44"/>
          </w:tcPr>
          <w:p>
            <w:r>
              <w:rPr>
                <w:b/>
                <w:color w:val="FFFFFF"/>
                <w:sz w:val="20"/>
              </w:rPr>
              <w:t>Asset</w:t>
            </w:r>
          </w:p>
        </w:tc>
        <w:tc>
          <w:tcPr>
            <w:tcW w:type="dxa" w:w="2493"/>
            <w:shd w:val="clear" w:color="auto" w:fill="0A1F44"/>
          </w:tcPr>
          <w:p>
            <w:r>
              <w:rPr>
                <w:b/>
                <w:color w:val="FFFFFF"/>
                <w:sz w:val="20"/>
              </w:rPr>
              <w:t>Last</w:t>
            </w:r>
          </w:p>
        </w:tc>
        <w:tc>
          <w:tcPr>
            <w:tcW w:type="dxa" w:w="2493"/>
            <w:shd w:val="clear" w:color="auto" w:fill="0A1F44"/>
          </w:tcPr>
          <w:p>
            <w:r>
              <w:rPr>
                <w:b/>
                <w:color w:val="FFFFFF"/>
                <w:sz w:val="20"/>
              </w:rPr>
              <w:t>Change</w:t>
            </w:r>
          </w:p>
        </w:tc>
        <w:tc>
          <w:tcPr>
            <w:tcW w:type="dxa" w:w="2493"/>
            <w:shd w:val="clear" w:color="auto" w:fill="0A1F44"/>
          </w:tcPr>
          <w:p>
            <w:r>
              <w:rPr>
                <w:b/>
                <w:color w:val="FFFFFF"/>
                <w:sz w:val="20"/>
              </w:rPr>
              <w:t>% Chg</w:t>
            </w:r>
          </w:p>
        </w:tc>
      </w:tr>
      <w:tr>
        <w:tc>
          <w:tcPr>
            <w:tcW w:type="dxa" w:w="2493"/>
            <w:tcBorders>
              <w:top w:val="single" w:sz="4" w:color="BFBFBF"/>
              <w:bottom w:val="single" w:sz="4" w:color="BFBFBF"/>
            </w:tcBorders>
          </w:tcPr>
          <w:p>
            <w:r>
              <w:rPr>
                <w:sz w:val="20"/>
              </w:rPr>
              <w:t>UST 2-Year</w:t>
            </w:r>
          </w:p>
        </w:tc>
        <w:tc>
          <w:tcPr>
            <w:tcW w:type="dxa" w:w="2493"/>
            <w:tcBorders>
              <w:top w:val="single" w:sz="4" w:color="BFBFBF"/>
              <w:bottom w:val="single" w:sz="4" w:color="BFBFBF"/>
            </w:tcBorders>
          </w:tcPr>
          <w:p>
            <w:r>
              <w:rPr>
                <w:sz w:val="20"/>
              </w:rPr>
              <w:t>4.38%</w:t>
            </w:r>
          </w:p>
        </w:tc>
        <w:tc>
          <w:tcPr>
            <w:tcW w:type="dxa" w:w="2493"/>
            <w:tcBorders>
              <w:top w:val="single" w:sz="4" w:color="BFBFBF"/>
              <w:bottom w:val="single" w:sz="4" w:color="BFBFBF"/>
            </w:tcBorders>
          </w:tcPr>
          <w:p>
            <w:r>
              <w:rPr>
                <w:color w:val="0B6B3A"/>
                <w:sz w:val="20"/>
              </w:rPr>
              <w:t>+2 bps</w:t>
            </w:r>
          </w:p>
        </w:tc>
        <w:tc>
          <w:tcPr>
            <w:tcW w:type="dxa" w:w="2493"/>
            <w:tcBorders>
              <w:top w:val="single" w:sz="4" w:color="BFBFBF"/>
              <w:bottom w:val="single" w:sz="4" w:color="BFBFBF"/>
            </w:tcBorders>
          </w:tcPr>
          <w:p>
            <w:r>
              <w:rPr>
                <w:sz w:val="20"/>
              </w:rPr>
              <w:t>—</w:t>
            </w:r>
          </w:p>
        </w:tc>
      </w:tr>
      <w:tr>
        <w:tc>
          <w:tcPr>
            <w:tcW w:type="dxa" w:w="2493"/>
            <w:shd w:val="clear" w:color="auto" w:fill="F4F1E8"/>
            <w:tcBorders>
              <w:top w:val="single" w:sz="4" w:color="BFBFBF"/>
              <w:bottom w:val="single" w:sz="4" w:color="BFBFBF"/>
            </w:tcBorders>
          </w:tcPr>
          <w:p>
            <w:r>
              <w:rPr>
                <w:sz w:val="20"/>
              </w:rPr>
              <w:t>UST 10-Year</w:t>
            </w:r>
          </w:p>
        </w:tc>
        <w:tc>
          <w:tcPr>
            <w:tcW w:type="dxa" w:w="2493"/>
            <w:shd w:val="clear" w:color="auto" w:fill="F4F1E8"/>
            <w:tcBorders>
              <w:top w:val="single" w:sz="4" w:color="BFBFBF"/>
              <w:bottom w:val="single" w:sz="4" w:color="BFBFBF"/>
            </w:tcBorders>
          </w:tcPr>
          <w:p>
            <w:r>
              <w:rPr>
                <w:sz w:val="20"/>
              </w:rPr>
              <w:t>4.64%</w:t>
            </w:r>
          </w:p>
        </w:tc>
        <w:tc>
          <w:tcPr>
            <w:tcW w:type="dxa" w:w="2493"/>
            <w:shd w:val="clear" w:color="auto" w:fill="F4F1E8"/>
            <w:tcBorders>
              <w:top w:val="single" w:sz="4" w:color="BFBFBF"/>
              <w:bottom w:val="single" w:sz="4" w:color="BFBFBF"/>
            </w:tcBorders>
          </w:tcPr>
          <w:p>
            <w:r>
              <w:rPr>
                <w:color w:val="0B6B3A"/>
                <w:sz w:val="20"/>
              </w:rPr>
              <w:t>+3 bps</w:t>
            </w:r>
          </w:p>
        </w:tc>
        <w:tc>
          <w:tcPr>
            <w:tcW w:type="dxa" w:w="2493"/>
            <w:shd w:val="clear" w:color="auto" w:fill="F4F1E8"/>
            <w:tcBorders>
              <w:top w:val="single" w:sz="4" w:color="BFBFBF"/>
              <w:bottom w:val="single" w:sz="4" w:color="BFBFBF"/>
            </w:tcBorders>
          </w:tcPr>
          <w:p>
            <w:r>
              <w:rPr>
                <w:sz w:val="20"/>
              </w:rPr>
              <w:t>—</w:t>
            </w:r>
          </w:p>
        </w:tc>
      </w:tr>
      <w:tr>
        <w:tc>
          <w:tcPr>
            <w:tcW w:type="dxa" w:w="2493"/>
            <w:tcBorders>
              <w:top w:val="single" w:sz="4" w:color="BFBFBF"/>
              <w:bottom w:val="single" w:sz="4" w:color="BFBFBF"/>
            </w:tcBorders>
          </w:tcPr>
          <w:p>
            <w:r>
              <w:rPr>
                <w:sz w:val="20"/>
              </w:rPr>
              <w:t>UST 30-Year</w:t>
            </w:r>
          </w:p>
        </w:tc>
        <w:tc>
          <w:tcPr>
            <w:tcW w:type="dxa" w:w="2493"/>
            <w:tcBorders>
              <w:top w:val="single" w:sz="4" w:color="BFBFBF"/>
              <w:bottom w:val="single" w:sz="4" w:color="BFBFBF"/>
            </w:tcBorders>
          </w:tcPr>
          <w:p>
            <w:r>
              <w:rPr>
                <w:sz w:val="20"/>
              </w:rPr>
              <w:t>5.13%</w:t>
            </w:r>
          </w:p>
        </w:tc>
        <w:tc>
          <w:tcPr>
            <w:tcW w:type="dxa" w:w="2493"/>
            <w:tcBorders>
              <w:top w:val="single" w:sz="4" w:color="BFBFBF"/>
              <w:bottom w:val="single" w:sz="4" w:color="BFBFBF"/>
            </w:tcBorders>
          </w:tcPr>
          <w:p>
            <w:r>
              <w:rPr>
                <w:color w:val="0B6B3A"/>
                <w:sz w:val="20"/>
              </w:rPr>
              <w:t>+2 bps</w:t>
            </w:r>
          </w:p>
        </w:tc>
        <w:tc>
          <w:tcPr>
            <w:tcW w:type="dxa" w:w="2493"/>
            <w:tcBorders>
              <w:top w:val="single" w:sz="4" w:color="BFBFBF"/>
              <w:bottom w:val="single" w:sz="4" w:color="BFBFBF"/>
            </w:tcBorders>
          </w:tcPr>
          <w:p>
            <w:r>
              <w:rPr>
                <w:sz w:val="20"/>
              </w:rPr>
              <w:t>near 19-yr high</w:t>
            </w:r>
          </w:p>
        </w:tc>
      </w:tr>
      <w:tr>
        <w:tc>
          <w:tcPr>
            <w:tcW w:type="dxa" w:w="2493"/>
            <w:shd w:val="clear" w:color="auto" w:fill="F4F1E8"/>
            <w:tcBorders>
              <w:top w:val="single" w:sz="4" w:color="BFBFBF"/>
              <w:bottom w:val="single" w:sz="4" w:color="BFBFBF"/>
            </w:tcBorders>
          </w:tcPr>
          <w:p>
            <w:r>
              <w:rPr>
                <w:sz w:val="20"/>
              </w:rPr>
              <w:t>DXY (Dollar Index)</w:t>
            </w:r>
          </w:p>
        </w:tc>
        <w:tc>
          <w:tcPr>
            <w:tcW w:type="dxa" w:w="2493"/>
            <w:shd w:val="clear" w:color="auto" w:fill="F4F1E8"/>
            <w:tcBorders>
              <w:top w:val="single" w:sz="4" w:color="BFBFBF"/>
              <w:bottom w:val="single" w:sz="4" w:color="BFBFBF"/>
            </w:tcBorders>
          </w:tcPr>
          <w:p>
            <w:r>
              <w:rPr>
                <w:sz w:val="20"/>
              </w:rPr>
              <w:t>99.32</w:t>
            </w:r>
          </w:p>
        </w:tc>
        <w:tc>
          <w:tcPr>
            <w:tcW w:type="dxa" w:w="2493"/>
            <w:shd w:val="clear" w:color="auto" w:fill="F4F1E8"/>
            <w:tcBorders>
              <w:top w:val="single" w:sz="4" w:color="BFBFBF"/>
              <w:bottom w:val="single" w:sz="4" w:color="BFBFBF"/>
            </w:tcBorders>
          </w:tcPr>
          <w:p>
            <w:r>
              <w:rPr>
                <w:color w:val="0B6B3A"/>
                <w:sz w:val="20"/>
              </w:rPr>
              <w:t>+0.14</w:t>
            </w:r>
          </w:p>
        </w:tc>
        <w:tc>
          <w:tcPr>
            <w:tcW w:type="dxa" w:w="2493"/>
            <w:shd w:val="clear" w:color="auto" w:fill="F4F1E8"/>
            <w:tcBorders>
              <w:top w:val="single" w:sz="4" w:color="BFBFBF"/>
              <w:bottom w:val="single" w:sz="4" w:color="BFBFBF"/>
            </w:tcBorders>
          </w:tcPr>
          <w:p>
            <w:r>
              <w:rPr>
                <w:color w:val="0B6B3A"/>
                <w:sz w:val="20"/>
              </w:rPr>
              <w:t>+0.14%</w:t>
            </w:r>
          </w:p>
        </w:tc>
      </w:tr>
      <w:tr>
        <w:tc>
          <w:tcPr>
            <w:tcW w:type="dxa" w:w="2493"/>
            <w:tcBorders>
              <w:top w:val="single" w:sz="4" w:color="BFBFBF"/>
              <w:bottom w:val="single" w:sz="4" w:color="BFBFBF"/>
            </w:tcBorders>
          </w:tcPr>
          <w:p>
            <w:r>
              <w:rPr>
                <w:sz w:val="20"/>
              </w:rPr>
              <w:t>EUR/USD</w:t>
            </w:r>
          </w:p>
        </w:tc>
        <w:tc>
          <w:tcPr>
            <w:tcW w:type="dxa" w:w="2493"/>
            <w:tcBorders>
              <w:top w:val="single" w:sz="4" w:color="BFBFBF"/>
              <w:bottom w:val="single" w:sz="4" w:color="BFBFBF"/>
            </w:tcBorders>
          </w:tcPr>
          <w:p>
            <w:r>
              <w:rPr>
                <w:sz w:val="20"/>
              </w:rPr>
              <w:t>1.0718</w:t>
            </w:r>
          </w:p>
        </w:tc>
        <w:tc>
          <w:tcPr>
            <w:tcW w:type="dxa" w:w="2493"/>
            <w:tcBorders>
              <w:top w:val="single" w:sz="4" w:color="BFBFBF"/>
              <w:bottom w:val="single" w:sz="4" w:color="BFBFBF"/>
            </w:tcBorders>
          </w:tcPr>
          <w:p>
            <w:r>
              <w:rPr>
                <w:color w:val="0B6B3A"/>
                <w:sz w:val="20"/>
              </w:rPr>
              <w:t>+0.0010</w:t>
            </w:r>
          </w:p>
        </w:tc>
        <w:tc>
          <w:tcPr>
            <w:tcW w:type="dxa" w:w="2493"/>
            <w:tcBorders>
              <w:top w:val="single" w:sz="4" w:color="BFBFBF"/>
              <w:bottom w:val="single" w:sz="4" w:color="BFBFBF"/>
            </w:tcBorders>
          </w:tcPr>
          <w:p>
            <w:r>
              <w:rPr>
                <w:color w:val="0B6B3A"/>
                <w:sz w:val="20"/>
              </w:rPr>
              <w:t>+0.09%</w:t>
            </w:r>
          </w:p>
        </w:tc>
      </w:tr>
      <w:tr>
        <w:tc>
          <w:tcPr>
            <w:tcW w:type="dxa" w:w="2493"/>
            <w:shd w:val="clear" w:color="auto" w:fill="F4F1E8"/>
            <w:tcBorders>
              <w:top w:val="single" w:sz="4" w:color="BFBFBF"/>
              <w:bottom w:val="single" w:sz="4" w:color="BFBFBF"/>
            </w:tcBorders>
          </w:tcPr>
          <w:p>
            <w:r>
              <w:rPr>
                <w:sz w:val="20"/>
              </w:rPr>
              <w:t>USD/JPY</w:t>
            </w:r>
          </w:p>
        </w:tc>
        <w:tc>
          <w:tcPr>
            <w:tcW w:type="dxa" w:w="2493"/>
            <w:shd w:val="clear" w:color="auto" w:fill="F4F1E8"/>
            <w:tcBorders>
              <w:top w:val="single" w:sz="4" w:color="BFBFBF"/>
              <w:bottom w:val="single" w:sz="4" w:color="BFBFBF"/>
            </w:tcBorders>
          </w:tcPr>
          <w:p>
            <w:r>
              <w:rPr>
                <w:sz w:val="20"/>
              </w:rPr>
              <w:t>158.40</w:t>
            </w:r>
          </w:p>
        </w:tc>
        <w:tc>
          <w:tcPr>
            <w:tcW w:type="dxa" w:w="2493"/>
            <w:shd w:val="clear" w:color="auto" w:fill="F4F1E8"/>
            <w:tcBorders>
              <w:top w:val="single" w:sz="4" w:color="BFBFBF"/>
              <w:bottom w:val="single" w:sz="4" w:color="BFBFBF"/>
            </w:tcBorders>
          </w:tcPr>
          <w:p>
            <w:r>
              <w:rPr>
                <w:color w:val="B31B1B"/>
                <w:sz w:val="20"/>
              </w:rPr>
              <w:t>-0.50</w:t>
            </w:r>
          </w:p>
        </w:tc>
        <w:tc>
          <w:tcPr>
            <w:tcW w:type="dxa" w:w="2493"/>
            <w:shd w:val="clear" w:color="auto" w:fill="F4F1E8"/>
            <w:tcBorders>
              <w:top w:val="single" w:sz="4" w:color="BFBFBF"/>
              <w:bottom w:val="single" w:sz="4" w:color="BFBFBF"/>
            </w:tcBorders>
          </w:tcPr>
          <w:p>
            <w:r>
              <w:rPr>
                <w:color w:val="B31B1B"/>
                <w:sz w:val="20"/>
              </w:rPr>
              <w:t>-0.31%</w:t>
            </w:r>
          </w:p>
        </w:tc>
      </w:tr>
    </w:tbl>
    <w:p>
      <w:pPr>
        <w:spacing w:before="200" w:after="40"/>
      </w:pPr>
      <w:r>
        <w:rPr>
          <w:b/>
          <w:color w:val="0A1F44"/>
          <w:sz w:val="22"/>
        </w:rPr>
        <w:t>Commodities &amp; Crypto</w:t>
      </w:r>
    </w:p>
    <w:tbl>
      <w:tblPr>
        <w:tblW w:type="auto" w:w="0"/>
        <w:jc w:val="left"/>
        <w:tblLook w:firstColumn="1" w:firstRow="1" w:lastColumn="0" w:lastRow="0" w:noHBand="0" w:noVBand="1" w:val="04A0"/>
      </w:tblPr>
      <w:tblGrid>
        <w:gridCol w:w="2493"/>
        <w:gridCol w:w="2493"/>
        <w:gridCol w:w="2493"/>
        <w:gridCol w:w="2493"/>
      </w:tblGrid>
      <w:tr>
        <w:tc>
          <w:tcPr>
            <w:tcW w:type="dxa" w:w="2493"/>
            <w:shd w:val="clear" w:color="auto" w:fill="0A1F44"/>
          </w:tcPr>
          <w:p>
            <w:r>
              <w:rPr>
                <w:b/>
                <w:color w:val="FFFFFF"/>
                <w:sz w:val="20"/>
              </w:rPr>
              <w:t>Asset</w:t>
            </w:r>
          </w:p>
        </w:tc>
        <w:tc>
          <w:tcPr>
            <w:tcW w:type="dxa" w:w="2493"/>
            <w:shd w:val="clear" w:color="auto" w:fill="0A1F44"/>
          </w:tcPr>
          <w:p>
            <w:r>
              <w:rPr>
                <w:b/>
                <w:color w:val="FFFFFF"/>
                <w:sz w:val="20"/>
              </w:rPr>
              <w:t>Last</w:t>
            </w:r>
          </w:p>
        </w:tc>
        <w:tc>
          <w:tcPr>
            <w:tcW w:type="dxa" w:w="2493"/>
            <w:shd w:val="clear" w:color="auto" w:fill="0A1F44"/>
          </w:tcPr>
          <w:p>
            <w:r>
              <w:rPr>
                <w:b/>
                <w:color w:val="FFFFFF"/>
                <w:sz w:val="20"/>
              </w:rPr>
              <w:t>Change</w:t>
            </w:r>
          </w:p>
        </w:tc>
        <w:tc>
          <w:tcPr>
            <w:tcW w:type="dxa" w:w="2493"/>
            <w:shd w:val="clear" w:color="auto" w:fill="0A1F44"/>
          </w:tcPr>
          <w:p>
            <w:r>
              <w:rPr>
                <w:b/>
                <w:color w:val="FFFFFF"/>
                <w:sz w:val="20"/>
              </w:rPr>
              <w:t>% Chg</w:t>
            </w:r>
          </w:p>
        </w:tc>
      </w:tr>
      <w:tr>
        <w:tc>
          <w:tcPr>
            <w:tcW w:type="dxa" w:w="2493"/>
            <w:tcBorders>
              <w:top w:val="single" w:sz="4" w:color="BFBFBF"/>
              <w:bottom w:val="single" w:sz="4" w:color="BFBFBF"/>
            </w:tcBorders>
          </w:tcPr>
          <w:p>
            <w:r>
              <w:rPr>
                <w:sz w:val="20"/>
              </w:rPr>
              <w:t>WTI Crude (Jun)</w:t>
            </w:r>
          </w:p>
        </w:tc>
        <w:tc>
          <w:tcPr>
            <w:tcW w:type="dxa" w:w="2493"/>
            <w:tcBorders>
              <w:top w:val="single" w:sz="4" w:color="BFBFBF"/>
              <w:bottom w:val="single" w:sz="4" w:color="BFBFBF"/>
            </w:tcBorders>
          </w:tcPr>
          <w:p>
            <w:r>
              <w:rPr>
                <w:sz w:val="20"/>
              </w:rPr>
              <w:t>$101.04</w:t>
            </w:r>
          </w:p>
        </w:tc>
        <w:tc>
          <w:tcPr>
            <w:tcW w:type="dxa" w:w="2493"/>
            <w:tcBorders>
              <w:top w:val="single" w:sz="4" w:color="BFBFBF"/>
              <w:bottom w:val="single" w:sz="4" w:color="BFBFBF"/>
            </w:tcBorders>
          </w:tcPr>
          <w:p>
            <w:r>
              <w:rPr>
                <w:color w:val="0B6B3A"/>
                <w:sz w:val="20"/>
              </w:rPr>
              <w:t>+$2.85</w:t>
            </w:r>
          </w:p>
        </w:tc>
        <w:tc>
          <w:tcPr>
            <w:tcW w:type="dxa" w:w="2493"/>
            <w:tcBorders>
              <w:top w:val="single" w:sz="4" w:color="BFBFBF"/>
              <w:bottom w:val="single" w:sz="4" w:color="BFBFBF"/>
            </w:tcBorders>
          </w:tcPr>
          <w:p>
            <w:r>
              <w:rPr>
                <w:color w:val="0B6B3A"/>
                <w:sz w:val="20"/>
              </w:rPr>
              <w:t>+2.90%</w:t>
            </w:r>
          </w:p>
        </w:tc>
      </w:tr>
      <w:tr>
        <w:tc>
          <w:tcPr>
            <w:tcW w:type="dxa" w:w="2493"/>
            <w:shd w:val="clear" w:color="auto" w:fill="F4F1E8"/>
            <w:tcBorders>
              <w:top w:val="single" w:sz="4" w:color="BFBFBF"/>
              <w:bottom w:val="single" w:sz="4" w:color="BFBFBF"/>
            </w:tcBorders>
          </w:tcPr>
          <w:p>
            <w:r>
              <w:rPr>
                <w:sz w:val="20"/>
              </w:rPr>
              <w:t>Brent Crude (Jul)</w:t>
            </w:r>
          </w:p>
        </w:tc>
        <w:tc>
          <w:tcPr>
            <w:tcW w:type="dxa" w:w="2493"/>
            <w:shd w:val="clear" w:color="auto" w:fill="F4F1E8"/>
            <w:tcBorders>
              <w:top w:val="single" w:sz="4" w:color="BFBFBF"/>
              <w:bottom w:val="single" w:sz="4" w:color="BFBFBF"/>
            </w:tcBorders>
          </w:tcPr>
          <w:p>
            <w:r>
              <w:rPr>
                <w:sz w:val="20"/>
              </w:rPr>
              <w:t>$107.36</w:t>
            </w:r>
          </w:p>
        </w:tc>
        <w:tc>
          <w:tcPr>
            <w:tcW w:type="dxa" w:w="2493"/>
            <w:shd w:val="clear" w:color="auto" w:fill="F4F1E8"/>
            <w:tcBorders>
              <w:top w:val="single" w:sz="4" w:color="BFBFBF"/>
              <w:bottom w:val="single" w:sz="4" w:color="BFBFBF"/>
            </w:tcBorders>
          </w:tcPr>
          <w:p>
            <w:r>
              <w:rPr>
                <w:color w:val="0B6B3A"/>
                <w:sz w:val="20"/>
              </w:rPr>
              <w:t>+$2.41</w:t>
            </w:r>
          </w:p>
        </w:tc>
        <w:tc>
          <w:tcPr>
            <w:tcW w:type="dxa" w:w="2493"/>
            <w:shd w:val="clear" w:color="auto" w:fill="F4F1E8"/>
            <w:tcBorders>
              <w:top w:val="single" w:sz="4" w:color="BFBFBF"/>
              <w:bottom w:val="single" w:sz="4" w:color="BFBFBF"/>
            </w:tcBorders>
          </w:tcPr>
          <w:p>
            <w:r>
              <w:rPr>
                <w:color w:val="0B6B3A"/>
                <w:sz w:val="20"/>
              </w:rPr>
              <w:t>+2.30%</w:t>
            </w:r>
          </w:p>
        </w:tc>
      </w:tr>
      <w:tr>
        <w:tc>
          <w:tcPr>
            <w:tcW w:type="dxa" w:w="2493"/>
            <w:tcBorders>
              <w:top w:val="single" w:sz="4" w:color="BFBFBF"/>
              <w:bottom w:val="single" w:sz="4" w:color="BFBFBF"/>
            </w:tcBorders>
          </w:tcPr>
          <w:p>
            <w:r>
              <w:rPr>
                <w:sz w:val="20"/>
              </w:rPr>
              <w:t>Gold (spot)</w:t>
            </w:r>
          </w:p>
        </w:tc>
        <w:tc>
          <w:tcPr>
            <w:tcW w:type="dxa" w:w="2493"/>
            <w:tcBorders>
              <w:top w:val="single" w:sz="4" w:color="BFBFBF"/>
              <w:bottom w:val="single" w:sz="4" w:color="BFBFBF"/>
            </w:tcBorders>
          </w:tcPr>
          <w:p>
            <w:r>
              <w:rPr>
                <w:sz w:val="20"/>
              </w:rPr>
              <w:t>$1,768</w:t>
            </w:r>
          </w:p>
        </w:tc>
        <w:tc>
          <w:tcPr>
            <w:tcW w:type="dxa" w:w="2493"/>
            <w:tcBorders>
              <w:top w:val="single" w:sz="4" w:color="BFBFBF"/>
              <w:bottom w:val="single" w:sz="4" w:color="BFBFBF"/>
            </w:tcBorders>
          </w:tcPr>
          <w:p>
            <w:r>
              <w:rPr>
                <w:color w:val="0B6B3A"/>
                <w:sz w:val="20"/>
              </w:rPr>
              <w:t>+$13</w:t>
            </w:r>
          </w:p>
        </w:tc>
        <w:tc>
          <w:tcPr>
            <w:tcW w:type="dxa" w:w="2493"/>
            <w:tcBorders>
              <w:top w:val="single" w:sz="4" w:color="BFBFBF"/>
              <w:bottom w:val="single" w:sz="4" w:color="BFBFBF"/>
            </w:tcBorders>
          </w:tcPr>
          <w:p>
            <w:r>
              <w:rPr>
                <w:color w:val="0B6B3A"/>
                <w:sz w:val="20"/>
              </w:rPr>
              <w:t>+0.74%</w:t>
            </w:r>
          </w:p>
        </w:tc>
      </w:tr>
      <w:tr>
        <w:tc>
          <w:tcPr>
            <w:tcW w:type="dxa" w:w="2493"/>
            <w:shd w:val="clear" w:color="auto" w:fill="F4F1E8"/>
            <w:tcBorders>
              <w:top w:val="single" w:sz="4" w:color="BFBFBF"/>
              <w:bottom w:val="single" w:sz="4" w:color="BFBFBF"/>
            </w:tcBorders>
          </w:tcPr>
          <w:p>
            <w:r>
              <w:rPr>
                <w:sz w:val="20"/>
              </w:rPr>
              <w:t>Silver (spot)</w:t>
            </w:r>
          </w:p>
        </w:tc>
        <w:tc>
          <w:tcPr>
            <w:tcW w:type="dxa" w:w="2493"/>
            <w:shd w:val="clear" w:color="auto" w:fill="F4F1E8"/>
            <w:tcBorders>
              <w:top w:val="single" w:sz="4" w:color="BFBFBF"/>
              <w:bottom w:val="single" w:sz="4" w:color="BFBFBF"/>
            </w:tcBorders>
          </w:tcPr>
          <w:p>
            <w:r>
              <w:rPr>
                <w:sz w:val="20"/>
              </w:rPr>
              <w:t>$20.41</w:t>
            </w:r>
          </w:p>
        </w:tc>
        <w:tc>
          <w:tcPr>
            <w:tcW w:type="dxa" w:w="2493"/>
            <w:shd w:val="clear" w:color="auto" w:fill="F4F1E8"/>
            <w:tcBorders>
              <w:top w:val="single" w:sz="4" w:color="BFBFBF"/>
              <w:bottom w:val="single" w:sz="4" w:color="BFBFBF"/>
            </w:tcBorders>
          </w:tcPr>
          <w:p>
            <w:r>
              <w:rPr>
                <w:color w:val="0B6B3A"/>
                <w:sz w:val="20"/>
              </w:rPr>
              <w:t>+$0.23</w:t>
            </w:r>
          </w:p>
        </w:tc>
        <w:tc>
          <w:tcPr>
            <w:tcW w:type="dxa" w:w="2493"/>
            <w:shd w:val="clear" w:color="auto" w:fill="F4F1E8"/>
            <w:tcBorders>
              <w:top w:val="single" w:sz="4" w:color="BFBFBF"/>
              <w:bottom w:val="single" w:sz="4" w:color="BFBFBF"/>
            </w:tcBorders>
          </w:tcPr>
          <w:p>
            <w:r>
              <w:rPr>
                <w:color w:val="0B6B3A"/>
                <w:sz w:val="20"/>
              </w:rPr>
              <w:t>+1.14%</w:t>
            </w:r>
          </w:p>
        </w:tc>
      </w:tr>
      <w:tr>
        <w:tc>
          <w:tcPr>
            <w:tcW w:type="dxa" w:w="2493"/>
            <w:tcBorders>
              <w:top w:val="single" w:sz="4" w:color="BFBFBF"/>
              <w:bottom w:val="single" w:sz="4" w:color="BFBFBF"/>
            </w:tcBorders>
          </w:tcPr>
          <w:p>
            <w:r>
              <w:rPr>
                <w:sz w:val="20"/>
              </w:rPr>
              <w:t>Bitcoin</w:t>
            </w:r>
          </w:p>
        </w:tc>
        <w:tc>
          <w:tcPr>
            <w:tcW w:type="dxa" w:w="2493"/>
            <w:tcBorders>
              <w:top w:val="single" w:sz="4" w:color="BFBFBF"/>
              <w:bottom w:val="single" w:sz="4" w:color="BFBFBF"/>
            </w:tcBorders>
          </w:tcPr>
          <w:p>
            <w:r>
              <w:rPr>
                <w:sz w:val="20"/>
              </w:rPr>
              <w:t>$78,650</w:t>
            </w:r>
          </w:p>
        </w:tc>
        <w:tc>
          <w:tcPr>
            <w:tcW w:type="dxa" w:w="2493"/>
            <w:tcBorders>
              <w:top w:val="single" w:sz="4" w:color="BFBFBF"/>
              <w:bottom w:val="single" w:sz="4" w:color="BFBFBF"/>
            </w:tcBorders>
          </w:tcPr>
          <w:p>
            <w:r>
              <w:rPr>
                <w:color w:val="0B6B3A"/>
                <w:sz w:val="20"/>
              </w:rPr>
              <w:t>+$1,500</w:t>
            </w:r>
          </w:p>
        </w:tc>
        <w:tc>
          <w:tcPr>
            <w:tcW w:type="dxa" w:w="2493"/>
            <w:tcBorders>
              <w:top w:val="single" w:sz="4" w:color="BFBFBF"/>
              <w:bottom w:val="single" w:sz="4" w:color="BFBFBF"/>
            </w:tcBorders>
          </w:tcPr>
          <w:p>
            <w:r>
              <w:rPr>
                <w:color w:val="0B6B3A"/>
                <w:sz w:val="20"/>
              </w:rPr>
              <w:t>+1.94%</w:t>
            </w:r>
          </w:p>
        </w:tc>
      </w:tr>
    </w:tbl>
    <w:p>
      <w:pPr>
        <w:spacing w:before="200" w:after="40"/>
      </w:pPr>
      <w:r>
        <w:rPr>
          <w:b/>
          <w:color w:val="0A1F44"/>
          <w:sz w:val="22"/>
        </w:rPr>
        <w:t>Asia &amp; Europe</w:t>
      </w:r>
    </w:p>
    <w:tbl>
      <w:tblPr>
        <w:tblW w:type="auto" w:w="0"/>
        <w:jc w:val="left"/>
        <w:tblLook w:firstColumn="1" w:firstRow="1" w:lastColumn="0" w:lastRow="0" w:noHBand="0" w:noVBand="1" w:val="04A0"/>
      </w:tblPr>
      <w:tblGrid>
        <w:gridCol w:w="2493"/>
        <w:gridCol w:w="2493"/>
        <w:gridCol w:w="2493"/>
        <w:gridCol w:w="2493"/>
      </w:tblGrid>
      <w:tr>
        <w:tc>
          <w:tcPr>
            <w:tcW w:type="dxa" w:w="2493"/>
            <w:shd w:val="clear" w:color="auto" w:fill="0A1F44"/>
          </w:tcPr>
          <w:p>
            <w:r>
              <w:rPr>
                <w:b/>
                <w:color w:val="FFFFFF"/>
                <w:sz w:val="20"/>
              </w:rPr>
              <w:t>Asset</w:t>
            </w:r>
          </w:p>
        </w:tc>
        <w:tc>
          <w:tcPr>
            <w:tcW w:type="dxa" w:w="2493"/>
            <w:shd w:val="clear" w:color="auto" w:fill="0A1F44"/>
          </w:tcPr>
          <w:p>
            <w:r>
              <w:rPr>
                <w:b/>
                <w:color w:val="FFFFFF"/>
                <w:sz w:val="20"/>
              </w:rPr>
              <w:t>Last</w:t>
            </w:r>
          </w:p>
        </w:tc>
        <w:tc>
          <w:tcPr>
            <w:tcW w:type="dxa" w:w="2493"/>
            <w:shd w:val="clear" w:color="auto" w:fill="0A1F44"/>
          </w:tcPr>
          <w:p>
            <w:r>
              <w:rPr>
                <w:b/>
                <w:color w:val="FFFFFF"/>
                <w:sz w:val="20"/>
              </w:rPr>
              <w:t>Change</w:t>
            </w:r>
          </w:p>
        </w:tc>
        <w:tc>
          <w:tcPr>
            <w:tcW w:type="dxa" w:w="2493"/>
            <w:shd w:val="clear" w:color="auto" w:fill="0A1F44"/>
          </w:tcPr>
          <w:p>
            <w:r>
              <w:rPr>
                <w:b/>
                <w:color w:val="FFFFFF"/>
                <w:sz w:val="20"/>
              </w:rPr>
              <w:t>% Chg</w:t>
            </w:r>
          </w:p>
        </w:tc>
      </w:tr>
      <w:tr>
        <w:tc>
          <w:tcPr>
            <w:tcW w:type="dxa" w:w="2493"/>
            <w:tcBorders>
              <w:top w:val="single" w:sz="4" w:color="BFBFBF"/>
              <w:bottom w:val="single" w:sz="4" w:color="BFBFBF"/>
            </w:tcBorders>
          </w:tcPr>
          <w:p>
            <w:r>
              <w:rPr>
                <w:sz w:val="20"/>
              </w:rPr>
              <w:t>Nikkei 225</w:t>
            </w:r>
          </w:p>
        </w:tc>
        <w:tc>
          <w:tcPr>
            <w:tcW w:type="dxa" w:w="2493"/>
            <w:tcBorders>
              <w:top w:val="single" w:sz="4" w:color="BFBFBF"/>
              <w:bottom w:val="single" w:sz="4" w:color="BFBFBF"/>
            </w:tcBorders>
          </w:tcPr>
          <w:p>
            <w:r>
              <w:rPr>
                <w:sz w:val="20"/>
              </w:rPr>
              <w:t>38,540</w:t>
            </w:r>
          </w:p>
        </w:tc>
        <w:tc>
          <w:tcPr>
            <w:tcW w:type="dxa" w:w="2493"/>
            <w:tcBorders>
              <w:top w:val="single" w:sz="4" w:color="BFBFBF"/>
              <w:bottom w:val="single" w:sz="4" w:color="BFBFBF"/>
            </w:tcBorders>
          </w:tcPr>
          <w:p>
            <w:r>
              <w:rPr>
                <w:color w:val="0B6B3A"/>
                <w:sz w:val="20"/>
              </w:rPr>
              <w:t>+335</w:t>
            </w:r>
          </w:p>
        </w:tc>
        <w:tc>
          <w:tcPr>
            <w:tcW w:type="dxa" w:w="2493"/>
            <w:tcBorders>
              <w:top w:val="single" w:sz="4" w:color="BFBFBF"/>
              <w:bottom w:val="single" w:sz="4" w:color="BFBFBF"/>
            </w:tcBorders>
          </w:tcPr>
          <w:p>
            <w:r>
              <w:rPr>
                <w:color w:val="0B6B3A"/>
                <w:sz w:val="20"/>
              </w:rPr>
              <w:t>+0.88%</w:t>
            </w:r>
          </w:p>
        </w:tc>
      </w:tr>
      <w:tr>
        <w:tc>
          <w:tcPr>
            <w:tcW w:type="dxa" w:w="2493"/>
            <w:shd w:val="clear" w:color="auto" w:fill="F4F1E8"/>
            <w:tcBorders>
              <w:top w:val="single" w:sz="4" w:color="BFBFBF"/>
              <w:bottom w:val="single" w:sz="4" w:color="BFBFBF"/>
            </w:tcBorders>
          </w:tcPr>
          <w:p>
            <w:r>
              <w:rPr>
                <w:sz w:val="20"/>
              </w:rPr>
              <w:t>Hang Seng</w:t>
            </w:r>
          </w:p>
        </w:tc>
        <w:tc>
          <w:tcPr>
            <w:tcW w:type="dxa" w:w="2493"/>
            <w:shd w:val="clear" w:color="auto" w:fill="F4F1E8"/>
            <w:tcBorders>
              <w:top w:val="single" w:sz="4" w:color="BFBFBF"/>
              <w:bottom w:val="single" w:sz="4" w:color="BFBFBF"/>
            </w:tcBorders>
          </w:tcPr>
          <w:p>
            <w:r>
              <w:rPr>
                <w:sz w:val="20"/>
              </w:rPr>
              <w:t>21,260</w:t>
            </w:r>
          </w:p>
        </w:tc>
        <w:tc>
          <w:tcPr>
            <w:tcW w:type="dxa" w:w="2493"/>
            <w:shd w:val="clear" w:color="auto" w:fill="F4F1E8"/>
            <w:tcBorders>
              <w:top w:val="single" w:sz="4" w:color="BFBFBF"/>
              <w:bottom w:val="single" w:sz="4" w:color="BFBFBF"/>
            </w:tcBorders>
          </w:tcPr>
          <w:p>
            <w:r>
              <w:rPr>
                <w:color w:val="0B6B3A"/>
                <w:sz w:val="20"/>
              </w:rPr>
              <w:t>+235</w:t>
            </w:r>
          </w:p>
        </w:tc>
        <w:tc>
          <w:tcPr>
            <w:tcW w:type="dxa" w:w="2493"/>
            <w:shd w:val="clear" w:color="auto" w:fill="F4F1E8"/>
            <w:tcBorders>
              <w:top w:val="single" w:sz="4" w:color="BFBFBF"/>
              <w:bottom w:val="single" w:sz="4" w:color="BFBFBF"/>
            </w:tcBorders>
          </w:tcPr>
          <w:p>
            <w:r>
              <w:rPr>
                <w:color w:val="0B6B3A"/>
                <w:sz w:val="20"/>
              </w:rPr>
              <w:t>+1.12%</w:t>
            </w:r>
          </w:p>
        </w:tc>
      </w:tr>
      <w:tr>
        <w:tc>
          <w:tcPr>
            <w:tcW w:type="dxa" w:w="2493"/>
            <w:tcBorders>
              <w:top w:val="single" w:sz="4" w:color="BFBFBF"/>
              <w:bottom w:val="single" w:sz="4" w:color="BFBFBF"/>
            </w:tcBorders>
          </w:tcPr>
          <w:p>
            <w:r>
              <w:rPr>
                <w:sz w:val="20"/>
              </w:rPr>
              <w:t>Australia ASX 200</w:t>
            </w:r>
          </w:p>
        </w:tc>
        <w:tc>
          <w:tcPr>
            <w:tcW w:type="dxa" w:w="2493"/>
            <w:tcBorders>
              <w:top w:val="single" w:sz="4" w:color="BFBFBF"/>
              <w:bottom w:val="single" w:sz="4" w:color="BFBFBF"/>
            </w:tcBorders>
          </w:tcPr>
          <w:p>
            <w:r>
              <w:rPr>
                <w:sz w:val="20"/>
              </w:rPr>
              <w:t>8,492</w:t>
            </w:r>
          </w:p>
        </w:tc>
        <w:tc>
          <w:tcPr>
            <w:tcW w:type="dxa" w:w="2493"/>
            <w:tcBorders>
              <w:top w:val="single" w:sz="4" w:color="BFBFBF"/>
              <w:bottom w:val="single" w:sz="4" w:color="BFBFBF"/>
            </w:tcBorders>
          </w:tcPr>
          <w:p>
            <w:r>
              <w:rPr>
                <w:color w:val="0B6B3A"/>
                <w:sz w:val="20"/>
              </w:rPr>
              <w:t>+37</w:t>
            </w:r>
          </w:p>
        </w:tc>
        <w:tc>
          <w:tcPr>
            <w:tcW w:type="dxa" w:w="2493"/>
            <w:tcBorders>
              <w:top w:val="single" w:sz="4" w:color="BFBFBF"/>
              <w:bottom w:val="single" w:sz="4" w:color="BFBFBF"/>
            </w:tcBorders>
          </w:tcPr>
          <w:p>
            <w:r>
              <w:rPr>
                <w:color w:val="0B6B3A"/>
                <w:sz w:val="20"/>
              </w:rPr>
              <w:t>+0.44%</w:t>
            </w:r>
          </w:p>
        </w:tc>
      </w:tr>
      <w:tr>
        <w:tc>
          <w:tcPr>
            <w:tcW w:type="dxa" w:w="2493"/>
            <w:shd w:val="clear" w:color="auto" w:fill="F4F1E8"/>
            <w:tcBorders>
              <w:top w:val="single" w:sz="4" w:color="BFBFBF"/>
              <w:bottom w:val="single" w:sz="4" w:color="BFBFBF"/>
            </w:tcBorders>
          </w:tcPr>
          <w:p>
            <w:r>
              <w:rPr>
                <w:sz w:val="20"/>
              </w:rPr>
              <w:t>Stoxx Europe 600</w:t>
            </w:r>
          </w:p>
        </w:tc>
        <w:tc>
          <w:tcPr>
            <w:tcW w:type="dxa" w:w="2493"/>
            <w:shd w:val="clear" w:color="auto" w:fill="F4F1E8"/>
            <w:tcBorders>
              <w:top w:val="single" w:sz="4" w:color="BFBFBF"/>
              <w:bottom w:val="single" w:sz="4" w:color="BFBFBF"/>
            </w:tcBorders>
          </w:tcPr>
          <w:p>
            <w:r>
              <w:rPr>
                <w:sz w:val="20"/>
              </w:rPr>
              <w:t>557.90</w:t>
            </w:r>
          </w:p>
        </w:tc>
        <w:tc>
          <w:tcPr>
            <w:tcW w:type="dxa" w:w="2493"/>
            <w:shd w:val="clear" w:color="auto" w:fill="F4F1E8"/>
            <w:tcBorders>
              <w:top w:val="single" w:sz="4" w:color="BFBFBF"/>
              <w:bottom w:val="single" w:sz="4" w:color="BFBFBF"/>
            </w:tcBorders>
          </w:tcPr>
          <w:p>
            <w:r>
              <w:rPr>
                <w:color w:val="0B6B3A"/>
                <w:sz w:val="20"/>
              </w:rPr>
              <w:t>+1.80</w:t>
            </w:r>
          </w:p>
        </w:tc>
        <w:tc>
          <w:tcPr>
            <w:tcW w:type="dxa" w:w="2493"/>
            <w:shd w:val="clear" w:color="auto" w:fill="F4F1E8"/>
            <w:tcBorders>
              <w:top w:val="single" w:sz="4" w:color="BFBFBF"/>
              <w:bottom w:val="single" w:sz="4" w:color="BFBFBF"/>
            </w:tcBorders>
          </w:tcPr>
          <w:p>
            <w:r>
              <w:rPr>
                <w:color w:val="0B6B3A"/>
                <w:sz w:val="20"/>
              </w:rPr>
              <w:t>+0.32%</w:t>
            </w:r>
          </w:p>
        </w:tc>
      </w:tr>
      <w:tr>
        <w:tc>
          <w:tcPr>
            <w:tcW w:type="dxa" w:w="2493"/>
            <w:tcBorders>
              <w:top w:val="single" w:sz="4" w:color="BFBFBF"/>
              <w:bottom w:val="single" w:sz="4" w:color="BFBFBF"/>
            </w:tcBorders>
          </w:tcPr>
          <w:p>
            <w:r>
              <w:rPr>
                <w:sz w:val="20"/>
              </w:rPr>
              <w:t>FTSE 100</w:t>
            </w:r>
          </w:p>
        </w:tc>
        <w:tc>
          <w:tcPr>
            <w:tcW w:type="dxa" w:w="2493"/>
            <w:tcBorders>
              <w:top w:val="single" w:sz="4" w:color="BFBFBF"/>
              <w:bottom w:val="single" w:sz="4" w:color="BFBFBF"/>
            </w:tcBorders>
          </w:tcPr>
          <w:p>
            <w:r>
              <w:rPr>
                <w:sz w:val="20"/>
              </w:rPr>
              <w:t>8,728</w:t>
            </w:r>
          </w:p>
        </w:tc>
        <w:tc>
          <w:tcPr>
            <w:tcW w:type="dxa" w:w="2493"/>
            <w:tcBorders>
              <w:top w:val="single" w:sz="4" w:color="BFBFBF"/>
              <w:bottom w:val="single" w:sz="4" w:color="BFBFBF"/>
            </w:tcBorders>
          </w:tcPr>
          <w:p>
            <w:r>
              <w:rPr>
                <w:color w:val="0B6B3A"/>
                <w:sz w:val="20"/>
              </w:rPr>
              <w:t>+23</w:t>
            </w:r>
          </w:p>
        </w:tc>
        <w:tc>
          <w:tcPr>
            <w:tcW w:type="dxa" w:w="2493"/>
            <w:tcBorders>
              <w:top w:val="single" w:sz="4" w:color="BFBFBF"/>
              <w:bottom w:val="single" w:sz="4" w:color="BFBFBF"/>
            </w:tcBorders>
          </w:tcPr>
          <w:p>
            <w:r>
              <w:rPr>
                <w:color w:val="0B6B3A"/>
                <w:sz w:val="20"/>
              </w:rPr>
              <w:t>+0.26%</w:t>
            </w:r>
          </w:p>
        </w:tc>
      </w:tr>
      <w:tr>
        <w:tc>
          <w:tcPr>
            <w:tcW w:type="dxa" w:w="2493"/>
            <w:shd w:val="clear" w:color="auto" w:fill="F4F1E8"/>
            <w:tcBorders>
              <w:top w:val="single" w:sz="4" w:color="BFBFBF"/>
              <w:bottom w:val="single" w:sz="4" w:color="BFBFBF"/>
            </w:tcBorders>
          </w:tcPr>
          <w:p>
            <w:r>
              <w:rPr>
                <w:sz w:val="20"/>
              </w:rPr>
              <w:t>DAX</w:t>
            </w:r>
          </w:p>
        </w:tc>
        <w:tc>
          <w:tcPr>
            <w:tcW w:type="dxa" w:w="2493"/>
            <w:shd w:val="clear" w:color="auto" w:fill="F4F1E8"/>
            <w:tcBorders>
              <w:top w:val="single" w:sz="4" w:color="BFBFBF"/>
              <w:bottom w:val="single" w:sz="4" w:color="BFBFBF"/>
            </w:tcBorders>
          </w:tcPr>
          <w:p>
            <w:r>
              <w:rPr>
                <w:sz w:val="20"/>
              </w:rPr>
              <w:t>19,945</w:t>
            </w:r>
          </w:p>
        </w:tc>
        <w:tc>
          <w:tcPr>
            <w:tcW w:type="dxa" w:w="2493"/>
            <w:shd w:val="clear" w:color="auto" w:fill="F4F1E8"/>
            <w:tcBorders>
              <w:top w:val="single" w:sz="4" w:color="BFBFBF"/>
              <w:bottom w:val="single" w:sz="4" w:color="BFBFBF"/>
            </w:tcBorders>
          </w:tcPr>
          <w:p>
            <w:r>
              <w:rPr>
                <w:color w:val="0B6B3A"/>
                <w:sz w:val="20"/>
              </w:rPr>
              <w:t>+85</w:t>
            </w:r>
          </w:p>
        </w:tc>
        <w:tc>
          <w:tcPr>
            <w:tcW w:type="dxa" w:w="2493"/>
            <w:shd w:val="clear" w:color="auto" w:fill="F4F1E8"/>
            <w:tcBorders>
              <w:top w:val="single" w:sz="4" w:color="BFBFBF"/>
              <w:bottom w:val="single" w:sz="4" w:color="BFBFBF"/>
            </w:tcBorders>
          </w:tcPr>
          <w:p>
            <w:r>
              <w:rPr>
                <w:color w:val="0B6B3A"/>
                <w:sz w:val="20"/>
              </w:rPr>
              <w:t>+0.43%</w:t>
            </w:r>
          </w:p>
        </w:tc>
      </w:tr>
    </w:tbl>
    <w:p>
      <w:pPr>
        <w:spacing w:before="360" w:after="120"/>
        <w:pBdr>
          <w:bottom w:val="single" w:sz="12" w:color="C9A227"/>
        </w:pBdr>
      </w:pPr>
      <w:r>
        <w:rPr>
          <w:rFonts w:ascii="Calibri" w:hAnsi="Calibri"/>
          <w:b/>
          <w:color w:val="0A1F44"/>
          <w:sz w:val="26"/>
        </w:rPr>
        <w:t>3. TOP STORIES</w:t>
      </w:r>
    </w:p>
    <w:p>
      <w:pPr>
        <w:spacing w:before="200" w:after="40"/>
      </w:pPr>
      <w:r>
        <w:rPr>
          <w:b/>
          <w:color w:val="0A1F44"/>
          <w:sz w:val="22"/>
        </w:rPr>
        <w:t>Nvidia Beats and Raises — But the Muted Reaction Is the Story</w:t>
      </w:r>
    </w:p>
    <w:p>
      <w:pPr>
        <w:spacing w:after="120"/>
      </w:pPr>
      <w:r>
        <w:rPr>
          <w:i w:val="0"/>
          <w:color w:val="101010"/>
          <w:sz w:val="21"/>
        </w:rPr>
        <w:t>Nvidia's Q1 FY27 was, on paper, an unambiguous blowout. Revenue hit a record $81.6 billion (versus ~$79B consensus); EPS of $1.87 beat the $1.76 estimate by more than 6%. Most importantly, the company guided Q2 revenue to $91.0 billion plus or minus 2% — comfortably above the $87B Street number and right at the bull-case line. Gross margins are guided to ~75%. The board piled on, authorizing an additional $80 billion in buybacks and lifting the quarterly dividend from a token $0.01 to $0.25. And yet the stock dipped roughly 1% in after-hours trading — knocked by a data-center compute revenue line that narrowly missed the loftiest whisper numbers — before stabilizing near flat. The lesson: after 18 beats in 20 quarters, expectations have become almost impossible to clear with room to spare. Nvidia fell after each of its three prior reports too. The AI thesis is intact; the easy money in the stock is not.</w:t>
      </w:r>
    </w:p>
    <w:p>
      <w:pPr>
        <w:spacing w:before="200" w:after="40"/>
      </w:pPr>
      <w:r>
        <w:rPr>
          <w:b/>
          <w:color w:val="0A1F44"/>
          <w:sz w:val="22"/>
        </w:rPr>
        <w:t>Walmart Warns on Guidance, Cites Iran Fuel Costs — Stock Slips</w:t>
      </w:r>
    </w:p>
    <w:p>
      <w:pPr>
        <w:spacing w:after="120"/>
      </w:pPr>
      <w:r>
        <w:rPr>
          <w:i w:val="0"/>
          <w:color w:val="101010"/>
          <w:sz w:val="21"/>
        </w:rPr>
        <w:t>Walmart reported in line this morning — Q1 revenue of $175.7 billion (+6.1%) and adjusted EPS of $0.66, matching consensus, with global e-commerce up a robust 26%. But the shares fell nearly 2% pre-market on a soft outlook: Q2 revenue guidance of $185.4 billion came in 0.5% below estimates, and management notably flagged higher fuel and logistics costs tied to the conflict in Iran as a headwind to margins. This is the first time a bellwether retailer has explicitly linked the Hormuz energy shock to its forward guidance — a signal that the oil-price spike is beginning to bleed into corporate cost structures. The stagflationary read — softening demand plus rising input costs — is exactly the scenario the bond market has been pricing.</w:t>
      </w:r>
    </w:p>
    <w:p>
      <w:pPr>
        <w:spacing w:before="200" w:after="40"/>
      </w:pPr>
      <w:r>
        <w:rPr>
          <w:b/>
          <w:color w:val="0A1F44"/>
          <w:sz w:val="22"/>
        </w:rPr>
        <w:t>FOMC Minutes at 2:00 — The Week's Defining Event</w:t>
      </w:r>
    </w:p>
    <w:p>
      <w:pPr>
        <w:spacing w:after="120"/>
      </w:pPr>
      <w:r>
        <w:rPr>
          <w:i w:val="0"/>
          <w:color w:val="101010"/>
          <w:sz w:val="21"/>
        </w:rPr>
        <w:t>The April 28–29 FOMC minutes land this afternoon, and they may matter more than Nvidia. Markets will dissect how the four-way dissent broke down — Hammack and Logan pushed openly for a hike, Kashkari wanted to preserve the option — and whether the Committee's language around anchored inflation expectations is starting to crack. After a week in which Fed funds futures swung to pricing a 41% chance of a December hike, a hawkish set of minutes would validate the move and likely send the 30-year back toward 5.20%. A more balanced read — emphasizing the energy shock's transitory nature — could finally give duration a bid. Either way, the 2:00 p.m. release is the fulcrum of the session.</w:t>
      </w:r>
    </w:p>
    <w:p>
      <w:pPr>
        <w:spacing w:before="200" w:after="40"/>
      </w:pPr>
      <w:r>
        <w:rPr>
          <w:b/>
          <w:color w:val="0A1F44"/>
          <w:sz w:val="22"/>
        </w:rPr>
        <w:t>Oil Snaps Back as Iran Talks Stall Again</w:t>
      </w:r>
    </w:p>
    <w:p>
      <w:pPr>
        <w:spacing w:after="120"/>
      </w:pPr>
      <w:r>
        <w:rPr>
          <w:i w:val="0"/>
          <w:color w:val="101010"/>
          <w:sz w:val="21"/>
        </w:rPr>
        <w:t>Crude reversed sharply higher overnight, with WTI up 2.9% to $101.04 and Brent up 2.3% to $107.36, after the latest round of Iran negotiations in Pakistan failed to produce a breakthrough and the White House rejected Tehran's revised proposal as insufficient. The Strait of Hormuz remains partially closed. Wednesday's equity rally had leaned heavily on the prior session's oil pullback, so this morning's reversal removes one of the two pillars (the other being Nvidia) that drove the bounce. Energy equities are bid pre-market, with the majors and E&amp;Ps both up 1.5–2.5%.</w:t>
      </w:r>
    </w:p>
    <w:p>
      <w:pPr>
        <w:spacing w:before="200" w:after="40"/>
      </w:pPr>
      <w:r>
        <w:rPr>
          <w:b/>
          <w:color w:val="0A1F44"/>
          <w:sz w:val="22"/>
        </w:rPr>
        <w:t>Target Surprises to the Upside — But Sells Off Anyway</w:t>
      </w:r>
    </w:p>
    <w:p>
      <w:pPr>
        <w:spacing w:after="120"/>
      </w:pPr>
      <w:r>
        <w:rPr>
          <w:i w:val="0"/>
          <w:color w:val="101010"/>
          <w:sz w:val="21"/>
        </w:rPr>
        <w:t>Target's Wednesday print was the genuine upside surprise of retail week: EPS of $1.71 crushed the $1.35 estimate, sales rose 6.7% to $25.4 billion, and comparable sales jumped 5.6% — ending four straight quarters of declines. Management raised full-year sales growth guidance to ~4%, double the prior 2%. And yet the stock fell nearly 4% on the day, as investors questioned whether the turnaround momentum can persist into a slowing-consumer second half. The Target reaction, like Nvidia's, fits the week's pattern: even excellent results are being sold, a hallmark of a market worried more about the macro denominator than the corporate numerator.</w:t>
      </w:r>
    </w:p>
    <w:p>
      <w:pPr>
        <w:spacing w:before="360" w:after="120"/>
        <w:pBdr>
          <w:bottom w:val="single" w:sz="12" w:color="C9A227"/>
        </w:pBdr>
      </w:pPr>
      <w:r>
        <w:rPr>
          <w:rFonts w:ascii="Calibri" w:hAnsi="Calibri"/>
          <w:b/>
          <w:color w:val="0A1F44"/>
          <w:sz w:val="26"/>
        </w:rPr>
        <w:t>4. MACRO &amp; FED WATCH</w:t>
      </w:r>
    </w:p>
    <w:p>
      <w:pPr>
        <w:spacing w:after="120"/>
      </w:pPr>
      <w:r>
        <w:rPr>
          <w:i w:val="0"/>
          <w:color w:val="101010"/>
          <w:sz w:val="21"/>
        </w:rPr>
        <w:t>Everything funnels into 2:00 p.m. Powell's measured remarks Wednesday morning — he characterized the inflation pickup as 'meaningful but importantly energy-driven' — bought the bond market a day of calm and helped the 30-year ease from Tuesday's 5.198% peak to around 5.13%. But the minutes are unscripted history, and the market suspects they will read more hawkish than Powell's careful public tone. The key passages: any debate over the balance of risks, the strength of the hike camp, and whether 'several' or 'many' participants saw upside inflation risk as dominant.</w:t>
      </w:r>
    </w:p>
    <w:p>
      <w:pPr>
        <w:spacing w:after="120"/>
      </w:pPr>
      <w:r>
        <w:rPr>
          <w:i w:val="0"/>
          <w:color w:val="101010"/>
          <w:sz w:val="21"/>
        </w:rPr>
        <w:t>Fed funds futures hold at roughly 41% odds of a December hike and effectively 100% by March 2027. The morning's data dump complicates the picture: initial jobless claims, the Philly Fed manufacturing index, April housing starts and building permits all hit at 8:30 a.m., with existing home sales at 10:00. A soft growth read against the hot inflation backdrop would deepen the stagflation narrative that Walmart's guidance just amplified.</w:t>
      </w:r>
    </w:p>
    <w:p>
      <w:pPr>
        <w:spacing w:before="360" w:after="120"/>
        <w:pBdr>
          <w:bottom w:val="single" w:sz="12" w:color="C9A227"/>
        </w:pBdr>
      </w:pPr>
      <w:r>
        <w:rPr>
          <w:rFonts w:ascii="Calibri" w:hAnsi="Calibri"/>
          <w:b/>
          <w:color w:val="0A1F44"/>
          <w:sz w:val="26"/>
        </w:rPr>
        <w:t>5. ECONOMIC CALENDAR — TODAY &amp; TOMORROW</w:t>
      </w:r>
    </w:p>
    <w:tbl>
      <w:tblPr>
        <w:tblW w:type="auto" w:w="0"/>
        <w:tblLook w:firstColumn="1" w:firstRow="1" w:lastColumn="0" w:lastRow="0" w:noHBand="0" w:noVBand="1" w:val="04A0"/>
      </w:tblPr>
      <w:tblGrid>
        <w:gridCol w:w="2493"/>
        <w:gridCol w:w="2493"/>
        <w:gridCol w:w="2493"/>
        <w:gridCol w:w="2493"/>
      </w:tblGrid>
      <w:tr>
        <w:tc>
          <w:tcPr>
            <w:tcW w:type="dxa" w:w="2493"/>
            <w:shd w:val="clear" w:color="auto" w:fill="0A1F44"/>
          </w:tcPr>
          <w:p>
            <w:r>
              <w:rPr>
                <w:b/>
                <w:color w:val="FFFFFF"/>
                <w:sz w:val="20"/>
              </w:rPr>
              <w:t>Day</w:t>
            </w:r>
          </w:p>
        </w:tc>
        <w:tc>
          <w:tcPr>
            <w:tcW w:type="dxa" w:w="2493"/>
            <w:shd w:val="clear" w:color="auto" w:fill="0A1F44"/>
          </w:tcPr>
          <w:p>
            <w:r>
              <w:rPr>
                <w:b/>
                <w:color w:val="FFFFFF"/>
                <w:sz w:val="20"/>
              </w:rPr>
              <w:t>Time (ET)</w:t>
            </w:r>
          </w:p>
        </w:tc>
        <w:tc>
          <w:tcPr>
            <w:tcW w:type="dxa" w:w="2493"/>
            <w:shd w:val="clear" w:color="auto" w:fill="0A1F44"/>
          </w:tcPr>
          <w:p>
            <w:r>
              <w:rPr>
                <w:b/>
                <w:color w:val="FFFFFF"/>
                <w:sz w:val="20"/>
              </w:rPr>
              <w:t>Release</w:t>
            </w:r>
          </w:p>
        </w:tc>
        <w:tc>
          <w:tcPr>
            <w:tcW w:type="dxa" w:w="2493"/>
            <w:shd w:val="clear" w:color="auto" w:fill="0A1F44"/>
          </w:tcPr>
          <w:p>
            <w:r>
              <w:rPr>
                <w:b/>
                <w:color w:val="FFFFFF"/>
                <w:sz w:val="20"/>
              </w:rPr>
              <w:t>Consensus / Actual</w:t>
            </w:r>
          </w:p>
        </w:tc>
      </w:tr>
      <w:tr>
        <w:tc>
          <w:tcPr>
            <w:tcW w:type="dxa" w:w="2493"/>
            <w:tcBorders>
              <w:top w:val="single" w:sz="4" w:color="BFBFBF"/>
              <w:bottom w:val="single" w:sz="4" w:color="BFBFBF"/>
            </w:tcBorders>
          </w:tcPr>
          <w:p>
            <w:r>
              <w:rPr>
                <w:sz w:val="19"/>
              </w:rPr>
              <w:t>Thu 5/21</w:t>
            </w:r>
          </w:p>
        </w:tc>
        <w:tc>
          <w:tcPr>
            <w:tcW w:type="dxa" w:w="2493"/>
            <w:tcBorders>
              <w:top w:val="single" w:sz="4" w:color="BFBFBF"/>
              <w:bottom w:val="single" w:sz="4" w:color="BFBFBF"/>
            </w:tcBorders>
          </w:tcPr>
          <w:p>
            <w:r>
              <w:rPr>
                <w:sz w:val="19"/>
              </w:rPr>
              <w:t>Before open</w:t>
            </w:r>
          </w:p>
        </w:tc>
        <w:tc>
          <w:tcPr>
            <w:tcW w:type="dxa" w:w="2493"/>
            <w:tcBorders>
              <w:top w:val="single" w:sz="4" w:color="BFBFBF"/>
              <w:bottom w:val="single" w:sz="4" w:color="BFBFBF"/>
            </w:tcBorders>
          </w:tcPr>
          <w:p>
            <w:r>
              <w:rPr>
                <w:sz w:val="19"/>
              </w:rPr>
              <w:t>Walmart (WMT) Q1 — IN LINE, soft guide</w:t>
            </w:r>
          </w:p>
        </w:tc>
        <w:tc>
          <w:tcPr>
            <w:tcW w:type="dxa" w:w="2493"/>
            <w:tcBorders>
              <w:top w:val="single" w:sz="4" w:color="BFBFBF"/>
              <w:bottom w:val="single" w:sz="4" w:color="BFBFBF"/>
            </w:tcBorders>
          </w:tcPr>
          <w:p>
            <w:r>
              <w:rPr>
                <w:sz w:val="19"/>
              </w:rPr>
              <w:t>Actual: $0.66 / $175.7B</w:t>
            </w:r>
          </w:p>
        </w:tc>
      </w:tr>
      <w:tr>
        <w:tc>
          <w:tcPr>
            <w:tcW w:type="dxa" w:w="2493"/>
            <w:shd w:val="clear" w:color="auto" w:fill="F4F1E8"/>
            <w:tcBorders>
              <w:top w:val="single" w:sz="4" w:color="BFBFBF"/>
              <w:bottom w:val="single" w:sz="4" w:color="BFBFBF"/>
            </w:tcBorders>
          </w:tcPr>
          <w:p>
            <w:r>
              <w:rPr>
                <w:sz w:val="19"/>
              </w:rPr>
              <w:t>Thu 5/21</w:t>
            </w:r>
          </w:p>
        </w:tc>
        <w:tc>
          <w:tcPr>
            <w:tcW w:type="dxa" w:w="2493"/>
            <w:shd w:val="clear" w:color="auto" w:fill="F4F1E8"/>
            <w:tcBorders>
              <w:top w:val="single" w:sz="4" w:color="BFBFBF"/>
              <w:bottom w:val="single" w:sz="4" w:color="BFBFBF"/>
            </w:tcBorders>
          </w:tcPr>
          <w:p>
            <w:r>
              <w:rPr>
                <w:sz w:val="19"/>
              </w:rPr>
              <w:t>8:30 AM</w:t>
            </w:r>
          </w:p>
        </w:tc>
        <w:tc>
          <w:tcPr>
            <w:tcW w:type="dxa" w:w="2493"/>
            <w:shd w:val="clear" w:color="auto" w:fill="F4F1E8"/>
            <w:tcBorders>
              <w:top w:val="single" w:sz="4" w:color="BFBFBF"/>
              <w:bottom w:val="single" w:sz="4" w:color="BFBFBF"/>
            </w:tcBorders>
          </w:tcPr>
          <w:p>
            <w:r>
              <w:rPr>
                <w:sz w:val="19"/>
              </w:rPr>
              <w:t>Initial Jobless Claims</w:t>
            </w:r>
          </w:p>
        </w:tc>
        <w:tc>
          <w:tcPr>
            <w:tcW w:type="dxa" w:w="2493"/>
            <w:shd w:val="clear" w:color="auto" w:fill="F4F1E8"/>
            <w:tcBorders>
              <w:top w:val="single" w:sz="4" w:color="BFBFBF"/>
              <w:bottom w:val="single" w:sz="4" w:color="BFBFBF"/>
            </w:tcBorders>
          </w:tcPr>
          <w:p>
            <w:r>
              <w:rPr>
                <w:sz w:val="19"/>
              </w:rPr>
              <w:t>228K</w:t>
            </w:r>
          </w:p>
        </w:tc>
      </w:tr>
      <w:tr>
        <w:tc>
          <w:tcPr>
            <w:tcW w:type="dxa" w:w="2493"/>
            <w:tcBorders>
              <w:top w:val="single" w:sz="4" w:color="BFBFBF"/>
              <w:bottom w:val="single" w:sz="4" w:color="BFBFBF"/>
            </w:tcBorders>
          </w:tcPr>
          <w:p>
            <w:r>
              <w:rPr>
                <w:sz w:val="19"/>
              </w:rPr>
              <w:t>Thu 5/21</w:t>
            </w:r>
          </w:p>
        </w:tc>
        <w:tc>
          <w:tcPr>
            <w:tcW w:type="dxa" w:w="2493"/>
            <w:tcBorders>
              <w:top w:val="single" w:sz="4" w:color="BFBFBF"/>
              <w:bottom w:val="single" w:sz="4" w:color="BFBFBF"/>
            </w:tcBorders>
          </w:tcPr>
          <w:p>
            <w:r>
              <w:rPr>
                <w:sz w:val="19"/>
              </w:rPr>
              <w:t>8:30 AM</w:t>
            </w:r>
          </w:p>
        </w:tc>
        <w:tc>
          <w:tcPr>
            <w:tcW w:type="dxa" w:w="2493"/>
            <w:tcBorders>
              <w:top w:val="single" w:sz="4" w:color="BFBFBF"/>
              <w:bottom w:val="single" w:sz="4" w:color="BFBFBF"/>
            </w:tcBorders>
          </w:tcPr>
          <w:p>
            <w:r>
              <w:rPr>
                <w:sz w:val="19"/>
              </w:rPr>
              <w:t>Building Permits / Housing Starts (Apr)</w:t>
            </w:r>
          </w:p>
        </w:tc>
        <w:tc>
          <w:tcPr>
            <w:tcW w:type="dxa" w:w="2493"/>
            <w:tcBorders>
              <w:top w:val="single" w:sz="4" w:color="BFBFBF"/>
              <w:bottom w:val="single" w:sz="4" w:color="BFBFBF"/>
            </w:tcBorders>
          </w:tcPr>
          <w:p>
            <w:r>
              <w:rPr>
                <w:sz w:val="19"/>
              </w:rPr>
              <w:t>1.44M / 1.36M</w:t>
            </w:r>
          </w:p>
        </w:tc>
      </w:tr>
      <w:tr>
        <w:tc>
          <w:tcPr>
            <w:tcW w:type="dxa" w:w="2493"/>
            <w:shd w:val="clear" w:color="auto" w:fill="F4F1E8"/>
            <w:tcBorders>
              <w:top w:val="single" w:sz="4" w:color="BFBFBF"/>
              <w:bottom w:val="single" w:sz="4" w:color="BFBFBF"/>
            </w:tcBorders>
          </w:tcPr>
          <w:p>
            <w:r>
              <w:rPr>
                <w:sz w:val="19"/>
              </w:rPr>
              <w:t>Thu 5/21</w:t>
            </w:r>
          </w:p>
        </w:tc>
        <w:tc>
          <w:tcPr>
            <w:tcW w:type="dxa" w:w="2493"/>
            <w:shd w:val="clear" w:color="auto" w:fill="F4F1E8"/>
            <w:tcBorders>
              <w:top w:val="single" w:sz="4" w:color="BFBFBF"/>
              <w:bottom w:val="single" w:sz="4" w:color="BFBFBF"/>
            </w:tcBorders>
          </w:tcPr>
          <w:p>
            <w:r>
              <w:rPr>
                <w:sz w:val="19"/>
              </w:rPr>
              <w:t>8:30 AM</w:t>
            </w:r>
          </w:p>
        </w:tc>
        <w:tc>
          <w:tcPr>
            <w:tcW w:type="dxa" w:w="2493"/>
            <w:shd w:val="clear" w:color="auto" w:fill="F4F1E8"/>
            <w:tcBorders>
              <w:top w:val="single" w:sz="4" w:color="BFBFBF"/>
              <w:bottom w:val="single" w:sz="4" w:color="BFBFBF"/>
            </w:tcBorders>
          </w:tcPr>
          <w:p>
            <w:r>
              <w:rPr>
                <w:sz w:val="19"/>
              </w:rPr>
              <w:t>Philly Fed Mfg. Index (May)</w:t>
            </w:r>
          </w:p>
        </w:tc>
        <w:tc>
          <w:tcPr>
            <w:tcW w:type="dxa" w:w="2493"/>
            <w:shd w:val="clear" w:color="auto" w:fill="F4F1E8"/>
            <w:tcBorders>
              <w:top w:val="single" w:sz="4" w:color="BFBFBF"/>
              <w:bottom w:val="single" w:sz="4" w:color="BFBFBF"/>
            </w:tcBorders>
          </w:tcPr>
          <w:p>
            <w:r>
              <w:rPr>
                <w:sz w:val="19"/>
              </w:rPr>
              <w:t>-2.0</w:t>
            </w:r>
          </w:p>
        </w:tc>
      </w:tr>
      <w:tr>
        <w:tc>
          <w:tcPr>
            <w:tcW w:type="dxa" w:w="2493"/>
            <w:tcBorders>
              <w:top w:val="single" w:sz="4" w:color="BFBFBF"/>
              <w:bottom w:val="single" w:sz="4" w:color="BFBFBF"/>
            </w:tcBorders>
          </w:tcPr>
          <w:p>
            <w:r>
              <w:rPr>
                <w:sz w:val="19"/>
              </w:rPr>
              <w:t>Thu 5/21</w:t>
            </w:r>
          </w:p>
        </w:tc>
        <w:tc>
          <w:tcPr>
            <w:tcW w:type="dxa" w:w="2493"/>
            <w:tcBorders>
              <w:top w:val="single" w:sz="4" w:color="BFBFBF"/>
              <w:bottom w:val="single" w:sz="4" w:color="BFBFBF"/>
            </w:tcBorders>
          </w:tcPr>
          <w:p>
            <w:r>
              <w:rPr>
                <w:sz w:val="19"/>
              </w:rPr>
              <w:t>10:00 AM</w:t>
            </w:r>
          </w:p>
        </w:tc>
        <w:tc>
          <w:tcPr>
            <w:tcW w:type="dxa" w:w="2493"/>
            <w:tcBorders>
              <w:top w:val="single" w:sz="4" w:color="BFBFBF"/>
              <w:bottom w:val="single" w:sz="4" w:color="BFBFBF"/>
            </w:tcBorders>
          </w:tcPr>
          <w:p>
            <w:r>
              <w:rPr>
                <w:sz w:val="19"/>
              </w:rPr>
              <w:t>Existing Home Sales (Apr)</w:t>
            </w:r>
          </w:p>
        </w:tc>
        <w:tc>
          <w:tcPr>
            <w:tcW w:type="dxa" w:w="2493"/>
            <w:tcBorders>
              <w:top w:val="single" w:sz="4" w:color="BFBFBF"/>
              <w:bottom w:val="single" w:sz="4" w:color="BFBFBF"/>
            </w:tcBorders>
          </w:tcPr>
          <w:p>
            <w:r>
              <w:rPr>
                <w:sz w:val="19"/>
              </w:rPr>
              <w:t>4.10M</w:t>
            </w:r>
          </w:p>
        </w:tc>
      </w:tr>
      <w:tr>
        <w:tc>
          <w:tcPr>
            <w:tcW w:type="dxa" w:w="2493"/>
            <w:shd w:val="clear" w:color="auto" w:fill="F4F1E8"/>
            <w:tcBorders>
              <w:top w:val="single" w:sz="4" w:color="BFBFBF"/>
              <w:bottom w:val="single" w:sz="4" w:color="BFBFBF"/>
            </w:tcBorders>
          </w:tcPr>
          <w:p>
            <w:r>
              <w:rPr>
                <w:sz w:val="19"/>
              </w:rPr>
              <w:t>Thu 5/21</w:t>
            </w:r>
          </w:p>
        </w:tc>
        <w:tc>
          <w:tcPr>
            <w:tcW w:type="dxa" w:w="2493"/>
            <w:shd w:val="clear" w:color="auto" w:fill="F4F1E8"/>
            <w:tcBorders>
              <w:top w:val="single" w:sz="4" w:color="BFBFBF"/>
              <w:bottom w:val="single" w:sz="4" w:color="BFBFBF"/>
            </w:tcBorders>
          </w:tcPr>
          <w:p>
            <w:r>
              <w:rPr>
                <w:sz w:val="19"/>
              </w:rPr>
              <w:t>2:00 PM</w:t>
            </w:r>
          </w:p>
        </w:tc>
        <w:tc>
          <w:tcPr>
            <w:tcW w:type="dxa" w:w="2493"/>
            <w:shd w:val="clear" w:color="auto" w:fill="F4F1E8"/>
            <w:tcBorders>
              <w:top w:val="single" w:sz="4" w:color="BFBFBF"/>
              <w:bottom w:val="single" w:sz="4" w:color="BFBFBF"/>
            </w:tcBorders>
          </w:tcPr>
          <w:p>
            <w:r>
              <w:rPr>
                <w:sz w:val="19"/>
              </w:rPr>
              <w:t>FOMC Minutes (Apr 28–29)</w:t>
            </w:r>
          </w:p>
        </w:tc>
        <w:tc>
          <w:tcPr>
            <w:tcW w:type="dxa" w:w="2493"/>
            <w:shd w:val="clear" w:color="auto" w:fill="F4F1E8"/>
            <w:tcBorders>
              <w:top w:val="single" w:sz="4" w:color="BFBFBF"/>
              <w:bottom w:val="single" w:sz="4" w:color="BFBFBF"/>
            </w:tcBorders>
          </w:tcPr>
          <w:p>
            <w:r>
              <w:rPr>
                <w:sz w:val="19"/>
              </w:rPr>
              <w:t>— marquee event</w:t>
            </w:r>
          </w:p>
        </w:tc>
      </w:tr>
      <w:tr>
        <w:tc>
          <w:tcPr>
            <w:tcW w:type="dxa" w:w="2493"/>
            <w:tcBorders>
              <w:top w:val="single" w:sz="4" w:color="BFBFBF"/>
              <w:bottom w:val="single" w:sz="4" w:color="BFBFBF"/>
            </w:tcBorders>
          </w:tcPr>
          <w:p>
            <w:r>
              <w:rPr>
                <w:sz w:val="19"/>
              </w:rPr>
              <w:t>Thu 5/21</w:t>
            </w:r>
          </w:p>
        </w:tc>
        <w:tc>
          <w:tcPr>
            <w:tcW w:type="dxa" w:w="2493"/>
            <w:tcBorders>
              <w:top w:val="single" w:sz="4" w:color="BFBFBF"/>
              <w:bottom w:val="single" w:sz="4" w:color="BFBFBF"/>
            </w:tcBorders>
          </w:tcPr>
          <w:p>
            <w:r>
              <w:rPr>
                <w:sz w:val="19"/>
              </w:rPr>
              <w:t>After close</w:t>
            </w:r>
          </w:p>
        </w:tc>
        <w:tc>
          <w:tcPr>
            <w:tcW w:type="dxa" w:w="2493"/>
            <w:tcBorders>
              <w:top w:val="single" w:sz="4" w:color="BFBFBF"/>
              <w:bottom w:val="single" w:sz="4" w:color="BFBFBF"/>
            </w:tcBorders>
          </w:tcPr>
          <w:p>
            <w:r>
              <w:rPr>
                <w:sz w:val="19"/>
              </w:rPr>
              <w:t>Ross Stores (ROST), Intuit (INTU)</w:t>
            </w:r>
          </w:p>
        </w:tc>
        <w:tc>
          <w:tcPr>
            <w:tcW w:type="dxa" w:w="2493"/>
            <w:tcBorders>
              <w:top w:val="single" w:sz="4" w:color="BFBFBF"/>
              <w:bottom w:val="single" w:sz="4" w:color="BFBFBF"/>
            </w:tcBorders>
          </w:tcPr>
          <w:p>
            <w:r>
              <w:rPr>
                <w:sz w:val="19"/>
              </w:rPr>
              <w:t>—</w:t>
            </w:r>
          </w:p>
        </w:tc>
      </w:tr>
      <w:tr>
        <w:tc>
          <w:tcPr>
            <w:tcW w:type="dxa" w:w="2493"/>
            <w:shd w:val="clear" w:color="auto" w:fill="F4F1E8"/>
            <w:tcBorders>
              <w:top w:val="single" w:sz="4" w:color="BFBFBF"/>
              <w:bottom w:val="single" w:sz="4" w:color="BFBFBF"/>
            </w:tcBorders>
          </w:tcPr>
          <w:p>
            <w:r>
              <w:rPr>
                <w:sz w:val="19"/>
              </w:rPr>
              <w:t>Fri 5/22</w:t>
            </w:r>
          </w:p>
        </w:tc>
        <w:tc>
          <w:tcPr>
            <w:tcW w:type="dxa" w:w="2493"/>
            <w:shd w:val="clear" w:color="auto" w:fill="F4F1E8"/>
            <w:tcBorders>
              <w:top w:val="single" w:sz="4" w:color="BFBFBF"/>
              <w:bottom w:val="single" w:sz="4" w:color="BFBFBF"/>
            </w:tcBorders>
          </w:tcPr>
          <w:p>
            <w:r>
              <w:rPr>
                <w:sz w:val="19"/>
              </w:rPr>
              <w:t>9:45 AM</w:t>
            </w:r>
          </w:p>
        </w:tc>
        <w:tc>
          <w:tcPr>
            <w:tcW w:type="dxa" w:w="2493"/>
            <w:shd w:val="clear" w:color="auto" w:fill="F4F1E8"/>
            <w:tcBorders>
              <w:top w:val="single" w:sz="4" w:color="BFBFBF"/>
              <w:bottom w:val="single" w:sz="4" w:color="BFBFBF"/>
            </w:tcBorders>
          </w:tcPr>
          <w:p>
            <w:r>
              <w:rPr>
                <w:sz w:val="19"/>
              </w:rPr>
              <w:t>S&amp;P Global Flash PMIs (May)</w:t>
            </w:r>
          </w:p>
        </w:tc>
        <w:tc>
          <w:tcPr>
            <w:tcW w:type="dxa" w:w="2493"/>
            <w:shd w:val="clear" w:color="auto" w:fill="F4F1E8"/>
            <w:tcBorders>
              <w:top w:val="single" w:sz="4" w:color="BFBFBF"/>
              <w:bottom w:val="single" w:sz="4" w:color="BFBFBF"/>
            </w:tcBorders>
          </w:tcPr>
          <w:p>
            <w:r>
              <w:rPr>
                <w:sz w:val="19"/>
              </w:rPr>
              <w:t>Mfg 49.2 / Svc 51.3</w:t>
            </w:r>
          </w:p>
        </w:tc>
      </w:tr>
      <w:tr>
        <w:tc>
          <w:tcPr>
            <w:tcW w:type="dxa" w:w="2493"/>
            <w:tcBorders>
              <w:top w:val="single" w:sz="4" w:color="BFBFBF"/>
              <w:bottom w:val="single" w:sz="4" w:color="BFBFBF"/>
            </w:tcBorders>
          </w:tcPr>
          <w:p>
            <w:r>
              <w:rPr>
                <w:sz w:val="19"/>
              </w:rPr>
              <w:t>Fri 5/22</w:t>
            </w:r>
          </w:p>
        </w:tc>
        <w:tc>
          <w:tcPr>
            <w:tcW w:type="dxa" w:w="2493"/>
            <w:tcBorders>
              <w:top w:val="single" w:sz="4" w:color="BFBFBF"/>
              <w:bottom w:val="single" w:sz="4" w:color="BFBFBF"/>
            </w:tcBorders>
          </w:tcPr>
          <w:p>
            <w:r>
              <w:rPr>
                <w:sz w:val="19"/>
              </w:rPr>
              <w:t>10:00 AM</w:t>
            </w:r>
          </w:p>
        </w:tc>
        <w:tc>
          <w:tcPr>
            <w:tcW w:type="dxa" w:w="2493"/>
            <w:tcBorders>
              <w:top w:val="single" w:sz="4" w:color="BFBFBF"/>
              <w:bottom w:val="single" w:sz="4" w:color="BFBFBF"/>
            </w:tcBorders>
          </w:tcPr>
          <w:p>
            <w:r>
              <w:rPr>
                <w:sz w:val="19"/>
              </w:rPr>
              <w:t>New Home Sales (Apr)</w:t>
            </w:r>
          </w:p>
        </w:tc>
        <w:tc>
          <w:tcPr>
            <w:tcW w:type="dxa" w:w="2493"/>
            <w:tcBorders>
              <w:top w:val="single" w:sz="4" w:color="BFBFBF"/>
              <w:bottom w:val="single" w:sz="4" w:color="BFBFBF"/>
            </w:tcBorders>
          </w:tcPr>
          <w:p>
            <w:r>
              <w:rPr>
                <w:sz w:val="19"/>
              </w:rPr>
              <w:t>680K</w:t>
            </w:r>
          </w:p>
        </w:tc>
      </w:tr>
      <w:tr>
        <w:tc>
          <w:tcPr>
            <w:tcW w:type="dxa" w:w="2493"/>
            <w:shd w:val="clear" w:color="auto" w:fill="F4F1E8"/>
            <w:tcBorders>
              <w:top w:val="single" w:sz="4" w:color="BFBFBF"/>
              <w:bottom w:val="single" w:sz="4" w:color="BFBFBF"/>
            </w:tcBorders>
          </w:tcPr>
          <w:p>
            <w:r>
              <w:rPr>
                <w:sz w:val="19"/>
              </w:rPr>
              <w:t>Fri 5/22</w:t>
            </w:r>
          </w:p>
        </w:tc>
        <w:tc>
          <w:tcPr>
            <w:tcW w:type="dxa" w:w="2493"/>
            <w:shd w:val="clear" w:color="auto" w:fill="F4F1E8"/>
            <w:tcBorders>
              <w:top w:val="single" w:sz="4" w:color="BFBFBF"/>
              <w:bottom w:val="single" w:sz="4" w:color="BFBFBF"/>
            </w:tcBorders>
          </w:tcPr>
          <w:p>
            <w:r>
              <w:rPr>
                <w:sz w:val="19"/>
              </w:rPr>
              <w:t>Before open</w:t>
            </w:r>
          </w:p>
        </w:tc>
        <w:tc>
          <w:tcPr>
            <w:tcW w:type="dxa" w:w="2493"/>
            <w:shd w:val="clear" w:color="auto" w:fill="F4F1E8"/>
            <w:tcBorders>
              <w:top w:val="single" w:sz="4" w:color="BFBFBF"/>
              <w:bottom w:val="single" w:sz="4" w:color="BFBFBF"/>
            </w:tcBorders>
          </w:tcPr>
          <w:p>
            <w:r>
              <w:rPr>
                <w:sz w:val="19"/>
              </w:rPr>
              <w:t>Booz Allen (BAH), Buckle (BKE)</w:t>
            </w:r>
          </w:p>
        </w:tc>
        <w:tc>
          <w:tcPr>
            <w:tcW w:type="dxa" w:w="2493"/>
            <w:shd w:val="clear" w:color="auto" w:fill="F4F1E8"/>
            <w:tcBorders>
              <w:top w:val="single" w:sz="4" w:color="BFBFBF"/>
              <w:bottom w:val="single" w:sz="4" w:color="BFBFBF"/>
            </w:tcBorders>
          </w:tcPr>
          <w:p>
            <w:r>
              <w:rPr>
                <w:sz w:val="19"/>
              </w:rPr>
              <w:t>—</w:t>
            </w:r>
          </w:p>
        </w:tc>
      </w:tr>
    </w:tbl>
    <w:p>
      <w:pPr>
        <w:spacing w:before="360" w:after="120"/>
        <w:pBdr>
          <w:bottom w:val="single" w:sz="12" w:color="C9A227"/>
        </w:pBdr>
      </w:pPr>
      <w:r>
        <w:rPr>
          <w:rFonts w:ascii="Calibri" w:hAnsi="Calibri"/>
          <w:b/>
          <w:color w:val="0A1F44"/>
          <w:sz w:val="26"/>
        </w:rPr>
        <w:t>6. EARNINGS WATCH</w:t>
      </w:r>
    </w:p>
    <w:p>
      <w:pPr>
        <w:spacing w:after="120"/>
      </w:pPr>
      <w:r>
        <w:rPr>
          <w:i w:val="0"/>
          <w:color w:val="101010"/>
          <w:sz w:val="21"/>
        </w:rPr>
        <w:t>Retail week closes with a clear verdict: the U.S. consumer is holding up better than feared, but the market doesn't care. Home Depot, Lowe's, and Target all beat; Walmart matched but guided cautiously. The common thread in the stock reactions — Target -4%, Walmart -2%, even Nvidia flat on a blowout — is that good news is being sold. That is classic late-cycle, high-rate behavior: with the 30-year near a 19-year high, the discount rate applied to every future dollar of earnings is rising faster than the earnings themselves.</w:t>
      </w:r>
    </w:p>
    <w:p>
      <w:pPr>
        <w:spacing w:after="120"/>
      </w:pPr>
      <w:r>
        <w:rPr>
          <w:i w:val="0"/>
          <w:color w:val="101010"/>
          <w:sz w:val="21"/>
        </w:rPr>
        <w:t>After today's close, Ross Stores and Intuit headline; Ross offers a read on the off-price / trade-down consumer (a key tell if Walmart's caution is broad-based), while Intuit's small-business commentary is a useful macro pulse. With ~96% of the S&amp;P 500 now reported, blended Q1 growth stands at +11.5% with 76% beating EPS — a strong season that, remarkably, has done little to lift the index, which sits roughly flat year-to-date.</w:t>
      </w:r>
    </w:p>
    <w:p>
      <w:pPr>
        <w:spacing w:before="360" w:after="120"/>
        <w:pBdr>
          <w:bottom w:val="single" w:sz="12" w:color="C9A227"/>
        </w:pBdr>
      </w:pPr>
      <w:r>
        <w:rPr>
          <w:rFonts w:ascii="Calibri" w:hAnsi="Calibri"/>
          <w:b/>
          <w:color w:val="0A1F44"/>
          <w:sz w:val="26"/>
        </w:rPr>
        <w:t>7. SECTOR SPOTLIGHT: ENERGY RE-AWAKENS</w:t>
      </w:r>
    </w:p>
    <w:p>
      <w:pPr>
        <w:spacing w:after="120"/>
      </w:pPr>
      <w:r>
        <w:rPr>
          <w:i w:val="0"/>
          <w:color w:val="101010"/>
          <w:sz w:val="21"/>
        </w:rPr>
        <w:t>After two sessions of de-escalation-driven selling, energy is the morning's clear leader as oil snaps back 2–3%. The catalyst is the failure of the latest Iran talks and the White House's rejection of Tehran's proposal, which puts the Hormuz risk premium right back into the crude price. The XLE is indicated up ~2% pre-market. Critically, Walmart's explicit callout of fuel costs as a guidance headwind reframes energy from a pure commodity story into a macro-inflation story — every dollar on crude now reads through to the CPI the Fed is watching.</w:t>
      </w:r>
    </w:p>
    <w:p>
      <w:pPr>
        <w:spacing w:after="120"/>
      </w:pPr>
      <w:r>
        <w:rPr>
          <w:i w:val="0"/>
          <w:color w:val="101010"/>
          <w:sz w:val="21"/>
        </w:rPr>
        <w:t>The trade within the group remains the same barbell: integrated majors (XOM, CVX) for free-cash-flow durability, and the pure-play E&amp;Ps (FANG, EOG, COP) for maximum torque to a renewed spike. If Brent breaks back above $112, the tankers and LNG names (FRO, LNG) become the high-beta expression once again. The one thing that would deflate the entire complex — a genuine Iran breakthrough — looks further away this morning than it did 48 hours ago.</w:t>
      </w:r>
    </w:p>
    <w:p>
      <w:pPr>
        <w:spacing w:before="360" w:after="120"/>
        <w:pBdr>
          <w:bottom w:val="single" w:sz="12" w:color="C9A227"/>
        </w:pBdr>
      </w:pPr>
      <w:r>
        <w:rPr>
          <w:rFonts w:ascii="Calibri" w:hAnsi="Calibri"/>
          <w:b/>
          <w:color w:val="0A1F44"/>
          <w:sz w:val="26"/>
        </w:rPr>
        <w:t>8. ANALYST CALLS DRIVING ACTION</w:t>
      </w:r>
    </w:p>
    <w:p>
      <w:pPr>
        <w:spacing w:after="120"/>
      </w:pPr>
      <w:r>
        <w:rPr>
          <w:i w:val="0"/>
          <w:color w:val="101010"/>
          <w:sz w:val="21"/>
        </w:rPr>
        <w:t>Notable post-earnings moves: Nvidia (NVDA) targets were largely reiterated rather than raised — Morgan Stanley held $245, Goldman $250, with Melius the high at $275 — a sign even the bulls are pausing after the muted reaction. Target (TGT) drew upgrades from Oppenheimer (to Outperform, $135 PT) and Telsey (raised PT to $130) on the comp inflection. Lowe's (LOW) got a Buy reiteration and $290 PT from Citi.</w:t>
      </w:r>
    </w:p>
    <w:p>
      <w:pPr>
        <w:spacing w:after="120"/>
      </w:pPr>
      <w:r>
        <w:rPr>
          <w:i w:val="0"/>
          <w:color w:val="101010"/>
          <w:sz w:val="21"/>
        </w:rPr>
        <w:t>On the cautious side, Walmart (WMT) saw a wave of PT trims (UBS to $108, Evercore to $112) on the soft guide, though no outright downgrades. Several desks cut homebuilders again (Wedbush on DHI, KBH) as the 30-year mortgage rate holds near 7.9%. Citi downgraded long-duration software names Datadog (DDOG) and Snowflake (SNOW) to Neutral on the higher discount-rate backdrop.</w:t>
      </w:r>
    </w:p>
    <w:p>
      <w:pPr>
        <w:spacing w:before="360" w:after="120"/>
        <w:pBdr>
          <w:bottom w:val="single" w:sz="12" w:color="C9A227"/>
        </w:pBdr>
      </w:pPr>
      <w:r>
        <w:rPr>
          <w:rFonts w:ascii="Calibri" w:hAnsi="Calibri"/>
          <w:b/>
          <w:color w:val="0A1F44"/>
          <w:sz w:val="26"/>
        </w:rPr>
        <w:t>9. STOCKS TO WATCH</w:t>
      </w:r>
    </w:p>
    <w:p>
      <w:pPr>
        <w:spacing w:after="120"/>
      </w:pPr>
      <w:r>
        <w:rPr>
          <w:i w:val="0"/>
          <w:color w:val="101010"/>
          <w:sz w:val="21"/>
        </w:rPr>
        <w:t>Nvidia (NVDA) — The blowout that wasn't enough. Watch whether dip-buyers defend the post-earnings level today; the reaction is a referendum on megacap-growth appetite in a 5%+ long-bond world.</w:t>
      </w:r>
    </w:p>
    <w:p>
      <w:pPr>
        <w:spacing w:after="120"/>
      </w:pPr>
      <w:r>
        <w:rPr>
          <w:i w:val="0"/>
          <w:color w:val="101010"/>
          <w:sz w:val="21"/>
        </w:rPr>
        <w:t>Walmart (WMT) — Down ~2% on soft guidance and the Iran fuel-cost callout. A key tell for whether the consumer-staples bid survives the stagflation narrative.</w:t>
      </w:r>
    </w:p>
    <w:p>
      <w:pPr>
        <w:spacing w:after="120"/>
      </w:pPr>
      <w:r>
        <w:rPr>
          <w:i w:val="0"/>
          <w:color w:val="101010"/>
          <w:sz w:val="21"/>
        </w:rPr>
        <w:t>Target (TGT) — Sold off 4% Wednesday despite a big beat; watch for stabilization as upgrades roll in. The comp inflection is real even if the tape doubts its durability.</w:t>
      </w:r>
    </w:p>
    <w:p>
      <w:pPr>
        <w:spacing w:after="120"/>
      </w:pPr>
      <w:r>
        <w:rPr>
          <w:i w:val="0"/>
          <w:color w:val="101010"/>
          <w:sz w:val="21"/>
        </w:rPr>
        <w:t>Energy (XOM, CVX, FANG) — Bid 1.5–2.5% pre-market as oil snaps back on stalled Iran talks. The morning's clear leadership group.</w:t>
      </w:r>
    </w:p>
    <w:p>
      <w:pPr>
        <w:spacing w:after="120"/>
      </w:pPr>
      <w:r>
        <w:rPr>
          <w:i w:val="0"/>
          <w:color w:val="101010"/>
          <w:sz w:val="21"/>
        </w:rPr>
        <w:t>Ross Stores (ROST) — Reports after close. The cleanest read on the trade-down / off-price consumer; critical context for Walmart's caution.</w:t>
      </w:r>
    </w:p>
    <w:p>
      <w:pPr>
        <w:spacing w:after="120"/>
      </w:pPr>
      <w:r>
        <w:rPr>
          <w:i w:val="0"/>
          <w:color w:val="101010"/>
          <w:sz w:val="21"/>
        </w:rPr>
        <w:t>GlobalFoundries (GFS) — +7.4% pre-market on Nvidia-supply-chain read-through and capacity-expansion news.</w:t>
      </w:r>
    </w:p>
    <w:p>
      <w:pPr>
        <w:spacing w:after="120"/>
      </w:pPr>
      <w:r>
        <w:rPr>
          <w:i w:val="0"/>
          <w:color w:val="101010"/>
          <w:sz w:val="21"/>
        </w:rPr>
        <w:t>TLT (20+ Yr Treasury ETF) — The 2:00 p.m. minutes are the catalyst. A hawkish read sends it to fresh lows; a balanced one offers the first real relief in weeks.</w:t>
      </w:r>
    </w:p>
    <w:p>
      <w:pPr>
        <w:spacing w:before="360" w:after="120"/>
        <w:pBdr>
          <w:bottom w:val="single" w:sz="12" w:color="C9A227"/>
        </w:pBdr>
      </w:pPr>
      <w:r>
        <w:rPr>
          <w:rFonts w:ascii="Calibri" w:hAnsi="Calibri"/>
          <w:b/>
          <w:color w:val="0A1F44"/>
          <w:sz w:val="26"/>
        </w:rPr>
        <w:t>10. GLOBAL MACRO SNAPSHOT</w:t>
      </w:r>
    </w:p>
    <w:p>
      <w:pPr>
        <w:spacing w:after="120"/>
      </w:pPr>
      <w:r>
        <w:rPr>
          <w:i w:val="0"/>
          <w:color w:val="101010"/>
          <w:sz w:val="21"/>
        </w:rPr>
        <w:t>Europe: Stoxx 600 firmer, led by energy and miners on the oil bounce. UK April CPI's hotter +3.3% print Wednesday has cemented expectations that the Bank of England holds through the summer. ECB's Lagarde speaks at the Brussels Forum today; markets will watch for any nod to the global bond selloff's spillover into Bund yields, which sit near multi-month highs.</w:t>
      </w:r>
    </w:p>
    <w:p>
      <w:pPr>
        <w:spacing w:after="120"/>
      </w:pPr>
      <w:r>
        <w:rPr>
          <w:i w:val="0"/>
          <w:color w:val="101010"/>
          <w:sz w:val="21"/>
        </w:rPr>
        <w:t>Asia: A relief rally followed Nvidia's results — Nikkei +0.88%, Hang Seng +1.12% — as the AI-supply-chain names (TSMC, SK Hynix, Advantest) caught a bid. Japan's 30-year government bond yield, however, hit a fresh record overnight, a reminder that the duration stress is global, not just American. The yen firmed to 158.40.</w:t>
      </w:r>
    </w:p>
    <w:p>
      <w:pPr>
        <w:spacing w:after="120"/>
      </w:pPr>
      <w:r>
        <w:rPr>
          <w:i w:val="0"/>
          <w:color w:val="101010"/>
          <w:sz w:val="21"/>
        </w:rPr>
        <w:t>Emerging markets: Turkey's central bank decision is due today; consensus is for the policy rate to hold at 50% as disinflation slowly takes hold. The renewed oil bid is a mixed blessing for the EM complex — a tailwind for exporters (Brazil, Gulf states), a headwind for importers (India, Turkey).</w:t>
      </w:r>
    </w:p>
    <w:p>
      <w:pPr>
        <w:spacing w:before="360" w:after="120"/>
        <w:pBdr>
          <w:bottom w:val="single" w:sz="12" w:color="C9A227"/>
        </w:pBdr>
      </w:pPr>
      <w:r>
        <w:rPr>
          <w:rFonts w:ascii="Calibri" w:hAnsi="Calibri"/>
          <w:b/>
          <w:color w:val="0A1F44"/>
          <w:sz w:val="26"/>
        </w:rPr>
        <w:t>11. WEEK AHEAD PREVIEW</w:t>
      </w:r>
    </w:p>
    <w:p>
      <w:pPr>
        <w:spacing w:after="120"/>
      </w:pPr>
      <w:r>
        <w:rPr>
          <w:i w:val="0"/>
          <w:color w:val="101010"/>
          <w:sz w:val="21"/>
        </w:rPr>
        <w:t>With Nvidia behind us, the week's remaining catalysts are macro, not micro.</w:t>
      </w:r>
    </w:p>
    <w:p>
      <w:pPr>
        <w:spacing w:after="120"/>
      </w:pPr>
      <w:r>
        <w:rPr>
          <w:i w:val="0"/>
          <w:color w:val="101010"/>
          <w:sz w:val="21"/>
        </w:rPr>
        <w:t>(1) Today 2:00 p.m. — FOMC minutes. The definitive read on how close the Fed is to a hike. Hawkish minutes push the 30-year toward 5.20%+; a balanced read relieves duration.</w:t>
      </w:r>
    </w:p>
    <w:p>
      <w:pPr>
        <w:spacing w:after="120"/>
      </w:pPr>
      <w:r>
        <w:rPr>
          <w:i w:val="0"/>
          <w:color w:val="101010"/>
          <w:sz w:val="21"/>
        </w:rPr>
        <w:t>(2) Today, after close — Ross Stores &amp; Intuit. The trade-down consumer and the small-business pulse.</w:t>
      </w:r>
    </w:p>
    <w:p>
      <w:pPr>
        <w:spacing w:after="120"/>
      </w:pPr>
      <w:r>
        <w:rPr>
          <w:i w:val="0"/>
          <w:color w:val="101010"/>
          <w:sz w:val="21"/>
        </w:rPr>
        <w:t>(3) Friday 9:45 a.m. — flash PMIs. The single most important growth read of the month; a sub-50 manufacturing print would harden the stagflation case and, paradoxically, could rally bonds on growth fears.</w:t>
      </w:r>
    </w:p>
    <w:p>
      <w:pPr>
        <w:spacing w:after="120"/>
      </w:pPr>
      <w:r>
        <w:rPr>
          <w:i w:val="0"/>
          <w:color w:val="101010"/>
          <w:sz w:val="21"/>
        </w:rPr>
        <w:t>Watch oil into the weekend — a further Iran deterioration would dominate Monday's open.</w:t>
      </w:r>
    </w:p>
    <w:p>
      <w:pPr>
        <w:spacing w:before="360" w:after="120"/>
        <w:pBdr>
          <w:bottom w:val="single" w:sz="12" w:color="C9A227"/>
        </w:pBdr>
      </w:pPr>
      <w:r>
        <w:rPr>
          <w:rFonts w:ascii="Calibri" w:hAnsi="Calibri"/>
          <w:b/>
          <w:color w:val="0A1F44"/>
          <w:sz w:val="26"/>
        </w:rPr>
        <w:t>12. THE CLOSING THOUGHT</w:t>
      </w:r>
    </w:p>
    <w:p>
      <w:pPr>
        <w:spacing w:after="120"/>
      </w:pPr>
      <w:r>
        <w:rPr>
          <w:i/>
          <w:color w:val="0A1F44"/>
          <w:sz w:val="21"/>
        </w:rPr>
        <w:t>Nvidia gave the market exactly what it asked for — a beat, a raise, an $80 billion buyback, a dividend hike — and the stock could barely muster a shrug. Target posted its best quarter in two years and fell 4%. Walmart matched estimates and got sold on guidance. When a market sells good news this consistently, it is telling you that the problem is not earnings; the problem is the denominator. With the 30-year Treasury yield camped near a 19-year high and fund managers openly modeling 6%, every valuation in the equity market is being quietly re-rated lower, one basis point at a time. This afternoon's FOMC minutes will tell us whether the Fed intends to lean against that — or pour fuel on it. The earnings story is over for the quarter. The rates story is just getting started. Trade it carefully.</w:t>
      </w:r>
    </w:p>
    <w:p>
      <w:pPr>
        <w:spacing w:after="120"/>
      </w:pPr>
      <w:r>
        <w:rPr>
          <w:i w:val="0"/>
          <w:color w:val="101010"/>
          <w:sz w:val="21"/>
        </w:rPr>
      </w:r>
    </w:p>
    <w:p>
      <w:pPr>
        <w:jc w:val="center"/>
      </w:pPr>
      <w:r>
        <w:rPr>
          <w:i/>
          <w:color w:val="555555"/>
          <w:sz w:val="16"/>
        </w:rPr>
        <w:t>— The Brookside Brief  •  Compiled 9:30 AM ET  •  Sources: WSJ, CNBC, CNN, Bloomberg, Reuters, StockTitan, TradingEconomics, S&amp;P Global, BLS, U.S. Treasury —</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