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1B3A5C"/>
          <w:sz w:val="56"/>
          <w:szCs w:val="56"/>
        </w:rPr>
        <w:t xml:space="preserve">THE DAILY FINANCIAL BRIEF</w:t>
      </w:r>
    </w:p>
    <w:p>
      <w:pPr>
        <w:pBdr>
          <w:bottom w:val="single" w:color="C8A951" w:sz="8" w:space="1"/>
        </w:pBdr>
        <w:spacing w:after="160" w:before="0"/>
        <w:jc w:val="center"/>
      </w:pPr>
      <w:r>
        <w:rPr>
          <w:rFonts w:ascii="Arial" w:cs="Arial" w:eastAsia="Arial" w:hAnsi="Arial"/>
          <w:i/>
          <w:iCs/>
          <w:color w:val="666666"/>
          <w:sz w:val="22"/>
          <w:szCs w:val="22"/>
        </w:rPr>
        <w:t xml:space="preserve">Wednesday, April 8, 2026  ·  Morning Edition  ·  ~10 Minute Read</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1.  THE MORNING SETUP</w:t>
      </w:r>
    </w:p>
    <w:p>
      <w:pPr>
        <w:spacing w:after="80" w:before="80"/>
        <w:ind w:left="120"/>
      </w:pPr>
      <w:r>
        <w:rPr>
          <w:rFonts w:ascii="Arial" w:cs="Arial" w:eastAsia="Arial" w:hAnsi="Arial"/>
          <w:color w:val="333333"/>
          <w:sz w:val="20"/>
          <w:szCs w:val="20"/>
        </w:rPr>
        <w:t xml:space="preserve">The world woke up to a different market on Wednesday. After 40 days of US-Iranian military conflict that sent crude oil above $110 a barrel, paralysed the Strait of Hormuz, and drove Treasury yields to their highest levels in months, President Trump agreed late Tuesday night to a two-week ceasefire — and markets responded with one of the most dramatic overnight repricing events in years.</w:t>
      </w:r>
    </w:p>
    <w:p>
      <w:pPr>
        <w:spacing w:after="80" w:before="80"/>
        <w:ind w:left="120"/>
      </w:pPr>
      <w:r>
        <w:rPr>
          <w:rFonts w:ascii="Arial" w:cs="Arial" w:eastAsia="Arial" w:hAnsi="Arial"/>
          <w:color w:val="333333"/>
          <w:sz w:val="20"/>
          <w:szCs w:val="20"/>
        </w:rPr>
        <w:t xml:space="preserve">West Texas Intermediate crude plunged as much as 19%, the steepest single-session drop since the COVID demand shock of April 2020. S&amp;P 500 futures surged 2.5%, Nasdaq 100 futures leapt 3.2%, and Asian bourses rocketed higher — South Korea's Kospi adding nearly 7%, Japan's Nikkei 225 surging 5.4%. In Europe, the DAX opened up almost 5% and travel stocks soared more than 7%.</w:t>
      </w:r>
    </w:p>
    <w:p>
      <w:pPr>
        <w:spacing w:after="80" w:before="80"/>
        <w:ind w:left="120"/>
      </w:pPr>
      <w:r>
        <w:rPr>
          <w:rFonts w:ascii="Arial" w:cs="Arial" w:eastAsia="Arial" w:hAnsi="Arial"/>
          <w:color w:val="333333"/>
          <w:sz w:val="20"/>
          <w:szCs w:val="20"/>
        </w:rPr>
        <w:t xml:space="preserve">The immediate beneficiaries are obvious: airlines, consumer discretionary, and interest rate-sensitive growth stocks. The losers are equally clear: energy producers, oilfield services, and anyone who had built a portfolio around $110 oil persisting. But the harder question — one markets will wrestle with all day — is whether a 14-day ceasefire is the beginning of a durable resolution or simply a temporary reprieve in a conflict that has already reshaped global energy flows. Formal negotiations begin in Islamabad on Friday. Two weeks is a very short window.</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2.  MARKETS AT A GLANCE</w:t>
      </w:r>
    </w:p>
    <spacing/>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3360"/>
      </w:tblGrid>
      <w:tr>
        <w:tc>
          <w:tcPr>
            <w:tcW w:type="dxa" w:w="2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Asset / Instrument</w:t>
            </w:r>
          </w:p>
        </w:tc>
        <w:tc>
          <w:tcPr>
            <w:tcW w:type="dxa" w:w="14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Level</w:t>
            </w:r>
          </w:p>
        </w:tc>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Chg</w:t>
            </w:r>
          </w:p>
        </w:tc>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 Chg</w:t>
            </w:r>
          </w:p>
        </w:tc>
        <w:tc>
          <w:tcPr>
            <w:tcW w:type="dxa" w:w="336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Commentary</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888888"/>
                <w:sz w:val="17"/>
                <w:szCs w:val="17"/>
              </w:rPr>
              <w:t xml:space="preserve">── US EQUITIES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S&amp;P 500 (Tue close)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6,616.85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+5.07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+0.08%</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Flat session — awaited ceasefire news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Dow Jones (Tue close)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46,584.46</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-85.42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-0.18%</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Energy drag weighed on blue chips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Nasdaq Comp (Tue close)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22,017.85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+22.35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+0.10%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Tech held up; risk-off tone limited gains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Russell 2000 (Tue close)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2,540.64</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+0.42%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+0.42%</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Small-caps broadly flat; domestic focus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S&amp;P 500 Futures (pre-mkt)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6,823.00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+206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+2.50%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Ceasefire surge — risk-on hard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Nasdaq 100 Futures (pre-mkt)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25,144.25</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+773</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+3.17%</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Tech leads the morning rally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Dow Futures (pre-mkt)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47,879.00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+1,067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+2.28%</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Broad-based optimism</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VIX (Fear Gauge)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~19.5</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from 25</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↓~22%</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Fear unwinds sharply overnight</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888888"/>
                <w:sz w:val="17"/>
                <w:szCs w:val="17"/>
              </w:rPr>
              <w:t xml:space="preserve">── ASIA CLOSE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Nikkei 225 (Japan)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56,308.42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+2,879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+5.39%</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Yen weakness + ceasefire boost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Hang Seng (HK)</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+2.95%</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Resumed after holiday; energy relief</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CSI 300 (China)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+3.49%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Policy support + ceasefire tailwind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Kospi (S. Korea)</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5,872.34</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+390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+7.0%</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Samsung +7.1%, SK Hynix +9.6%</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ASX 200 (Australia)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8,951.80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+222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+2.55%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Materials &amp; energy rebalancing</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888888"/>
                <w:sz w:val="17"/>
                <w:szCs w:val="17"/>
              </w:rPr>
              <w:t xml:space="preserve">── EUROPE OPEN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FTSE 100 (UK)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+2.80%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Travel stocks +7.6%; miners +6.3%</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DAX (Germany)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+4.80%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Autos +6%; export relief on oil drop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CAC 40 (France)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+4.50%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Broad ceasefire rally</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888888"/>
                <w:sz w:val="17"/>
                <w:szCs w:val="17"/>
              </w:rPr>
              <w:t xml:space="preserve">── FIXED INCOME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US 2-Yr Treasury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3.80%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-3 bps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Rate-cut repricing begins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US 10-Yr Treasury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4.32%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-4 bps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War premium unwinding from 4.36%</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US 30-Yr Treasury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4.68%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-3 bps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Long end easing with geopolitical risk off</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888888"/>
                <w:sz w:val="17"/>
                <w:szCs w:val="17"/>
              </w:rPr>
              <w:t xml:space="preserve">── FX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DXY (US Dollar Index)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100.13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flat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Near recent lows; risk-on weighs on USD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EUR/USD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1.1522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-0.20%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Euro steady; ECB rate path in focus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GBP/USD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1.3194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-0.22%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Sterling firm amid global risk-on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USD/JPY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159.63</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+0.06%</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Yen weakens slightly on risk appetite</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888888"/>
                <w:sz w:val="17"/>
                <w:szCs w:val="17"/>
              </w:rPr>
              <w:t xml:space="preserve">── COMMODITIES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WTI Crude Oil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~$88.50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-~$20.45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-~19%</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Biggest drop since COVID; Hormuz to reopen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Brent Crude Oil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~$95.00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-~$14.72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-~13%</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War premium evaporates overnight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Natural Gas (Henry Hub)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 ~3%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C0392B"/>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Demand outlook relief as tensions ease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Gold (spot)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~$4,700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+$117.50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+2.5%</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CB buying + ceasefire skepticism support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Silver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~$32.40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+4.6%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Industrial + safe-haven dual demand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Copper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~$4.85/lb</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Supply deficit story intact; demand proxy</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888888"/>
                <w:sz w:val="17"/>
                <w:szCs w:val="17"/>
              </w:rPr>
              <w:t xml:space="preserve">── CRYPTO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Bitcoin (BTC)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~$72,700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+$3,700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7A4A"/>
                <w:sz w:val="17"/>
                <w:szCs w:val="17"/>
              </w:rPr>
              <w:t xml:space="preserve">+5.4%</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Risk-on surge post-ceasefire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Ethereum (ETH)</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bCs/>
                <w:color w:val="333333"/>
                <w:sz w:val="17"/>
                <w:szCs w:val="17"/>
              </w:rPr>
              <w:t xml:space="preserve">~$2,107</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+$18</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+0.9%</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Modest recovery; underperforms BTC</w:t>
            </w:r>
          </w:p>
        </w:tc>
      </w:tr>
    </w:tbl>
    <w:p>
      <w:pPr>
        <w:spacing w:after="40" w:before="40"/>
        <w:ind w:left="120"/>
      </w:pPr>
      <w:r>
        <w:rPr>
          <w:rFonts w:ascii="Arial" w:cs="Arial" w:eastAsia="Arial" w:hAnsi="Arial"/>
          <w:i/>
          <w:iCs/>
          <w:color w:val="888888"/>
          <w:sz w:val="16"/>
          <w:szCs w:val="16"/>
        </w:rPr>
        <w:t xml:space="preserve">† Futures as of early pre-market Wednesday. Asia reflects Wednesday close. Europe reflects Wednesday open. Prior US closes are Tuesday, April 7.</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3.  TOP STORIES</w:t>
      </w:r>
    </w:p>
    <w:p>
      <w:pPr>
        <w:spacing w:after="80" w:before="200"/>
        <w:ind w:left="120"/>
      </w:pPr>
      <w:r>
        <w:rPr>
          <w:rFonts w:ascii="Arial" w:cs="Arial" w:eastAsia="Arial" w:hAnsi="Arial"/>
          <w:b/>
          <w:bCs/>
          <w:color w:val="1B3A5C"/>
          <w:sz w:val="22"/>
          <w:szCs w:val="22"/>
        </w:rPr>
        <w:t xml:space="preserve">I.  The Islamabad Accord — Terms, Gaps, and What Happens Next</w:t>
      </w:r>
    </w:p>
    <w:p>
      <w:pPr>
        <w:spacing w:after="80" w:before="80"/>
        <w:ind w:left="120"/>
      </w:pPr>
      <w:r>
        <w:rPr>
          <w:rFonts w:ascii="Arial" w:cs="Arial" w:eastAsia="Arial" w:hAnsi="Arial"/>
          <w:color w:val="333333"/>
          <w:sz w:val="20"/>
          <w:szCs w:val="20"/>
        </w:rPr>
        <w:t xml:space="preserve">The ceasefire brokered by Pakistan ends 40 days of US-Israeli strikes on Iranian infrastructure that began February 28. Under the terms announced by Trump on Truth Social, the US suspends all military action for 14 days; in return, Iran agrees to the 'complete, immediate and safe opening' of the Strait of Hormuz, the narrow waterway through which roughly one-fifth of the world's seaborne oil and LNG transits.</w:t>
      </w:r>
    </w:p>
    <w:p>
      <w:pPr>
        <w:spacing w:after="80" w:before="80"/>
        <w:ind w:left="120"/>
      </w:pPr>
      <w:r>
        <w:rPr>
          <w:rFonts w:ascii="Arial" w:cs="Arial" w:eastAsia="Arial" w:hAnsi="Arial"/>
          <w:color w:val="333333"/>
          <w:sz w:val="20"/>
          <w:szCs w:val="20"/>
        </w:rPr>
        <w:t xml:space="preserve">The devil, as always, is in the details. Transits through the strait will remain subject to Iranian military coordination and approval — meaning that only 10–15 ships per day are likely to pass during the two-week window, versus the normal 20+ tankers per day. That is a meaningful but not complete restoration of flows. Iran's full 10-point negotiating framework, meanwhile, is substantially more demanding: it calls for a full US withdrawal from regional military bases, the lifting of all sanctions, the release of frozen Iranian assets, and payment of war reparations.</w:t>
      </w:r>
    </w:p>
    <w:p>
      <w:pPr>
        <w:spacing w:after="80" w:before="80"/>
        <w:ind w:left="120"/>
      </w:pPr>
      <w:r>
        <w:rPr>
          <w:rFonts w:ascii="Arial" w:cs="Arial" w:eastAsia="Arial" w:hAnsi="Arial"/>
          <w:color w:val="333333"/>
          <w:sz w:val="20"/>
          <w:szCs w:val="20"/>
        </w:rPr>
        <w:t xml:space="preserve">Formal talks begin in Islamabad on Friday. The gap between Tehran's opening position and anything Washington could realistically accept is enormous. Markets appear to be pricing something close to a permanent peace deal. They may be getting ahead of themselves.</w:t>
      </w:r>
    </w:p>
    <w:p>
      <w:pPr>
        <w:spacing w:after="80" w:before="80"/>
        <w:ind w:left="120"/>
      </w:pPr>
      <w:r>
        <w:rPr>
          <w:rFonts w:ascii="Arial" w:cs="Arial" w:eastAsia="Arial" w:hAnsi="Arial"/>
          <w:b/>
          <w:bCs/>
          <w:color w:val="333333"/>
          <w:sz w:val="20"/>
          <w:szCs w:val="20"/>
        </w:rPr>
        <w:t xml:space="preserve">What to watch: </w:t>
      </w:r>
      <w:r>
        <w:rPr>
          <w:rFonts w:ascii="Arial" w:cs="Arial" w:eastAsia="Arial" w:hAnsi="Arial"/>
          <w:color w:val="333333"/>
          <w:sz w:val="20"/>
          <w:szCs w:val="20"/>
        </w:rPr>
        <w:t xml:space="preserve">Whether the Islamabad talks produce even a framework agreement by April 22 — the ceasefire expiry date. Any breakdown in negotiations would immediately reverse the oil plunge.</w:t>
      </w:r>
    </w:p>
    <spacing/>
    <w:p>
      <w:pPr>
        <w:spacing w:after="80" w:before="200"/>
        <w:ind w:left="120"/>
      </w:pPr>
      <w:r>
        <w:rPr>
          <w:rFonts w:ascii="Arial" w:cs="Arial" w:eastAsia="Arial" w:hAnsi="Arial"/>
          <w:b/>
          <w:bCs/>
          <w:color w:val="1B3A5C"/>
          <w:sz w:val="22"/>
          <w:szCs w:val="22"/>
        </w:rPr>
        <w:t xml:space="preserve">II.  Oil's Historic Single-Day Collapse</w:t>
      </w:r>
    </w:p>
    <w:p>
      <w:pPr>
        <w:spacing w:after="80" w:before="80"/>
        <w:ind w:left="120"/>
      </w:pPr>
      <w:r>
        <w:rPr>
          <w:rFonts w:ascii="Arial" w:cs="Arial" w:eastAsia="Arial" w:hAnsi="Arial"/>
          <w:color w:val="333333"/>
          <w:sz w:val="20"/>
          <w:szCs w:val="20"/>
        </w:rPr>
        <w:t xml:space="preserve">WTI crude fell as much as 19% in overnight trading — matching the scale of the April 2020 COVID crash and exceeding every single-day oil drop since. The move is a mechanical unwinding of the 'war premium' that had built up over six weeks: at its peak, Brent crude was trading above $110/bbl, reflecting fears of a prolonged closure of the Strait of Hormuz. With the strait set to reopen — even partially — that premium is evaporating.</w:t>
      </w:r>
    </w:p>
    <w:p>
      <w:pPr>
        <w:spacing w:after="80" w:before="80"/>
        <w:ind w:left="120"/>
      </w:pPr>
      <w:r>
        <w:rPr>
          <w:rFonts w:ascii="Arial" w:cs="Arial" w:eastAsia="Arial" w:hAnsi="Arial"/>
          <w:color w:val="333333"/>
          <w:sz w:val="20"/>
          <w:szCs w:val="20"/>
        </w:rPr>
        <w:t xml:space="preserve">The broader macroeconomic implications are significant. Energy prices have been one of the primary contributors to above-target US inflation since the conflict began in February. Oil at $88–$95/bbl rather than $110+ removes a key obstacle to Federal Reserve rate cuts. Goldman Sachs analysts noted overnight that if the ceasefire holds and Brent stabilises in the $90–$95 range, it would knock approximately 0.4 percentage points off US headline CPI within two months.</w:t>
      </w:r>
    </w:p>
    <w:p>
      <w:pPr>
        <w:spacing w:after="80" w:before="80"/>
        <w:ind w:left="120"/>
      </w:pPr>
      <w:r>
        <w:rPr>
          <w:rFonts w:ascii="Arial" w:cs="Arial" w:eastAsia="Arial" w:hAnsi="Arial"/>
          <w:color w:val="333333"/>
          <w:sz w:val="20"/>
          <w:szCs w:val="20"/>
        </w:rPr>
        <w:t xml:space="preserve">Energy stocks, which had surged more than 34% in Q1 2026 on the back of the oil spike, face a significant correction. Exxon Mobil had been up nearly 42% year-to-date; that trade is unwinding quickly this morning. The critical question for the sector is whether $88 WTI represents a floor (with the ceasefire priced in) or a waystation to $75–$80 if a full Hormuz reopening materialises.</w:t>
      </w:r>
    </w:p>
    <w:p>
      <w:pPr>
        <w:spacing w:after="80" w:before="80"/>
        <w:ind w:left="120"/>
      </w:pPr>
      <w:r>
        <w:rPr>
          <w:rFonts w:ascii="Arial" w:cs="Arial" w:eastAsia="Arial" w:hAnsi="Arial"/>
          <w:b/>
          <w:bCs/>
          <w:color w:val="333333"/>
          <w:sz w:val="20"/>
          <w:szCs w:val="20"/>
        </w:rPr>
        <w:t xml:space="preserve">What to watch: </w:t>
      </w:r>
      <w:r>
        <w:rPr>
          <w:rFonts w:ascii="Arial" w:cs="Arial" w:eastAsia="Arial" w:hAnsi="Arial"/>
          <w:color w:val="333333"/>
          <w:sz w:val="20"/>
          <w:szCs w:val="20"/>
        </w:rPr>
        <w:t xml:space="preserve">Tanker traffic data through the Strait of Hormuz over the next 48–72 hours. A faster-than-expected resumption of normal flows would push oil lower still.</w:t>
      </w:r>
    </w:p>
    <spacing/>
    <w:p>
      <w:pPr>
        <w:spacing w:after="80" w:before="200"/>
        <w:ind w:left="120"/>
      </w:pPr>
      <w:r>
        <w:rPr>
          <w:rFonts w:ascii="Arial" w:cs="Arial" w:eastAsia="Arial" w:hAnsi="Arial"/>
          <w:b/>
          <w:bCs/>
          <w:color w:val="1B3A5C"/>
          <w:sz w:val="22"/>
          <w:szCs w:val="22"/>
        </w:rPr>
        <w:t xml:space="preserve">III.  The Fed's Suddenly Clearer Path</w:t>
      </w:r>
    </w:p>
    <w:p>
      <w:pPr>
        <w:spacing w:after="80" w:before="80"/>
        <w:ind w:left="120"/>
      </w:pPr>
      <w:r>
        <w:rPr>
          <w:rFonts w:ascii="Arial" w:cs="Arial" w:eastAsia="Arial" w:hAnsi="Arial"/>
          <w:color w:val="333333"/>
          <w:sz w:val="20"/>
          <w:szCs w:val="20"/>
        </w:rPr>
        <w:t xml:space="preserve">The Federal Open Market Committee has been paralysed for weeks by the oil shock. At its most recent meeting, the Fed held rates steady at 3.50–3.75% and maintained its projection of just one rate cut in 2026 — a sharply more cautious stance than markets had expected at the start of the year. Chicago Fed President Austan Goolsbee had warned publicly that the Iran war risked fuelling inflation that would make rate cuts politically impossible.</w:t>
      </w:r>
    </w:p>
    <w:p>
      <w:pPr>
        <w:spacing w:after="80" w:before="80"/>
        <w:ind w:left="120"/>
      </w:pPr>
      <w:r>
        <w:rPr>
          <w:rFonts w:ascii="Arial" w:cs="Arial" w:eastAsia="Arial" w:hAnsi="Arial"/>
          <w:color w:val="333333"/>
          <w:sz w:val="20"/>
          <w:szCs w:val="20"/>
        </w:rPr>
        <w:t xml:space="preserve">That calculus changes materially if oil stays in the $88–$95 range. The 10-year Treasury yield, which had climbed to 4.36% on 'Geopolitical Term Premium,' is already pulling back toward 4.32% overnight. Fed funds futures are now pricing a meaningfully higher probability of a September rate cut than they were 24 hours ago. The March FOMC minutes — due at 2:00 PM ET today — will be parsed intensely for any language that hints at a pivot in tone.</w:t>
      </w:r>
    </w:p>
    <w:p>
      <w:pPr>
        <w:spacing w:after="80" w:before="80"/>
        <w:ind w:left="120"/>
      </w:pPr>
      <w:r>
        <w:rPr>
          <w:rFonts w:ascii="Arial" w:cs="Arial" w:eastAsia="Arial" w:hAnsi="Arial"/>
          <w:color w:val="333333"/>
          <w:sz w:val="20"/>
          <w:szCs w:val="20"/>
        </w:rPr>
        <w:t xml:space="preserve">Critical caveat: the Fed will not react to a 14-day ceasefire. Powell has repeatedly said the Fed 'looks through' short-term commodity shocks. What would matter is sustained lower oil prices for 60–90 days, combined with softening labour market data. JOLTS today (10:00 AM ET) is the next data point in that picture.</w:t>
      </w:r>
    </w:p>
    <w:p>
      <w:pPr>
        <w:spacing w:after="80" w:before="80"/>
        <w:ind w:left="120"/>
      </w:pPr>
      <w:r>
        <w:rPr>
          <w:rFonts w:ascii="Arial" w:cs="Arial" w:eastAsia="Arial" w:hAnsi="Arial"/>
          <w:b/>
          <w:bCs/>
          <w:color w:val="333333"/>
          <w:sz w:val="20"/>
          <w:szCs w:val="20"/>
        </w:rPr>
        <w:t xml:space="preserve">What to watch: </w:t>
      </w:r>
      <w:r>
        <w:rPr>
          <w:rFonts w:ascii="Arial" w:cs="Arial" w:eastAsia="Arial" w:hAnsi="Arial"/>
          <w:color w:val="333333"/>
          <w:sz w:val="20"/>
          <w:szCs w:val="20"/>
        </w:rPr>
        <w:t xml:space="preserve">Language in the March FOMC minutes around 'upside risks to inflation' — any softening of that phrase would be bullish for rates.</w:t>
      </w:r>
    </w:p>
    <spacing/>
    <w:p>
      <w:pPr>
        <w:spacing w:after="80" w:before="200"/>
        <w:ind w:left="120"/>
      </w:pPr>
      <w:r>
        <w:rPr>
          <w:rFonts w:ascii="Arial" w:cs="Arial" w:eastAsia="Arial" w:hAnsi="Arial"/>
          <w:b/>
          <w:bCs/>
          <w:color w:val="1B3A5C"/>
          <w:sz w:val="22"/>
          <w:szCs w:val="22"/>
        </w:rPr>
        <w:t xml:space="preserve">IV.  Gold's Paradoxical Rally</w:t>
      </w:r>
    </w:p>
    <w:p>
      <w:pPr>
        <w:spacing w:after="80" w:before="80"/>
        <w:ind w:left="120"/>
      </w:pPr>
      <w:r>
        <w:rPr>
          <w:rFonts w:ascii="Arial" w:cs="Arial" w:eastAsia="Arial" w:hAnsi="Arial"/>
          <w:color w:val="333333"/>
          <w:sz w:val="20"/>
          <w:szCs w:val="20"/>
        </w:rPr>
        <w:t xml:space="preserve">In a textbook risk-on environment, gold typically falls — investors sell safe havens and rotate into equities. Not today. Spot gold rose approximately 2.5% to ~$4,700/oz, even as stocks surged and the VIX dropped sharply. The disconnect reflects two structural forces that have decoupled gold from its traditional 'fear trade' identity.</w:t>
      </w:r>
    </w:p>
    <w:p>
      <w:pPr>
        <w:spacing w:after="80" w:before="80"/>
        <w:ind w:left="120"/>
      </w:pPr>
      <w:r>
        <w:rPr>
          <w:rFonts w:ascii="Arial" w:cs="Arial" w:eastAsia="Arial" w:hAnsi="Arial"/>
          <w:color w:val="333333"/>
          <w:sz w:val="20"/>
          <w:szCs w:val="20"/>
        </w:rPr>
        <w:t xml:space="preserve">First, central bank buying has been relentless. Emerging market central banks — led by China, India, and Turkey — have been accumulating gold throughout 2025 and 2026 as a deliberate diversification away from US dollar reserves, a trend that has not abated regardless of geopolitical conditions. Second, there is genuine scepticism in the gold market about the ceasefire's durability. If the Islamabad talks break down in two weeks, oil re-spikes, and the conflict resumes, gold would be well-positioned to retest its late-January high near $5,600/oz.</w:t>
      </w:r>
    </w:p>
    <w:p>
      <w:pPr>
        <w:spacing w:after="80" w:before="80"/>
        <w:ind w:left="120"/>
      </w:pPr>
      <w:r>
        <w:rPr>
          <w:rFonts w:ascii="Arial" w:cs="Arial" w:eastAsia="Arial" w:hAnsi="Arial"/>
          <w:color w:val="333333"/>
          <w:sz w:val="20"/>
          <w:szCs w:val="20"/>
        </w:rPr>
        <w:t xml:space="preserve">Goldman Sachs and JPMorgan both maintain year-end gold targets in the $4,000–$6,300 range, driven by the de-dollarisation thesis. The current price of ~$4,700 sits comfortably within that band.</w:t>
      </w:r>
    </w:p>
    <spacing/>
    <w:p>
      <w:pPr>
        <w:spacing w:after="80" w:before="200"/>
        <w:ind w:left="120"/>
      </w:pPr>
      <w:r>
        <w:rPr>
          <w:rFonts w:ascii="Arial" w:cs="Arial" w:eastAsia="Arial" w:hAnsi="Arial"/>
          <w:b/>
          <w:bCs/>
          <w:color w:val="1B3A5C"/>
          <w:sz w:val="22"/>
          <w:szCs w:val="22"/>
        </w:rPr>
        <w:t xml:space="preserve">V.  Samsung and the Semiconductor Ceasefire Dividend</w:t>
      </w:r>
    </w:p>
    <w:p>
      <w:pPr>
        <w:spacing w:after="80" w:before="80"/>
        <w:ind w:left="120"/>
      </w:pPr>
      <w:r>
        <w:rPr>
          <w:rFonts w:ascii="Arial" w:cs="Arial" w:eastAsia="Arial" w:hAnsi="Arial"/>
          <w:color w:val="333333"/>
          <w:sz w:val="20"/>
          <w:szCs w:val="20"/>
        </w:rPr>
        <w:t xml:space="preserve">South Korea's Kospi surged nearly 7% on Wednesday, the most of any major index globally — and the outsized move tells an important story about the war's second-order effects on the tech supply chain. Samsung Electronics jumped 7.1% and SK Hynix surged 9.6%, both benefiting from a relief trade specific to the semiconductor sector.</w:t>
      </w:r>
    </w:p>
    <w:p>
      <w:pPr>
        <w:spacing w:after="80" w:before="80"/>
        <w:ind w:left="120"/>
      </w:pPr>
      <w:r>
        <w:rPr>
          <w:rFonts w:ascii="Arial" w:cs="Arial" w:eastAsia="Arial" w:hAnsi="Arial"/>
          <w:color w:val="333333"/>
          <w:sz w:val="20"/>
          <w:szCs w:val="20"/>
        </w:rPr>
        <w:t xml:space="preserve">South Korea is one of the world's largest importers of Middle Eastern crude, and the oil shock had materially raised input costs for energy-intensive chip fabrication. Lower oil also reduces shipping and logistics costs for the global semiconductor supply chain. The broader implication: a sustained peace deal would be unambiguously positive for global tech manufacturing margins.</w:t>
      </w:r>
    </w:p>
    <spacing/>
    <w:p>
      <w:pPr>
        <w:spacing w:after="80" w:before="200"/>
        <w:ind w:left="120"/>
      </w:pPr>
      <w:r>
        <w:rPr>
          <w:rFonts w:ascii="Arial" w:cs="Arial" w:eastAsia="Arial" w:hAnsi="Arial"/>
          <w:b/>
          <w:bCs/>
          <w:color w:val="1B3A5C"/>
          <w:sz w:val="22"/>
          <w:szCs w:val="22"/>
        </w:rPr>
        <w:t xml:space="preserve">VI.  Big Banks on Deck — The 'Fee Machine' Thesis Gets Its First Test</w:t>
      </w:r>
    </w:p>
    <w:p>
      <w:pPr>
        <w:spacing w:after="80" w:before="80"/>
        <w:ind w:left="120"/>
      </w:pPr>
      <w:r>
        <w:rPr>
          <w:rFonts w:ascii="Arial" w:cs="Arial" w:eastAsia="Arial" w:hAnsi="Arial"/>
          <w:color w:val="333333"/>
          <w:sz w:val="20"/>
          <w:szCs w:val="20"/>
        </w:rPr>
        <w:t xml:space="preserve">Delta's earnings today are just the opening act. The week's marquee event for financial markets arrives on April 14, when JPMorgan Chase, Wells Fargo, and Citigroup all report Q1 2026 results. BlackRock also reports. These numbers will serve as the definitive 'vibe check' for the 2026 economy.</w:t>
      </w:r>
    </w:p>
    <w:p>
      <w:pPr>
        <w:spacing w:after="80" w:before="80"/>
        <w:ind w:left="120"/>
      </w:pPr>
      <w:r>
        <w:rPr>
          <w:rFonts w:ascii="Arial" w:cs="Arial" w:eastAsia="Arial" w:hAnsi="Arial"/>
          <w:color w:val="333333"/>
          <w:sz w:val="20"/>
          <w:szCs w:val="20"/>
        </w:rPr>
        <w:t xml:space="preserve">The dominant Wall Street narrative entering this earnings season is the shift from 'passive profit' (riding the rate cycle) to 'active profit' (M&amp;A advisory, deal execution, trading revenues). Analysts are watching JPMorgan's investment banking fee line most closely — a strong number would confirm the M&amp;A supercycle thesis that has driven bank stocks. Wells Fargo, meanwhile, enters 2026 as the industry's most-watched growth play following the historic June 2025 removal of its $1.95 trillion asset cap; aggressive hiring of investment bankers is expected to show up in fee revenue for the first time.</w:t>
      </w:r>
    </w:p>
    <w:p>
      <w:pPr>
        <w:spacing w:after="80" w:before="80"/>
        <w:ind w:left="120"/>
      </w:pPr>
      <w:r>
        <w:rPr>
          <w:rFonts w:ascii="Arial" w:cs="Arial" w:eastAsia="Arial" w:hAnsi="Arial"/>
          <w:color w:val="333333"/>
          <w:sz w:val="20"/>
          <w:szCs w:val="20"/>
        </w:rPr>
        <w:t xml:space="preserve">Key metrics to watch across the sector: (1) net interest income guidance for full-year 2026, (2) credit card delinquency trends as a recession early-warning signal, and (3) the 'backlog conversion rate' — the share of announced M&amp;A deals that have actually closed and generated fees.</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4.  MACRO &amp; FED WATCH</w:t>
      </w:r>
    </w:p>
    <w:p>
      <w:pPr>
        <w:spacing w:after="80" w:before="80"/>
        <w:ind w:left="120"/>
      </w:pPr>
      <w:r>
        <w:rPr>
          <w:rFonts w:ascii="Arial" w:cs="Arial" w:eastAsia="Arial" w:hAnsi="Arial"/>
          <w:color w:val="333333"/>
          <w:sz w:val="20"/>
          <w:szCs w:val="20"/>
        </w:rPr>
        <w:t xml:space="preserve">The Federal Reserve enters Wednesday in an awkward position. Having held rates steady at 3.50–3.75% through two consecutive meetings while inflation remained above target — partly due to the oil shock — the FOMC now faces a rapidly changing landscape. If the ceasefire holds and oil settles below $95, the inflation math shifts in favour of rate cuts. But the Fed will not move on the basis of a two-week truce.</w:t>
      </w:r>
    </w:p>
    <w:p>
      <w:pPr>
        <w:spacing w:after="80" w:before="80"/>
        <w:ind w:left="120"/>
      </w:pPr>
      <w:r>
        <w:rPr>
          <w:rFonts w:ascii="Arial" w:cs="Arial" w:eastAsia="Arial" w:hAnsi="Arial"/>
          <w:color w:val="333333"/>
          <w:sz w:val="20"/>
          <w:szCs w:val="20"/>
        </w:rPr>
        <w:t xml:space="preserve">Fed funds futures as of this morning are pricing approximately a 35% probability of a September rate cut and a 60% probability of at least one cut by December 2026 — up meaningfully from yesterday. The yield curve remains in modest inversion territory: the 2-year Treasury at 3.80% versus the 10-year at 4.32%, implying a 52 basis point inversion. That spread has been narrowing in recent weeks as growth concerns mount and the long end rallies on ceasefire news.</w:t>
      </w:r>
    </w:p>
    <w:p>
      <w:pPr>
        <w:spacing w:after="80" w:before="80"/>
        <w:ind w:left="120"/>
      </w:pPr>
      <w:r>
        <w:rPr>
          <w:rFonts w:ascii="Arial" w:cs="Arial" w:eastAsia="Arial" w:hAnsi="Arial"/>
          <w:color w:val="333333"/>
          <w:sz w:val="20"/>
          <w:szCs w:val="20"/>
        </w:rPr>
        <w:t xml:space="preserve">The March FOMC minutes (2:00 PM today) are the near-term focal point. Specifically, markets will look for: (1) how hawkish the internal debate was on upside inflation risks, (2) any mention of scenario analysis around oil price trajectories, and (3) Powell's characterisation of the labour market — whether 'resilient' language has begun to soften. Any of those signals could move rates and the dollar materially.</w:t>
      </w:r>
    </w:p>
    <w:p>
      <w:pPr>
        <w:spacing w:after="80" w:before="80"/>
        <w:ind w:left="120"/>
      </w:pPr>
      <w:r>
        <w:rPr>
          <w:rFonts w:ascii="Arial" w:cs="Arial" w:eastAsia="Arial" w:hAnsi="Arial"/>
          <w:color w:val="333333"/>
          <w:sz w:val="20"/>
          <w:szCs w:val="20"/>
        </w:rPr>
        <w:t xml:space="preserve">Longer term, the Fed's challenge remains the same: it needs inflation to return to 2% on a sustained basis before it can justify cuts. Today's JOLTS data and next week's CPI print (April 15) will collectively determine whether the May FOMC meeting remains 'hold' or whether the conversation about a June/July cut can begin in earnest.</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5.  ECONOMIC CALENDAR — WEDNESDAY, APRIL 8</w:t>
      </w:r>
    </w:p>
    <spacing/>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200"/>
        <w:gridCol w:w="1200"/>
        <w:gridCol w:w="3560"/>
      </w:tblGrid>
      <w:tr>
        <w:tc>
          <w:tcPr>
            <w:tcW w:type="dxa" w:w="13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Time (ET)</w:t>
            </w:r>
          </w:p>
        </w:tc>
        <w:tc>
          <w:tcPr>
            <w:tcW w:type="dxa" w:w="21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Indicator</w:t>
            </w:r>
          </w:p>
        </w:tc>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Prior</w:t>
            </w:r>
          </w:p>
        </w:tc>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Est.</w:t>
            </w:r>
          </w:p>
        </w:tc>
        <w:tc>
          <w:tcPr>
            <w:tcW w:type="dxa" w:w="356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Why It Matters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5C"/>
                <w:sz w:val="17"/>
                <w:szCs w:val="17"/>
              </w:rPr>
              <w:t xml:space="preserve">10:00 AM</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333333"/>
                <w:sz w:val="17"/>
                <w:szCs w:val="17"/>
              </w:rPr>
              <w:t xml:space="preserve">JOLTS Job Openings (Feb)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7.74M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7.60M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Key barometer of labor demand; softening signals = more room for Fed to cut</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B3A5C"/>
                <w:sz w:val="17"/>
                <w:szCs w:val="17"/>
              </w:rPr>
              <w:t xml:space="preserve">10:30 AM</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Delta Air Lines Q1 2026 Earnings Call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EPS $0.61</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First major carrier to report — oil shock impact on aviation sector</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5C"/>
                <w:sz w:val="17"/>
                <w:szCs w:val="17"/>
              </w:rPr>
              <w:t xml:space="preserve">2:00 PM</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333333"/>
                <w:sz w:val="17"/>
                <w:szCs w:val="17"/>
              </w:rPr>
              <w:t xml:space="preserve">FOMC Meeting Minutes (March)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Markets hunting for dovish signals; tone on oil-driven inflation key</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B3A5C"/>
                <w:sz w:val="17"/>
                <w:szCs w:val="17"/>
              </w:rPr>
              <w:t xml:space="preserve">3:00 PM</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Consumer Credit (Feb)</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$15.1B</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$16.0B</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Gauge of household borrowing appetite at elevated rates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5C"/>
                <w:sz w:val="17"/>
                <w:szCs w:val="17"/>
              </w:rPr>
              <w:t xml:space="preserve">After-Close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333333"/>
                <w:sz w:val="17"/>
                <w:szCs w:val="17"/>
              </w:rPr>
              <w:t xml:space="preserve">Multiple smaller-cap earnings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51 total reports today; early Q1 2026 EPS trend read</w:t>
            </w:r>
          </w:p>
        </w:tc>
      </w:tr>
    </w:tbl>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6.  EARNINGS WATCH</w:t>
      </w:r>
    </w:p>
    <w:p>
      <w:pPr>
        <w:spacing w:after="80" w:before="200"/>
        <w:ind w:left="120"/>
      </w:pPr>
      <w:r>
        <w:rPr>
          <w:rFonts w:ascii="Arial" w:cs="Arial" w:eastAsia="Arial" w:hAnsi="Arial"/>
          <w:b/>
          <w:bCs/>
          <w:color w:val="1B3A5C"/>
          <w:sz w:val="22"/>
          <w:szCs w:val="22"/>
        </w:rPr>
        <w:t xml:space="preserve">Delta Air Lines (DAL) — Q1 2026 | Reports Pre-Market Today</w:t>
      </w:r>
    </w:p>
    <w:p>
      <w:pPr>
        <w:spacing w:after="80" w:before="80"/>
        <w:ind w:left="120"/>
      </w:pPr>
      <w:r>
        <w:rPr>
          <w:rFonts w:ascii="Arial" w:cs="Arial" w:eastAsia="Arial" w:hAnsi="Arial"/>
          <w:color w:val="333333"/>
          <w:sz w:val="20"/>
          <w:szCs w:val="20"/>
        </w:rPr>
        <w:t xml:space="preserve">Delta Air Lines is the first major US carrier to report Q1 2026 results, making it the most important single-company earnings event of the day and, arguably, of the early earnings season. The airline sector has been caught in a brutal crossfire since February: demand has been strong (travel recovery continued through Q1), but fuel costs — jet fuel tracks crude oil with a short lag — were running 30–40% above year-ago levels by mid-quarter.</w:t>
      </w:r>
    </w:p>
    <w:p>
      <w:pPr>
        <w:spacing w:after="80" w:before="80"/>
        <w:ind w:left="120"/>
      </w:pPr>
      <w:r>
        <w:rPr>
          <w:rFonts w:ascii="Arial" w:cs="Arial" w:eastAsia="Arial" w:hAnsi="Arial"/>
          <w:color w:val="333333"/>
          <w:sz w:val="20"/>
          <w:szCs w:val="20"/>
        </w:rPr>
        <w:t xml:space="preserve">Analyst consensus for Q1: EPS of approximately $0.58–$0.63 (range of estimates), revenue of $13.88–$14.89B. The wide spread reflects genuine uncertainty about how Delta managed fuel hedges. Delta has beaten EPS estimates in each of the past five consecutive quarters; in Q4 2025, it delivered $1.55 EPS against a $1.53 consensus. The options market was pricing a 7–10.5% move in either direction following the report — that implied move reflects the binary nature of the oil situation.</w:t>
      </w:r>
    </w:p>
    <w:p>
      <w:pPr>
        <w:spacing w:after="80" w:before="80"/>
        <w:ind w:left="120"/>
      </w:pPr>
      <w:r>
        <w:rPr>
          <w:rFonts w:ascii="Arial" w:cs="Arial" w:eastAsia="Arial" w:hAnsi="Arial"/>
          <w:color w:val="333333"/>
          <w:sz w:val="20"/>
          <w:szCs w:val="20"/>
        </w:rPr>
        <w:t xml:space="preserve">What analysts are actually focused on: forward guidance. With oil down 19% overnight, Q1 backward-looking numbers matter far less than management's commentary on Q2 and full-year fuel cost assumptions. If CEO Ed Bastian revises guidance upward to reflect $88–$95 oil rather than $110+ oil, the stock could surge well beyond the options-implied move. Watch for language on corporate travel demand (high-margin), international route bookings (strong per recent data), and any commentary on the Strait of Hormuz's impact on transatlantic routes.</w:t>
      </w:r>
    </w:p>
    <w:p>
      <w:pPr>
        <w:spacing w:after="80" w:before="80"/>
        <w:ind w:left="120"/>
      </w:pPr>
      <w:r>
        <w:rPr>
          <w:rFonts w:ascii="Arial" w:cs="Arial" w:eastAsia="Arial" w:hAnsi="Arial"/>
          <w:b/>
          <w:bCs/>
          <w:color w:val="333333"/>
          <w:sz w:val="20"/>
          <w:szCs w:val="20"/>
        </w:rPr>
        <w:t xml:space="preserve">DAL options-implied move: </w:t>
      </w:r>
      <w:r>
        <w:rPr>
          <w:rFonts w:ascii="Arial" w:cs="Arial" w:eastAsia="Arial" w:hAnsi="Arial"/>
          <w:color w:val="333333"/>
          <w:sz w:val="20"/>
          <w:szCs w:val="20"/>
        </w:rPr>
        <w:t xml:space="preserve">±7–10.5%  |  Consensus EPS: ~$0.61  |  Prior quarter beat: +$0.02</w:t>
      </w:r>
    </w:p>
    <spacing/>
    <w:p>
      <w:pPr>
        <w:spacing w:after="80" w:before="200"/>
        <w:ind w:left="120"/>
      </w:pPr>
      <w:r>
        <w:rPr>
          <w:rFonts w:ascii="Arial" w:cs="Arial" w:eastAsia="Arial" w:hAnsi="Arial"/>
          <w:b/>
          <w:bCs/>
          <w:color w:val="1B3A5C"/>
          <w:sz w:val="22"/>
          <w:szCs w:val="22"/>
        </w:rPr>
        <w:t xml:space="preserve">Week Ahead — Big Banks (April 14)</w:t>
      </w:r>
    </w:p>
    <w:p>
      <w:pPr>
        <w:spacing w:after="80" w:before="80"/>
        <w:ind w:left="120"/>
      </w:pPr>
      <w:r>
        <w:rPr>
          <w:rFonts w:ascii="Arial" w:cs="Arial" w:eastAsia="Arial" w:hAnsi="Arial"/>
          <w:color w:val="333333"/>
          <w:sz w:val="20"/>
          <w:szCs w:val="20"/>
        </w:rPr>
        <w:t xml:space="preserve">JPMorgan Chase (JPM): Consensus EPS ~$5.37–$5.50. Watch net interest income (NII) guidance and IB fee revenue. Jamie Dimon's commentary on credit quality and the macro outlook will move the broader market.</w:t>
      </w:r>
    </w:p>
    <w:p>
      <w:pPr>
        <w:spacing w:after="80" w:before="80"/>
        <w:ind w:left="120"/>
      </w:pPr>
      <w:r>
        <w:rPr>
          <w:rFonts w:ascii="Arial" w:cs="Arial" w:eastAsia="Arial" w:hAnsi="Arial"/>
          <w:color w:val="333333"/>
          <w:sz w:val="20"/>
          <w:szCs w:val="20"/>
        </w:rPr>
        <w:t xml:space="preserve">Wells Fargo (WFC): First major earnings report post-asset-cap removal (June 2025). Watch IB revenue growth — this is the first quarter where the cap removal could show up meaningfully in the top line.</w:t>
      </w:r>
    </w:p>
    <w:p>
      <w:pPr>
        <w:spacing w:after="80" w:before="80"/>
        <w:ind w:left="120"/>
      </w:pPr>
      <w:r>
        <w:rPr>
          <w:rFonts w:ascii="Arial" w:cs="Arial" w:eastAsia="Arial" w:hAnsi="Arial"/>
          <w:color w:val="333333"/>
          <w:sz w:val="20"/>
          <w:szCs w:val="20"/>
        </w:rPr>
        <w:t xml:space="preserve">BlackRock (BLK): AUM growth and fee trends. With markets rebounding from the oil-shock lows, net inflows should be strong. Management commentary on retail vs. institutional demand will be closely watched.</w:t>
      </w:r>
    </w:p>
    <w:p>
      <w:pPr>
        <w:spacing w:after="80" w:before="80"/>
        <w:ind w:left="120"/>
      </w:pPr>
      <w:r>
        <w:rPr>
          <w:rFonts w:ascii="Arial" w:cs="Arial" w:eastAsia="Arial" w:hAnsi="Arial"/>
          <w:color w:val="333333"/>
          <w:sz w:val="20"/>
          <w:szCs w:val="20"/>
        </w:rPr>
        <w:t xml:space="preserve">Citigroup (C): Goldman Sachs maintains Buy with a $137 target. Trading revenues and international operations — including exposure to EM markets that have rallied on ceasefire news — are key.</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7.  SECTOR SPOTLIGHT</w:t>
      </w:r>
    </w:p>
    <w:p>
      <w:pPr>
        <w:spacing w:after="80" w:before="200"/>
        <w:ind w:left="120"/>
      </w:pPr>
      <w:r>
        <w:rPr>
          <w:rFonts w:ascii="Arial" w:cs="Arial" w:eastAsia="Arial" w:hAnsi="Arial"/>
          <w:b/>
          <w:bCs/>
          <w:color w:val="1B3A5C"/>
          <w:sz w:val="22"/>
          <w:szCs w:val="22"/>
        </w:rPr>
        <w:t xml:space="preserve">Airlines &amp; Transportation: From Worst to First in One Night</w:t>
      </w:r>
    </w:p>
    <w:p>
      <w:pPr>
        <w:spacing w:after="80" w:before="80"/>
        <w:ind w:left="120"/>
      </w:pPr>
      <w:r>
        <w:rPr>
          <w:rFonts w:ascii="Arial" w:cs="Arial" w:eastAsia="Arial" w:hAnsi="Arial"/>
          <w:color w:val="333333"/>
          <w:sz w:val="20"/>
          <w:szCs w:val="20"/>
        </w:rPr>
        <w:t xml:space="preserve">For six weeks, airlines were the consensus short: fuel costs were surging, jet fuel had hit $4.10/gallon (up from ~$2.80 pre-conflict), and forward bookings were being impacted by elevated airfare prices. The sector had underperformed the S&amp;P 500 by more than 15 percentage points since February 28.</w:t>
      </w:r>
    </w:p>
    <w:p>
      <w:pPr>
        <w:spacing w:after="80" w:before="80"/>
        <w:ind w:left="120"/>
      </w:pPr>
      <w:r>
        <w:rPr>
          <w:rFonts w:ascii="Arial" w:cs="Arial" w:eastAsia="Arial" w:hAnsi="Arial"/>
          <w:color w:val="333333"/>
          <w:sz w:val="20"/>
          <w:szCs w:val="20"/>
        </w:rPr>
        <w:t xml:space="preserve">The overnight oil collapse changes that calculus completely. A sustained move to $88–$95 WTI would reduce fuel costs by roughly 20–25% from Q1 levels. For Delta, United, and American combined, that translates to approximately $3–4 billion in annualised cost savings. The sector is positioned for one of the sharpest single-day reversals since the post-COVID reopening trade of 2021.</w:t>
      </w:r>
    </w:p>
    <w:p>
      <w:pPr>
        <w:spacing w:after="80" w:before="200"/>
        <w:ind w:left="120"/>
      </w:pPr>
      <w:r>
        <w:rPr>
          <w:rFonts w:ascii="Arial" w:cs="Arial" w:eastAsia="Arial" w:hAnsi="Arial"/>
          <w:b/>
          <w:bCs/>
          <w:color w:val="1B3A5C"/>
          <w:sz w:val="22"/>
          <w:szCs w:val="22"/>
        </w:rPr>
        <w:t xml:space="preserve">Energy: The 34% YTD Gain Is Now at Risk</w:t>
      </w:r>
    </w:p>
    <w:p>
      <w:pPr>
        <w:spacing w:after="80" w:before="80"/>
        <w:ind w:left="120"/>
      </w:pPr>
      <w:r>
        <w:rPr>
          <w:rFonts w:ascii="Arial" w:cs="Arial" w:eastAsia="Arial" w:hAnsi="Arial"/>
          <w:color w:val="333333"/>
          <w:sz w:val="20"/>
          <w:szCs w:val="20"/>
        </w:rPr>
        <w:t xml:space="preserve">The mirror image of the airline trade. Energy was the best-performing S&amp;P 500 sector in Q1 2026, with XOM up ~42% YTD and the sector as a whole gaining 34%. That entire outperformance was built on a $110+ oil assumption. With WTI back at $88, the fundamental justification for those valuations evaporates. The question is not whether energy sells off — it will — but how far. At $88 oil, the major integrated names remain highly profitable; the pain will be concentrated in high-cost producers, deepwater drillers, and oilfield services companies with the highest operational leverage.</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8.  ANALYST CALLS &amp; UPGRADES / DOWNGRADES</w:t>
      </w:r>
    </w:p>
    <spacing/>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200"/>
        <w:gridCol w:w="3760"/>
      </w:tblGrid>
      <w:tr>
        <w:tc>
          <w:tcPr>
            <w:tcW w:type="dxa" w:w="16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Firm</w:t>
            </w:r>
          </w:p>
        </w:tc>
        <w:tc>
          <w:tcPr>
            <w:tcW w:type="dxa" w:w="14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Stock</w:t>
            </w:r>
          </w:p>
        </w:tc>
        <w:tc>
          <w:tcPr>
            <w:tcW w:type="dxa" w:w="14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Action</w:t>
            </w:r>
          </w:p>
        </w:tc>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Price Target</w:t>
            </w:r>
          </w:p>
        </w:tc>
        <w:tc>
          <w:tcPr>
            <w:tcW w:type="dxa" w:w="376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333333"/>
                <w:sz w:val="17"/>
                <w:szCs w:val="17"/>
              </w:rPr>
              <w:t xml:space="preserve">Goldman Sachs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5C"/>
                <w:sz w:val="17"/>
                <w:szCs w:val="17"/>
              </w:rPr>
              <w:t xml:space="preserve">Citigroup (C)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7A4A"/>
                <w:sz w:val="17"/>
                <w:szCs w:val="17"/>
              </w:rPr>
              <w:t xml:space="preserve">Maintain Buy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$137 ↑</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M&amp;A fee rebound; fortress balance sheet well-positioned for Q1</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Goldman Sachs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B3A5C"/>
                <w:sz w:val="17"/>
                <w:szCs w:val="17"/>
              </w:rPr>
              <w:t xml:space="preserve">PayPay Corp (PAYP)</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7A4A"/>
                <w:sz w:val="17"/>
                <w:szCs w:val="17"/>
              </w:rPr>
              <w:t xml:space="preserve">Initiate Buy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$29.00</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FinTech growth play; Japan digital payments expansion undervalued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333333"/>
                <w:sz w:val="17"/>
                <w:szCs w:val="17"/>
              </w:rPr>
              <w:t xml:space="preserve">Bank of America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5C"/>
                <w:sz w:val="17"/>
                <w:szCs w:val="17"/>
              </w:rPr>
              <w:t xml:space="preserve">Carvana (CVNA)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C0392B"/>
                <w:sz w:val="17"/>
                <w:szCs w:val="17"/>
              </w:rPr>
              <w:t xml:space="preserve">Downgrade → Neutral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$360 ↓</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Used car pricing headwinds; financing costs still elevated</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Seaport Global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B3A5C"/>
                <w:sz w:val="17"/>
                <w:szCs w:val="17"/>
              </w:rPr>
              <w:t xml:space="preserve">Lennar (LEN)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C0392B"/>
                <w:sz w:val="17"/>
                <w:szCs w:val="17"/>
              </w:rPr>
              <w:t xml:space="preserve">Downgrade → Sell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Housing affordability squeeze; rate relief needed for recovery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333333"/>
                <w:sz w:val="17"/>
                <w:szCs w:val="17"/>
              </w:rPr>
              <w:t xml:space="preserve">Seaport Global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5C"/>
                <w:sz w:val="17"/>
                <w:szCs w:val="17"/>
              </w:rPr>
              <w:t xml:space="preserve">PulteGroup (PHM)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C0392B"/>
                <w:sz w:val="17"/>
                <w:szCs w:val="17"/>
              </w:rPr>
              <w:t xml:space="preserve">Downgrade → Sell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Same thesis as LEN; mortgage rate sensitivity too high</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Jefferies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B3A5C"/>
                <w:sz w:val="17"/>
                <w:szCs w:val="17"/>
              </w:rPr>
              <w:t xml:space="preserve">Twilio (TWLO)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7A4A"/>
                <w:sz w:val="17"/>
                <w:szCs w:val="17"/>
              </w:rPr>
              <w:t xml:space="preserve">Upgrade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555555"/>
                <w:sz w:val="17"/>
                <w:szCs w:val="17"/>
              </w:rPr>
              <w:t xml:space="preserve">AI integration potential; undervalued relative to comps</w:t>
            </w:r>
          </w:p>
        </w:tc>
      </w:tr>
    </w:tbl>
    <w:p>
      <w:pPr>
        <w:spacing w:after="40" w:before="40"/>
        <w:ind w:left="120"/>
      </w:pPr>
      <w:r>
        <w:rPr>
          <w:rFonts w:ascii="Arial" w:cs="Arial" w:eastAsia="Arial" w:hAnsi="Arial"/>
          <w:i/>
          <w:iCs/>
          <w:color w:val="888888"/>
          <w:sz w:val="16"/>
          <w:szCs w:val="16"/>
        </w:rPr>
        <w:t xml:space="preserve">Source: Benzinga, MarketBeat, Goldman Sachs Research, Seaport Global Securities, Jefferies — April 7–8, 2026</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9.  STOCKS TO WATCH</w:t>
      </w:r>
    </w:p>
    <w:p>
      <w:pPr>
        <w:spacing w:after="80" w:before="200"/>
        <w:ind w:left="120"/>
      </w:pPr>
      <w:r>
        <w:rPr>
          <w:rFonts w:ascii="Arial" w:cs="Arial" w:eastAsia="Arial" w:hAnsi="Arial"/>
          <w:b/>
          <w:bCs/>
          <w:color w:val="1B3A5C"/>
          <w:sz w:val="22"/>
          <w:szCs w:val="22"/>
        </w:rPr>
        <w:t xml:space="preserve">Delta Air Lines (DAL) — The Day's Defining Print</w:t>
      </w:r>
    </w:p>
    <w:p>
      <w:pPr>
        <w:spacing w:after="80" w:before="80"/>
        <w:ind w:left="120"/>
      </w:pPr>
      <w:r>
        <w:rPr>
          <w:rFonts w:ascii="Arial" w:cs="Arial" w:eastAsia="Arial" w:hAnsi="Arial"/>
          <w:color w:val="333333"/>
          <w:sz w:val="20"/>
          <w:szCs w:val="20"/>
        </w:rPr>
        <w:t xml:space="preserve">Reports pre-market. As outlined in Earnings Watch above, this is the most consequential print of the morning. Key levels: DAL closed Tuesday at ~$52. A strong Q2 guide + oil tailwind narrative could push it toward $58–$60 (options market's upper bound). A disappointing Q1 or cautious management tone could send it to $47–$48. The stock has not moved on earnings by more than 5% in either direction in four consecutive quarters — that streak may end today.</w:t>
      </w:r>
    </w:p>
    <w:p>
      <w:pPr>
        <w:spacing w:after="80" w:before="200"/>
        <w:ind w:left="120"/>
      </w:pPr>
      <w:r>
        <w:rPr>
          <w:rFonts w:ascii="Arial" w:cs="Arial" w:eastAsia="Arial" w:hAnsi="Arial"/>
          <w:b/>
          <w:bCs/>
          <w:color w:val="1B3A5C"/>
          <w:sz w:val="22"/>
          <w:szCs w:val="22"/>
        </w:rPr>
        <w:t xml:space="preserve">Exxon Mobil (XOM) — How Far Does the Unwind Go?</w:t>
      </w:r>
    </w:p>
    <w:p>
      <w:pPr>
        <w:spacing w:after="80" w:before="80"/>
        <w:ind w:left="120"/>
      </w:pPr>
      <w:r>
        <w:rPr>
          <w:rFonts w:ascii="Arial" w:cs="Arial" w:eastAsia="Arial" w:hAnsi="Arial"/>
          <w:color w:val="333333"/>
          <w:sz w:val="20"/>
          <w:szCs w:val="20"/>
        </w:rPr>
        <w:t xml:space="preserve">XOM was the Q1 2026 poster child, up ~42% YTD as the oil war raged. With WTI now ~19% lower, the stock faces a reckoning. The key technical support level to watch is $135–$138 (the pre-conflict trading range from early February). A close below that level would signal the market has fully priced out the war premium. Longer-term investors may see this as an attractive entry point: XOM's underlying production growth story and dividend (currently ~3.5%) remain intact regardless of geopolitics.</w:t>
      </w:r>
    </w:p>
    <w:p>
      <w:pPr>
        <w:spacing w:after="80" w:before="200"/>
        <w:ind w:left="120"/>
      </w:pPr>
      <w:r>
        <w:rPr>
          <w:rFonts w:ascii="Arial" w:cs="Arial" w:eastAsia="Arial" w:hAnsi="Arial"/>
          <w:b/>
          <w:bCs/>
          <w:color w:val="1B3A5C"/>
          <w:sz w:val="22"/>
          <w:szCs w:val="22"/>
        </w:rPr>
        <w:t xml:space="preserve">NVIDIA (NVDA) — Bellwether for Risk-On</w:t>
      </w:r>
    </w:p>
    <w:p>
      <w:pPr>
        <w:spacing w:after="80" w:before="80"/>
        <w:ind w:left="120"/>
      </w:pPr>
      <w:r>
        <w:rPr>
          <w:rFonts w:ascii="Arial" w:cs="Arial" w:eastAsia="Arial" w:hAnsi="Arial"/>
          <w:color w:val="333333"/>
          <w:sz w:val="20"/>
          <w:szCs w:val="20"/>
        </w:rPr>
        <w:t xml:space="preserve">Nasdaq futures are up 3.2% pre-market, and NVDA is the de facto sentiment barometer for the risk-on trade. The stock had been trading below its 200-day moving average for most of the past six weeks as the geopolitical premium weighed on growth multiples. A sustained ceasefire could be the catalyst for a re-rating back toward its December 2025 levels. Watch the $890–$900 zone as key resistance on the open; a clean break through $900 on volume would be technically significant.</w:t>
      </w:r>
    </w:p>
    <w:p>
      <w:pPr>
        <w:spacing w:after="80" w:before="200"/>
        <w:ind w:left="120"/>
      </w:pPr>
      <w:r>
        <w:rPr>
          <w:rFonts w:ascii="Arial" w:cs="Arial" w:eastAsia="Arial" w:hAnsi="Arial"/>
          <w:b/>
          <w:bCs/>
          <w:color w:val="1B3A5C"/>
          <w:sz w:val="22"/>
          <w:szCs w:val="22"/>
        </w:rPr>
        <w:t xml:space="preserve">Samsung Electronics (005930.KS) — The Korea Trade</w:t>
      </w:r>
    </w:p>
    <w:p>
      <w:pPr>
        <w:spacing w:after="80" w:before="80"/>
        <w:ind w:left="120"/>
      </w:pPr>
      <w:r>
        <w:rPr>
          <w:rFonts w:ascii="Arial" w:cs="Arial" w:eastAsia="Arial" w:hAnsi="Arial"/>
          <w:color w:val="333333"/>
          <w:sz w:val="20"/>
          <w:szCs w:val="20"/>
        </w:rPr>
        <w:t xml:space="preserve">Up 7.1% in Seoul on Wednesday. For US investors without direct Korean equity access, the iShares MSCI South Korea ETF (EWY) is the proxy. The Samsung/SK Hynix semiconductor relief trade has further to run if oil stays down — Korean corporate margins are highly sensitive to energy input costs. EWY was pricing in significant geopolitical risk at its recent lows; that premium should continue to unwind.</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10.  GLOBAL MACRO SNAPSHOT</w:t>
      </w:r>
    </w:p>
    <w:p>
      <w:pPr>
        <w:spacing w:after="80" w:before="200"/>
        <w:ind w:left="120"/>
      </w:pPr>
      <w:r>
        <w:rPr>
          <w:rFonts w:ascii="Arial" w:cs="Arial" w:eastAsia="Arial" w:hAnsi="Arial"/>
          <w:b/>
          <w:bCs/>
          <w:color w:val="1B3A5C"/>
          <w:sz w:val="22"/>
          <w:szCs w:val="22"/>
        </w:rPr>
        <w:t xml:space="preserve">China</w:t>
      </w:r>
    </w:p>
    <w:p>
      <w:pPr>
        <w:spacing w:after="80" w:before="80"/>
        <w:ind w:left="120"/>
      </w:pPr>
      <w:r>
        <w:rPr>
          <w:rFonts w:ascii="Arial" w:cs="Arial" w:eastAsia="Arial" w:hAnsi="Arial"/>
          <w:color w:val="333333"/>
          <w:sz w:val="20"/>
          <w:szCs w:val="20"/>
        </w:rPr>
        <w:t xml:space="preserve">The CSI 300 closed +3.49% Wednesday, benefiting from the ceasefire in two ways: lower energy import costs (China is the world's largest crude importer) and renewed risk appetite for EM assets. Chinese policymakers have been quietly managing an economic deceleration — latest PMI data showed manufacturing at 49.8 (contraction territory). Lower oil removes one inflationary constraint and gives the PBOC more room to ease. Watch for any coordinated fiscal/monetary stimulus announcement that could amplify the ceasefire tailwind.</w:t>
      </w:r>
    </w:p>
    <w:p>
      <w:pPr>
        <w:spacing w:after="80" w:before="200"/>
        <w:ind w:left="120"/>
      </w:pPr>
      <w:r>
        <w:rPr>
          <w:rFonts w:ascii="Arial" w:cs="Arial" w:eastAsia="Arial" w:hAnsi="Arial"/>
          <w:b/>
          <w:bCs/>
          <w:color w:val="1B3A5C"/>
          <w:sz w:val="22"/>
          <w:szCs w:val="22"/>
        </w:rPr>
        <w:t xml:space="preserve">Europe</w:t>
      </w:r>
    </w:p>
    <w:p>
      <w:pPr>
        <w:spacing w:after="80" w:before="80"/>
        <w:ind w:left="120"/>
      </w:pPr>
      <w:r>
        <w:rPr>
          <w:rFonts w:ascii="Arial" w:cs="Arial" w:eastAsia="Arial" w:hAnsi="Arial"/>
          <w:color w:val="333333"/>
          <w:sz w:val="20"/>
          <w:szCs w:val="20"/>
        </w:rPr>
        <w:t xml:space="preserve">European markets opened sharply higher (DAX +4.8%, CAC +4.5%, FTSE +2.8%) driven by the same oil relief trade. Auto stocks surged 6% — European OEMs (BMW, VW, Stellantis) had been hit hard by energy-driven input cost inflation. Travel stocks were the biggest winner, up 7.6%: Ryanair, Lufthansa, and IAG are all major beneficiaries. The ECB, which had been weighing whether to cut rates despite energy inflation, now has more ammunition to proceed with its anticipated June rate cut.</w:t>
      </w:r>
    </w:p>
    <w:p>
      <w:pPr>
        <w:spacing w:after="80" w:before="200"/>
        <w:ind w:left="120"/>
      </w:pPr>
      <w:r>
        <w:rPr>
          <w:rFonts w:ascii="Arial" w:cs="Arial" w:eastAsia="Arial" w:hAnsi="Arial"/>
          <w:b/>
          <w:bCs/>
          <w:color w:val="1B3A5C"/>
          <w:sz w:val="22"/>
          <w:szCs w:val="22"/>
        </w:rPr>
        <w:t xml:space="preserve">Emerging Markets</w:t>
      </w:r>
    </w:p>
    <w:p>
      <w:pPr>
        <w:spacing w:after="80" w:before="80"/>
        <w:ind w:left="120"/>
      </w:pPr>
      <w:r>
        <w:rPr>
          <w:rFonts w:ascii="Arial" w:cs="Arial" w:eastAsia="Arial" w:hAnsi="Arial"/>
          <w:color w:val="333333"/>
          <w:sz w:val="20"/>
          <w:szCs w:val="20"/>
        </w:rPr>
        <w:t xml:space="preserve">EM assets broadly rallied overnight. The Bloomberg EM index rose significantly as lower oil reduced energy import burdens for oil-importing EMs (India, Turkey, South Korea, Japan). For oil-exporting EMs (Saudi Arabia, UAE, Nigeria), the lower price is a negative — watch for any GCC sovereign wealth fund activity as they rebalance. India's Sensex is expected to open meaningfully higher; the RBI has more room to cut rates if oil-driven inflation cools.</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11.  WEEK AHEAD PREVIEW</w:t>
      </w:r>
    </w:p>
    <w:p>
      <w:pPr>
        <w:spacing w:after="80" w:before="80"/>
        <w:ind w:left="120"/>
      </w:pPr>
      <w:r>
        <w:rPr>
          <w:rFonts w:ascii="Arial" w:cs="Arial" w:eastAsia="Arial" w:hAnsi="Arial"/>
          <w:color w:val="333333"/>
          <w:sz w:val="20"/>
          <w:szCs w:val="20"/>
        </w:rPr>
        <w:t xml:space="preserve">Thursday, April 9: Initial jobless claims (weekly), Producer Price Index (PPI) for March — critical read on pipeline inflation given the oil shock. Constellation Brands (STZ) and others report earnings.</w:t>
      </w:r>
    </w:p>
    <w:p>
      <w:pPr>
        <w:spacing w:after="80" w:before="80"/>
        <w:ind w:left="120"/>
      </w:pPr>
      <w:r>
        <w:rPr>
          <w:rFonts w:ascii="Arial" w:cs="Arial" w:eastAsia="Arial" w:hAnsi="Arial"/>
          <w:color w:val="333333"/>
          <w:sz w:val="20"/>
          <w:szCs w:val="20"/>
        </w:rPr>
        <w:t xml:space="preserve">Friday, April 10: University of Michigan Consumer Sentiment (preliminary, April). This will be the first major sentiment read in the post-ceasefire environment. Expectations had been deeply depressed by the conflict and fuel price spike; a strong print would further validate the risk-on trade.</w:t>
      </w:r>
    </w:p>
    <w:p>
      <w:pPr>
        <w:spacing w:after="80" w:before="80"/>
        <w:ind w:left="120"/>
      </w:pPr>
      <w:r>
        <w:rPr>
          <w:rFonts w:ascii="Arial" w:cs="Arial" w:eastAsia="Arial" w:hAnsi="Arial"/>
          <w:color w:val="333333"/>
          <w:sz w:val="20"/>
          <w:szCs w:val="20"/>
        </w:rPr>
        <w:t xml:space="preserve">Monday, April 13: Markets begin pricing the big bank earnings week. JPMorgan, BlackRock, and Citigroup all report Tuesday April 14 before the open. Expect significant positioning activity Monday afternoon.</w:t>
      </w:r>
    </w:p>
    <w:p>
      <w:pPr>
        <w:spacing w:after="80" w:before="80"/>
        <w:ind w:left="120"/>
      </w:pPr>
      <w:r>
        <w:rPr>
          <w:rFonts w:ascii="Arial" w:cs="Arial" w:eastAsia="Arial" w:hAnsi="Arial"/>
          <w:color w:val="333333"/>
          <w:sz w:val="20"/>
          <w:szCs w:val="20"/>
        </w:rPr>
        <w:t xml:space="preserve">Tuesday, April 14: The week's main event. JPMorgan (JPM), Wells Fargo (WFC), BlackRock (BLK), and Citigroup (C) all report Q1 2026 results. These numbers will define the narrative for the entire Q1 earnings season.</w:t>
      </w:r>
    </w:p>
    <w:p>
      <w:pPr>
        <w:spacing w:after="80" w:before="80"/>
        <w:ind w:left="120"/>
      </w:pPr>
      <w:r>
        <w:rPr>
          <w:rFonts w:ascii="Arial" w:cs="Arial" w:eastAsia="Arial" w:hAnsi="Arial"/>
          <w:color w:val="333333"/>
          <w:sz w:val="20"/>
          <w:szCs w:val="20"/>
        </w:rPr>
        <w:t xml:space="preserve">Wednesday, April 15: CPI for March — possibly the most important data print of the month. The oil shock was still fully in effect during March, so headline CPI is expected to remain elevated (~3.6% YoY). But the market will be focused on core CPI (ex-food and energy) and any forward-looking disinflationary signals. A soft core print would supercharge rate-cut expectations.</w:t>
      </w:r>
    </w:p>
    <w:p>
      <w:pPr>
        <w:spacing w:after="80" w:before="80"/>
        <w:ind w:left="120"/>
      </w:pPr>
      <w:r>
        <w:rPr>
          <w:rFonts w:ascii="Arial" w:cs="Arial" w:eastAsia="Arial" w:hAnsi="Arial"/>
          <w:color w:val="333333"/>
          <w:sz w:val="20"/>
          <w:szCs w:val="20"/>
        </w:rPr>
        <w:t xml:space="preserve">Geopolitical: Islamabad negotiations between the US and Iran begin Friday, April 10. Any breakdown in talks — or any indication that Iran's 10-point proposal is being taken seriously as a starting point — will be a major market catalyst. A two-week window is extremely tight for a conflict of this complexity.</w:t>
      </w:r>
    </w:p>
    <w:p>
      <w:pPr>
        <w:pBdr>
          <w:bottom w:val="single" w:color="C8A951" w:sz="6"/>
        </w:pBdr>
        <w:shd w:fill="1B3A5C" w:val="clear"/>
        <w:spacing w:after="120" w:before="280"/>
        <w:ind w:left="120" w:right="120"/>
      </w:pPr>
      <w:r>
        <w:rPr>
          <w:rFonts w:ascii="Arial" w:cs="Arial" w:eastAsia="Arial" w:hAnsi="Arial"/>
          <w:b/>
          <w:bCs/>
          <w:color w:val="FFFFFF"/>
          <w:sz w:val="20"/>
          <w:szCs w:val="20"/>
        </w:rPr>
        <w:t xml:space="preserve">12.  CLOSING THOUGHT</w:t>
      </w:r>
    </w:p>
    <w:p>
      <w:pPr>
        <w:pBdr>
          <w:left w:val="single" w:color="C8A951" w:sz="14"/>
          <w:right w:val="single" w:color="C8A951" w:sz="14"/>
        </w:pBdr>
        <w:shd w:fill="F5F5F5" w:val="clear"/>
        <w:spacing w:after="160" w:before="160"/>
        <w:ind w:left="240" w:right="240"/>
      </w:pPr>
      <w:r>
        <w:rPr>
          <w:rFonts w:ascii="Arial" w:cs="Arial" w:eastAsia="Arial" w:hAnsi="Arial"/>
          <w:i/>
          <w:iCs/>
          <w:color w:val="444444"/>
          <w:sz w:val="20"/>
          <w:szCs w:val="20"/>
        </w:rPr>
        <w:t xml:space="preserve">Markets are discounting a peace deal. They are pricing an end to a war that hasn't ended. The ceasefire is real, the oil plunge is real, and the relief rally deserves to be taken seriously — it reflects genuine fundamental improvement. But the history of Middle East ceasefires suggests that 14-day truces are the beginning of long negotiations, not the end of conflicts. The Islamabad talks beginning Friday will be the most important geopolitical market catalyst of the week, and possibly of the quarter.
The trade with the cleanest risk/reward from here: long airlines (DAL, UAL) on the oil tailwind, with a defined risk at the February lows. The trade with the most dangerous asymmetry: assuming the energy sector correction is over. At $88 WTI, the major integrated names are still profitable — but the war premium that drove a 34% sector gain in Q1 is gone, and if Hormuz fully reopens, $75 oil is on the table.
The ceasefire changes the market's short-term trajectory. Only Islamabad can change its medium-term one.</w:t>
      </w:r>
    </w:p>
    <spacing/>
    <w:p>
      <w:pPr>
        <w:pBdr>
          <w:top w:val="single" w:color="CCCCCC" w:sz="2"/>
        </w:pBdr>
        <w:spacing w:before="120"/>
        <w:jc w:val="center"/>
      </w:pPr>
      <w:r>
        <w:rPr>
          <w:rFonts w:ascii="Arial" w:cs="Arial" w:eastAsia="Arial" w:hAnsi="Arial"/>
          <w:i/>
          <w:iCs/>
          <w:color w:val="999999"/>
          <w:sz w:val="16"/>
          <w:szCs w:val="16"/>
        </w:rPr>
        <w:t xml:space="preserve">Prepared for James Flanagan  ·  Daily Financial Brief  ·  Wednesday, April 8, 2026  ·  ~10 min read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80"/>
    </w:pPr>
    <w:r>
      <w:rPr>
        <w:rFonts w:ascii="Arial" w:cs="Arial" w:eastAsia="Arial" w:hAnsi="Arial"/>
        <w:color w:val="888888"/>
        <w:sz w:val="15"/>
        <w:szCs w:val="15"/>
      </w:rPr>
      <w:t xml:space="preserve">Sources: CNBC, Bloomberg, Yahoo Finance, NBC News, Al Jazeera, CBS News, Axios, Benzinga, FinancialContent, MarketBeat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5C" w:val="clear"/>
      <w:tabs>
        <w:tab w:val="right" w:pos="9026"/>
      </w:tabs>
      <w:spacing w:after="60" w:before="60"/>
      <w:ind w:left="120" w:right="120"/>
    </w:pPr>
    <w:r>
      <w:rPr>
        <w:rFonts w:ascii="Arial" w:cs="Arial" w:eastAsia="Arial" w:hAnsi="Arial"/>
        <w:b/>
        <w:bCs/>
        <w:color w:val="FFFFFF"/>
        <w:sz w:val="18"/>
        <w:szCs w:val="18"/>
      </w:rPr>
      <w:t xml:space="preserve">THE DAILY FINANCIAL BRIEF</w:t>
    </w:r>
    <w:r>
      <w:rPr>
        <w:rFonts w:ascii="Arial" w:cs="Arial" w:eastAsia="Arial" w:hAnsi="Arial"/>
        <w:color w:val="AACCEE"/>
        <w:sz w:val="16"/>
        <w:szCs w:val="16"/>
      </w:rPr>
      <w:t xml:space="preserve">	Wednesday, April 8, 2026  |  9:30 AM ET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B3A5C"/>
      <w:sz w:val="34"/>
      <w:szCs w:val="34"/>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2026-04-08T05:17:56.693Z</dcterms:created>
  <dcterms:modified xsi:type="dcterms:W3CDTF">2026-04-08T05:17:56.695Z</dcterms:modified>
</cp:coreProperties>
</file>

<file path=docProps/custom.xml><?xml version="1.0" encoding="utf-8"?>
<Properties xmlns="http://schemas.openxmlformats.org/officeDocument/2006/custom-properties" xmlns:vt="http://schemas.openxmlformats.org/officeDocument/2006/docPropsVTypes"/>
</file>