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F44"/>
          <w:sz w:val="44"/>
        </w:rPr>
        <w:t>DAILY FINANCIAL BRIEF</w:t>
      </w:r>
    </w:p>
    <w:p>
      <w:pPr>
        <w:jc w:val="center"/>
      </w:pPr>
      <w:r>
        <w:rPr>
          <w:i/>
          <w:color w:val="C8A22C"/>
          <w:sz w:val="22"/>
        </w:rPr>
        <w:t>Thursday, April 9, 2026  •  Pre-Market Edition  •  9:30 AM EST</w:t>
      </w:r>
    </w:p>
    <w:p>
      <w:pPr>
        <w:pBdr>
          <w:bottom w:val="single" w:sz="12" w:color="C8A22C"/>
        </w:pBdr>
      </w:pPr>
      <w:r>
        <w:rPr>
          <w:b/>
          <w:color w:val="0A1F44"/>
          <w:sz w:val="28"/>
        </w:rPr>
        <w:t>THE MORNING SETUP</w:t>
      </w:r>
    </w:p>
    <w:p>
      <w:pPr>
        <w:spacing w:after="120"/>
      </w:pPr>
      <w:r>
        <w:t>Good morning. Markets enter Thursday's session in an uneasy truce, mirroring the one President Trump brokered between the United States and Iran barely 48 hours ago. The S&amp;P 500 ripped 2.5% higher Wednesday — its best session in six weeks — as WTI crude collapsed 17% to $93, Treasury yields tumbled ten basis points, and the VIX cratered from the mid-30s back toward a 20-handle. But the celebration was short-lived. Overnight, Iran's parliament speaker declared the ceasefire 'unreasonable' and accused Washington of violating three of Tehran's ten conditions, sending futures lower, crude back toward $99, and airline stocks into the red before the bell. Layer on this morning's 8:30 jobless-claims print, a fresh reading on wholesale inventories, two Fed speakers, and Delta's Q1 earnings — already out and beating — and you have a session where every tick of the oil tape will matter more than any data release. The question for the tape today is simple: was Wednesday's relief rally the start of a durable risk-on impulse, or a bull trap painted over a geopolitical fault line?</w:t>
      </w:r>
    </w:p>
    <w:p>
      <w:pPr>
        <w:pBdr>
          <w:bottom w:val="single" w:sz="12" w:color="C8A22C"/>
        </w:pBdr>
      </w:pPr>
      <w:r>
        <w:rPr>
          <w:b/>
          <w:color w:val="0A1F44"/>
          <w:sz w:val="28"/>
        </w:rPr>
        <w:t>MARKETS AT A GLANCE</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fill="0A1F44"/>
          </w:tcPr>
          <w:p>
            <w:r>
              <w:rPr>
                <w:b/>
                <w:color w:val="FFFFFF"/>
                <w:sz w:val="18"/>
              </w:rPr>
              <w:t>Asset</w:t>
            </w:r>
          </w:p>
        </w:tc>
        <w:tc>
          <w:tcPr>
            <w:tcW w:type="dxa" w:w="2484"/>
            <w:shd w:fill="0A1F44"/>
          </w:tcPr>
          <w:p>
            <w:r>
              <w:rPr>
                <w:b/>
                <w:color w:val="FFFFFF"/>
                <w:sz w:val="18"/>
              </w:rPr>
              <w:t>Level</w:t>
            </w:r>
          </w:p>
        </w:tc>
        <w:tc>
          <w:tcPr>
            <w:tcW w:type="dxa" w:w="2484"/>
            <w:shd w:fill="0A1F44"/>
          </w:tcPr>
          <w:p>
            <w:r>
              <w:rPr>
                <w:b/>
                <w:color w:val="FFFFFF"/>
                <w:sz w:val="18"/>
              </w:rPr>
              <w:t>Change</w:t>
            </w:r>
          </w:p>
        </w:tc>
        <w:tc>
          <w:tcPr>
            <w:tcW w:type="dxa" w:w="2484"/>
            <w:shd w:fill="0A1F44"/>
          </w:tcPr>
          <w:p>
            <w:r>
              <w:rPr>
                <w:b/>
                <w:color w:val="FFFFFF"/>
                <w:sz w:val="18"/>
              </w:rPr>
              <w:t>Notes</w:t>
            </w:r>
          </w:p>
        </w:tc>
      </w:tr>
      <w:tr>
        <w:tc>
          <w:tcPr>
            <w:tcW w:type="dxa" w:w="2484"/>
          </w:tcPr>
          <w:p>
            <w:r>
              <w:rPr>
                <w:sz w:val="18"/>
              </w:rPr>
              <w:t>S&amp;P 500 Futures</w:t>
            </w:r>
          </w:p>
        </w:tc>
        <w:tc>
          <w:tcPr>
            <w:tcW w:type="dxa" w:w="2484"/>
          </w:tcPr>
          <w:p>
            <w:r>
              <w:rPr>
                <w:sz w:val="18"/>
              </w:rPr>
              <w:t>5,412.25</w:t>
            </w:r>
          </w:p>
        </w:tc>
        <w:tc>
          <w:tcPr>
            <w:tcW w:type="dxa" w:w="2484"/>
          </w:tcPr>
          <w:p>
            <w:r>
              <w:rPr>
                <w:color w:val="B31B1B"/>
                <w:sz w:val="18"/>
              </w:rPr>
              <w:t>-0.68%</w:t>
            </w:r>
          </w:p>
        </w:tc>
        <w:tc>
          <w:tcPr>
            <w:tcW w:type="dxa" w:w="2484"/>
          </w:tcPr>
          <w:p>
            <w:r>
              <w:rPr>
                <w:sz w:val="18"/>
              </w:rPr>
              <w:t>Giving back a slice of Wed rally</w:t>
            </w:r>
          </w:p>
        </w:tc>
      </w:tr>
      <w:tr>
        <w:tc>
          <w:tcPr>
            <w:tcW w:type="dxa" w:w="2484"/>
          </w:tcPr>
          <w:p>
            <w:r>
              <w:rPr>
                <w:sz w:val="18"/>
              </w:rPr>
              <w:t>Nasdaq 100 Futures</w:t>
            </w:r>
          </w:p>
        </w:tc>
        <w:tc>
          <w:tcPr>
            <w:tcW w:type="dxa" w:w="2484"/>
          </w:tcPr>
          <w:p>
            <w:r>
              <w:rPr>
                <w:sz w:val="18"/>
              </w:rPr>
              <w:t>18,847</w:t>
            </w:r>
          </w:p>
        </w:tc>
        <w:tc>
          <w:tcPr>
            <w:tcW w:type="dxa" w:w="2484"/>
          </w:tcPr>
          <w:p>
            <w:r>
              <w:rPr>
                <w:color w:val="B31B1B"/>
                <w:sz w:val="18"/>
              </w:rPr>
              <w:t>-0.82%</w:t>
            </w:r>
          </w:p>
        </w:tc>
        <w:tc>
          <w:tcPr>
            <w:tcW w:type="dxa" w:w="2484"/>
          </w:tcPr>
          <w:p>
            <w:r>
              <w:rPr>
                <w:sz w:val="18"/>
              </w:rPr>
              <w:t>Mega-cap tech leads decline</w:t>
            </w:r>
          </w:p>
        </w:tc>
      </w:tr>
      <w:tr>
        <w:tc>
          <w:tcPr>
            <w:tcW w:type="dxa" w:w="2484"/>
          </w:tcPr>
          <w:p>
            <w:r>
              <w:rPr>
                <w:sz w:val="18"/>
              </w:rPr>
              <w:t>Dow Futures</w:t>
            </w:r>
          </w:p>
        </w:tc>
        <w:tc>
          <w:tcPr>
            <w:tcW w:type="dxa" w:w="2484"/>
          </w:tcPr>
          <w:p>
            <w:r>
              <w:rPr>
                <w:sz w:val="18"/>
              </w:rPr>
              <w:t>40,118</w:t>
            </w:r>
          </w:p>
        </w:tc>
        <w:tc>
          <w:tcPr>
            <w:tcW w:type="dxa" w:w="2484"/>
          </w:tcPr>
          <w:p>
            <w:r>
              <w:rPr>
                <w:color w:val="B31B1B"/>
                <w:sz w:val="18"/>
              </w:rPr>
              <w:t>-0.51%</w:t>
            </w:r>
          </w:p>
        </w:tc>
        <w:tc>
          <w:tcPr>
            <w:tcW w:type="dxa" w:w="2484"/>
          </w:tcPr>
          <w:p>
            <w:r>
              <w:rPr>
                <w:sz w:val="18"/>
              </w:rPr>
              <w:t>Airlines, energy drag</w:t>
            </w:r>
          </w:p>
        </w:tc>
      </w:tr>
      <w:tr>
        <w:tc>
          <w:tcPr>
            <w:tcW w:type="dxa" w:w="2484"/>
          </w:tcPr>
          <w:p>
            <w:r>
              <w:rPr>
                <w:sz w:val="18"/>
              </w:rPr>
              <w:t>Russell 2000 Futures</w:t>
            </w:r>
          </w:p>
        </w:tc>
        <w:tc>
          <w:tcPr>
            <w:tcW w:type="dxa" w:w="2484"/>
          </w:tcPr>
          <w:p>
            <w:r>
              <w:rPr>
                <w:sz w:val="18"/>
              </w:rPr>
              <w:t>2,014</w:t>
            </w:r>
          </w:p>
        </w:tc>
        <w:tc>
          <w:tcPr>
            <w:tcW w:type="dxa" w:w="2484"/>
          </w:tcPr>
          <w:p>
            <w:r>
              <w:rPr>
                <w:color w:val="B31B1B"/>
                <w:sz w:val="18"/>
              </w:rPr>
              <w:t>-0.44%</w:t>
            </w:r>
          </w:p>
        </w:tc>
        <w:tc>
          <w:tcPr>
            <w:tcW w:type="dxa" w:w="2484"/>
          </w:tcPr>
          <w:p>
            <w:r>
              <w:rPr>
                <w:sz w:val="18"/>
              </w:rPr>
              <w:t>Small caps more resilient</w:t>
            </w:r>
          </w:p>
        </w:tc>
      </w:tr>
      <w:tr>
        <w:tc>
          <w:tcPr>
            <w:tcW w:type="dxa" w:w="2484"/>
          </w:tcPr>
          <w:p>
            <w:r>
              <w:rPr>
                <w:sz w:val="18"/>
              </w:rPr>
              <w:t>S&amp;P 500 (prior close)</w:t>
            </w:r>
          </w:p>
        </w:tc>
        <w:tc>
          <w:tcPr>
            <w:tcW w:type="dxa" w:w="2484"/>
          </w:tcPr>
          <w:p>
            <w:r>
              <w:rPr>
                <w:sz w:val="18"/>
              </w:rPr>
              <w:t>5,449.13</w:t>
            </w:r>
          </w:p>
        </w:tc>
        <w:tc>
          <w:tcPr>
            <w:tcW w:type="dxa" w:w="2484"/>
          </w:tcPr>
          <w:p>
            <w:r>
              <w:rPr>
                <w:color w:val="0B6B3A"/>
                <w:sz w:val="18"/>
              </w:rPr>
              <w:t>+2.50%</w:t>
            </w:r>
          </w:p>
        </w:tc>
        <w:tc>
          <w:tcPr>
            <w:tcW w:type="dxa" w:w="2484"/>
          </w:tcPr>
          <w:p>
            <w:r>
              <w:rPr>
                <w:sz w:val="18"/>
              </w:rPr>
              <w:t>Best day since late Feb</w:t>
            </w:r>
          </w:p>
        </w:tc>
      </w:tr>
      <w:tr>
        <w:tc>
          <w:tcPr>
            <w:tcW w:type="dxa" w:w="2484"/>
          </w:tcPr>
          <w:p>
            <w:r>
              <w:rPr>
                <w:sz w:val="18"/>
              </w:rPr>
              <w:t>Nasdaq Comp (prior)</w:t>
            </w:r>
          </w:p>
        </w:tc>
        <w:tc>
          <w:tcPr>
            <w:tcW w:type="dxa" w:w="2484"/>
          </w:tcPr>
          <w:p>
            <w:r>
              <w:rPr>
                <w:sz w:val="18"/>
              </w:rPr>
              <w:t>17,512</w:t>
            </w:r>
          </w:p>
        </w:tc>
        <w:tc>
          <w:tcPr>
            <w:tcW w:type="dxa" w:w="2484"/>
          </w:tcPr>
          <w:p>
            <w:r>
              <w:rPr>
                <w:color w:val="0B6B3A"/>
                <w:sz w:val="18"/>
              </w:rPr>
              <w:t>+2.78%</w:t>
            </w:r>
          </w:p>
        </w:tc>
        <w:tc>
          <w:tcPr>
            <w:tcW w:type="dxa" w:w="2484"/>
          </w:tcPr>
          <w:p>
            <w:r>
              <w:rPr>
                <w:sz w:val="18"/>
              </w:rPr>
              <w:t>Semis led</w:t>
            </w:r>
          </w:p>
        </w:tc>
      </w:tr>
      <w:tr>
        <w:tc>
          <w:tcPr>
            <w:tcW w:type="dxa" w:w="2484"/>
          </w:tcPr>
          <w:p>
            <w:r>
              <w:rPr>
                <w:sz w:val="18"/>
              </w:rPr>
              <w:t>Dow (prior)</w:t>
            </w:r>
          </w:p>
        </w:tc>
        <w:tc>
          <w:tcPr>
            <w:tcW w:type="dxa" w:w="2484"/>
          </w:tcPr>
          <w:p>
            <w:r>
              <w:rPr>
                <w:sz w:val="18"/>
              </w:rPr>
              <w:t>40,323</w:t>
            </w:r>
          </w:p>
        </w:tc>
        <w:tc>
          <w:tcPr>
            <w:tcW w:type="dxa" w:w="2484"/>
          </w:tcPr>
          <w:p>
            <w:r>
              <w:rPr>
                <w:color w:val="0B6B3A"/>
                <w:sz w:val="18"/>
              </w:rPr>
              <w:t>+2.96%</w:t>
            </w:r>
          </w:p>
        </w:tc>
        <w:tc>
          <w:tcPr>
            <w:tcW w:type="dxa" w:w="2484"/>
          </w:tcPr>
          <w:p>
            <w:r>
              <w:rPr>
                <w:sz w:val="18"/>
              </w:rPr>
              <w:t>+1,160 pts</w:t>
            </w:r>
          </w:p>
        </w:tc>
      </w:tr>
      <w:tr>
        <w:tc>
          <w:tcPr>
            <w:tcW w:type="dxa" w:w="2484"/>
          </w:tcPr>
          <w:p>
            <w:r>
              <w:rPr>
                <w:sz w:val="18"/>
              </w:rPr>
              <w:t>VIX</w:t>
            </w:r>
          </w:p>
        </w:tc>
        <w:tc>
          <w:tcPr>
            <w:tcW w:type="dxa" w:w="2484"/>
          </w:tcPr>
          <w:p>
            <w:r>
              <w:rPr>
                <w:sz w:val="18"/>
              </w:rPr>
              <w:t>21.4</w:t>
            </w:r>
          </w:p>
        </w:tc>
        <w:tc>
          <w:tcPr>
            <w:tcW w:type="dxa" w:w="2484"/>
          </w:tcPr>
          <w:p>
            <w:r>
              <w:rPr>
                <w:color w:val="B31B1B"/>
                <w:sz w:val="18"/>
              </w:rPr>
              <w:t>-32% (Wed)</w:t>
            </w:r>
          </w:p>
        </w:tc>
        <w:tc>
          <w:tcPr>
            <w:tcW w:type="dxa" w:w="2484"/>
          </w:tcPr>
          <w:p>
            <w:r>
              <w:rPr>
                <w:sz w:val="18"/>
              </w:rPr>
              <w:t>Still elevated vs. 30Y avg</w:t>
            </w:r>
          </w:p>
        </w:tc>
      </w:tr>
      <w:tr>
        <w:tc>
          <w:tcPr>
            <w:tcW w:type="dxa" w:w="2484"/>
          </w:tcPr>
          <w:p>
            <w:r>
              <w:rPr>
                <w:sz w:val="18"/>
              </w:rPr>
              <w:t>Nikkei 225</w:t>
            </w:r>
          </w:p>
        </w:tc>
        <w:tc>
          <w:tcPr>
            <w:tcW w:type="dxa" w:w="2484"/>
          </w:tcPr>
          <w:p>
            <w:r>
              <w:rPr>
                <w:sz w:val="18"/>
              </w:rPr>
              <w:t>38,214</w:t>
            </w:r>
          </w:p>
        </w:tc>
        <w:tc>
          <w:tcPr>
            <w:tcW w:type="dxa" w:w="2484"/>
          </w:tcPr>
          <w:p>
            <w:r>
              <w:rPr>
                <w:color w:val="0B6B3A"/>
                <w:sz w:val="18"/>
              </w:rPr>
              <w:t>+1.82%</w:t>
            </w:r>
          </w:p>
        </w:tc>
        <w:tc>
          <w:tcPr>
            <w:tcW w:type="dxa" w:w="2484"/>
          </w:tcPr>
          <w:p>
            <w:r>
              <w:rPr>
                <w:sz w:val="18"/>
              </w:rPr>
              <w:t>Caught up with US rally</w:t>
            </w:r>
          </w:p>
        </w:tc>
      </w:tr>
      <w:tr>
        <w:tc>
          <w:tcPr>
            <w:tcW w:type="dxa" w:w="2484"/>
          </w:tcPr>
          <w:p>
            <w:r>
              <w:rPr>
                <w:sz w:val="18"/>
              </w:rPr>
              <w:t>Hang Seng</w:t>
            </w:r>
          </w:p>
        </w:tc>
        <w:tc>
          <w:tcPr>
            <w:tcW w:type="dxa" w:w="2484"/>
          </w:tcPr>
          <w:p>
            <w:r>
              <w:rPr>
                <w:sz w:val="18"/>
              </w:rPr>
              <w:t>16,988</w:t>
            </w:r>
          </w:p>
        </w:tc>
        <w:tc>
          <w:tcPr>
            <w:tcW w:type="dxa" w:w="2484"/>
          </w:tcPr>
          <w:p>
            <w:r>
              <w:rPr>
                <w:color w:val="0B6B3A"/>
                <w:sz w:val="18"/>
              </w:rPr>
              <w:t>+0.74%</w:t>
            </w:r>
          </w:p>
        </w:tc>
        <w:tc>
          <w:tcPr>
            <w:tcW w:type="dxa" w:w="2484"/>
          </w:tcPr>
          <w:p>
            <w:r>
              <w:rPr>
                <w:sz w:val="18"/>
              </w:rPr>
              <w:t>Tech strength</w:t>
            </w:r>
          </w:p>
        </w:tc>
      </w:tr>
      <w:tr>
        <w:tc>
          <w:tcPr>
            <w:tcW w:type="dxa" w:w="2484"/>
          </w:tcPr>
          <w:p>
            <w:r>
              <w:rPr>
                <w:sz w:val="18"/>
              </w:rPr>
              <w:t>Shanghai Composite</w:t>
            </w:r>
          </w:p>
        </w:tc>
        <w:tc>
          <w:tcPr>
            <w:tcW w:type="dxa" w:w="2484"/>
          </w:tcPr>
          <w:p>
            <w:r>
              <w:rPr>
                <w:sz w:val="18"/>
              </w:rPr>
              <w:t>3,072</w:t>
            </w:r>
          </w:p>
        </w:tc>
        <w:tc>
          <w:tcPr>
            <w:tcW w:type="dxa" w:w="2484"/>
          </w:tcPr>
          <w:p>
            <w:r>
              <w:rPr>
                <w:color w:val="0B6B3A"/>
                <w:sz w:val="18"/>
              </w:rPr>
              <w:t>+0.31%</w:t>
            </w:r>
          </w:p>
        </w:tc>
        <w:tc>
          <w:tcPr>
            <w:tcW w:type="dxa" w:w="2484"/>
          </w:tcPr>
          <w:p>
            <w:r>
              <w:rPr>
                <w:sz w:val="18"/>
              </w:rPr>
              <w:t>Muted</w:t>
            </w:r>
          </w:p>
        </w:tc>
      </w:tr>
      <w:tr>
        <w:tc>
          <w:tcPr>
            <w:tcW w:type="dxa" w:w="2484"/>
          </w:tcPr>
          <w:p>
            <w:r>
              <w:rPr>
                <w:sz w:val="18"/>
              </w:rPr>
              <w:t>Kospi</w:t>
            </w:r>
          </w:p>
        </w:tc>
        <w:tc>
          <w:tcPr>
            <w:tcW w:type="dxa" w:w="2484"/>
          </w:tcPr>
          <w:p>
            <w:r>
              <w:rPr>
                <w:sz w:val="18"/>
              </w:rPr>
              <w:t>2,641</w:t>
            </w:r>
          </w:p>
        </w:tc>
        <w:tc>
          <w:tcPr>
            <w:tcW w:type="dxa" w:w="2484"/>
          </w:tcPr>
          <w:p>
            <w:r>
              <w:rPr>
                <w:color w:val="0B6B3A"/>
                <w:sz w:val="18"/>
              </w:rPr>
              <w:t>+1.10%</w:t>
            </w:r>
          </w:p>
        </w:tc>
        <w:tc>
          <w:tcPr>
            <w:tcW w:type="dxa" w:w="2484"/>
          </w:tcPr>
          <w:p>
            <w:r>
              <w:rPr>
                <w:sz w:val="18"/>
              </w:rPr>
              <w:t>Samsung drag</w:t>
            </w:r>
          </w:p>
        </w:tc>
      </w:tr>
      <w:tr>
        <w:tc>
          <w:tcPr>
            <w:tcW w:type="dxa" w:w="2484"/>
          </w:tcPr>
          <w:p>
            <w:r>
              <w:rPr>
                <w:sz w:val="18"/>
              </w:rPr>
              <w:t>ASX 200</w:t>
            </w:r>
          </w:p>
        </w:tc>
        <w:tc>
          <w:tcPr>
            <w:tcW w:type="dxa" w:w="2484"/>
          </w:tcPr>
          <w:p>
            <w:r>
              <w:rPr>
                <w:sz w:val="18"/>
              </w:rPr>
              <w:t>7,814</w:t>
            </w:r>
          </w:p>
        </w:tc>
        <w:tc>
          <w:tcPr>
            <w:tcW w:type="dxa" w:w="2484"/>
          </w:tcPr>
          <w:p>
            <w:r>
              <w:rPr>
                <w:color w:val="0B6B3A"/>
                <w:sz w:val="18"/>
              </w:rPr>
              <w:t>+0.88%</w:t>
            </w:r>
          </w:p>
        </w:tc>
        <w:tc>
          <w:tcPr>
            <w:tcW w:type="dxa" w:w="2484"/>
          </w:tcPr>
          <w:p>
            <w:r>
              <w:rPr>
                <w:sz w:val="18"/>
              </w:rPr>
              <w:t>Energy heavy</w:t>
            </w:r>
          </w:p>
        </w:tc>
      </w:tr>
      <w:tr>
        <w:tc>
          <w:tcPr>
            <w:tcW w:type="dxa" w:w="2484"/>
          </w:tcPr>
          <w:p>
            <w:r>
              <w:rPr>
                <w:sz w:val="18"/>
              </w:rPr>
              <w:t>FTSE 100</w:t>
            </w:r>
          </w:p>
        </w:tc>
        <w:tc>
          <w:tcPr>
            <w:tcW w:type="dxa" w:w="2484"/>
          </w:tcPr>
          <w:p>
            <w:r>
              <w:rPr>
                <w:sz w:val="18"/>
              </w:rPr>
              <w:t>8,024</w:t>
            </w:r>
          </w:p>
        </w:tc>
        <w:tc>
          <w:tcPr>
            <w:tcW w:type="dxa" w:w="2484"/>
          </w:tcPr>
          <w:p>
            <w:r>
              <w:rPr>
                <w:color w:val="B31B1B"/>
                <w:sz w:val="18"/>
              </w:rPr>
              <w:t>-0.35%</w:t>
            </w:r>
          </w:p>
        </w:tc>
        <w:tc>
          <w:tcPr>
            <w:tcW w:type="dxa" w:w="2484"/>
          </w:tcPr>
          <w:p>
            <w:r>
              <w:rPr>
                <w:sz w:val="18"/>
              </w:rPr>
              <w:t>BP, Shell lower</w:t>
            </w:r>
          </w:p>
        </w:tc>
      </w:tr>
      <w:tr>
        <w:tc>
          <w:tcPr>
            <w:tcW w:type="dxa" w:w="2484"/>
          </w:tcPr>
          <w:p>
            <w:r>
              <w:rPr>
                <w:sz w:val="18"/>
              </w:rPr>
              <w:t>DAX</w:t>
            </w:r>
          </w:p>
        </w:tc>
        <w:tc>
          <w:tcPr>
            <w:tcW w:type="dxa" w:w="2484"/>
          </w:tcPr>
          <w:p>
            <w:r>
              <w:rPr>
                <w:sz w:val="18"/>
              </w:rPr>
              <w:t>18,112</w:t>
            </w:r>
          </w:p>
        </w:tc>
        <w:tc>
          <w:tcPr>
            <w:tcW w:type="dxa" w:w="2484"/>
          </w:tcPr>
          <w:p>
            <w:r>
              <w:rPr>
                <w:color w:val="B31B1B"/>
                <w:sz w:val="18"/>
              </w:rPr>
              <w:t>-0.62%</w:t>
            </w:r>
          </w:p>
        </w:tc>
        <w:tc>
          <w:tcPr>
            <w:tcW w:type="dxa" w:w="2484"/>
          </w:tcPr>
          <w:p>
            <w:r>
              <w:rPr>
                <w:sz w:val="18"/>
              </w:rPr>
              <w:t>Autos weak</w:t>
            </w:r>
          </w:p>
        </w:tc>
      </w:tr>
      <w:tr>
        <w:tc>
          <w:tcPr>
            <w:tcW w:type="dxa" w:w="2484"/>
          </w:tcPr>
          <w:p>
            <w:r>
              <w:rPr>
                <w:sz w:val="18"/>
              </w:rPr>
              <w:t>CAC 40</w:t>
            </w:r>
          </w:p>
        </w:tc>
        <w:tc>
          <w:tcPr>
            <w:tcW w:type="dxa" w:w="2484"/>
          </w:tcPr>
          <w:p>
            <w:r>
              <w:rPr>
                <w:sz w:val="18"/>
              </w:rPr>
              <w:t>8,044</w:t>
            </w:r>
          </w:p>
        </w:tc>
        <w:tc>
          <w:tcPr>
            <w:tcW w:type="dxa" w:w="2484"/>
          </w:tcPr>
          <w:p>
            <w:r>
              <w:rPr>
                <w:color w:val="B31B1B"/>
                <w:sz w:val="18"/>
              </w:rPr>
              <w:t>-0.55%</w:t>
            </w:r>
          </w:p>
        </w:tc>
        <w:tc>
          <w:tcPr>
            <w:tcW w:type="dxa" w:w="2484"/>
          </w:tcPr>
          <w:p>
            <w:r>
              <w:rPr>
                <w:sz w:val="18"/>
              </w:rPr>
              <w:t>LVMH soft</w:t>
            </w:r>
          </w:p>
        </w:tc>
      </w:tr>
      <w:tr>
        <w:tc>
          <w:tcPr>
            <w:tcW w:type="dxa" w:w="2484"/>
          </w:tcPr>
          <w:p>
            <w:r>
              <w:rPr>
                <w:sz w:val="18"/>
              </w:rPr>
              <w:t>Euro Stoxx 50</w:t>
            </w:r>
          </w:p>
        </w:tc>
        <w:tc>
          <w:tcPr>
            <w:tcW w:type="dxa" w:w="2484"/>
          </w:tcPr>
          <w:p>
            <w:r>
              <w:rPr>
                <w:sz w:val="18"/>
              </w:rPr>
              <w:t>5,014</w:t>
            </w:r>
          </w:p>
        </w:tc>
        <w:tc>
          <w:tcPr>
            <w:tcW w:type="dxa" w:w="2484"/>
          </w:tcPr>
          <w:p>
            <w:r>
              <w:rPr>
                <w:color w:val="B31B1B"/>
                <w:sz w:val="18"/>
              </w:rPr>
              <w:t>-0.58%</w:t>
            </w:r>
          </w:p>
        </w:tc>
        <w:tc>
          <w:tcPr>
            <w:tcW w:type="dxa" w:w="2484"/>
          </w:tcPr>
          <w:p>
            <w:r>
              <w:rPr>
                <w:sz w:val="18"/>
              </w:rPr>
              <w:t>Risk-off tone</w:t>
            </w:r>
          </w:p>
        </w:tc>
      </w:tr>
      <w:tr>
        <w:tc>
          <w:tcPr>
            <w:tcW w:type="dxa" w:w="2484"/>
          </w:tcPr>
          <w:p>
            <w:r>
              <w:rPr>
                <w:sz w:val="18"/>
              </w:rPr>
              <w:t>US 2Y Yield</w:t>
            </w:r>
          </w:p>
        </w:tc>
        <w:tc>
          <w:tcPr>
            <w:tcW w:type="dxa" w:w="2484"/>
          </w:tcPr>
          <w:p>
            <w:r>
              <w:rPr>
                <w:sz w:val="18"/>
              </w:rPr>
              <w:t>4.62%</w:t>
            </w:r>
          </w:p>
        </w:tc>
        <w:tc>
          <w:tcPr>
            <w:tcW w:type="dxa" w:w="2484"/>
          </w:tcPr>
          <w:p>
            <w:r>
              <w:rPr>
                <w:color w:val="B31B1B"/>
                <w:sz w:val="18"/>
              </w:rPr>
              <w:t>-7 bps</w:t>
            </w:r>
          </w:p>
        </w:tc>
        <w:tc>
          <w:tcPr>
            <w:tcW w:type="dxa" w:w="2484"/>
          </w:tcPr>
          <w:p>
            <w:r>
              <w:rPr>
                <w:sz w:val="18"/>
              </w:rPr>
              <w:t>Flight to quality</w:t>
            </w:r>
          </w:p>
        </w:tc>
      </w:tr>
      <w:tr>
        <w:tc>
          <w:tcPr>
            <w:tcW w:type="dxa" w:w="2484"/>
          </w:tcPr>
          <w:p>
            <w:r>
              <w:rPr>
                <w:sz w:val="18"/>
              </w:rPr>
              <w:t>US 5Y Yield</w:t>
            </w:r>
          </w:p>
        </w:tc>
        <w:tc>
          <w:tcPr>
            <w:tcW w:type="dxa" w:w="2484"/>
          </w:tcPr>
          <w:p>
            <w:r>
              <w:rPr>
                <w:sz w:val="18"/>
              </w:rPr>
              <w:t>4.38%</w:t>
            </w:r>
          </w:p>
        </w:tc>
        <w:tc>
          <w:tcPr>
            <w:tcW w:type="dxa" w:w="2484"/>
          </w:tcPr>
          <w:p>
            <w:r>
              <w:rPr>
                <w:color w:val="B31B1B"/>
                <w:sz w:val="18"/>
              </w:rPr>
              <w:t>-8 bps</w:t>
            </w:r>
          </w:p>
        </w:tc>
        <w:tc>
          <w:tcPr>
            <w:tcW w:type="dxa" w:w="2484"/>
          </w:tcPr>
          <w:p>
            <w:r>
              <w:rPr>
                <w:sz w:val="18"/>
              </w:rPr>
            </w:r>
          </w:p>
        </w:tc>
      </w:tr>
      <w:tr>
        <w:tc>
          <w:tcPr>
            <w:tcW w:type="dxa" w:w="2484"/>
          </w:tcPr>
          <w:p>
            <w:r>
              <w:rPr>
                <w:sz w:val="18"/>
              </w:rPr>
              <w:t>US 10Y Yield</w:t>
            </w:r>
          </w:p>
        </w:tc>
        <w:tc>
          <w:tcPr>
            <w:tcW w:type="dxa" w:w="2484"/>
          </w:tcPr>
          <w:p>
            <w:r>
              <w:rPr>
                <w:sz w:val="18"/>
              </w:rPr>
              <w:t>4.31%</w:t>
            </w:r>
          </w:p>
        </w:tc>
        <w:tc>
          <w:tcPr>
            <w:tcW w:type="dxa" w:w="2484"/>
          </w:tcPr>
          <w:p>
            <w:r>
              <w:rPr>
                <w:color w:val="B31B1B"/>
                <w:sz w:val="18"/>
              </w:rPr>
              <w:t>-10 bps</w:t>
            </w:r>
          </w:p>
        </w:tc>
        <w:tc>
          <w:tcPr>
            <w:tcW w:type="dxa" w:w="2484"/>
          </w:tcPr>
          <w:p>
            <w:r>
              <w:rPr>
                <w:sz w:val="18"/>
              </w:rPr>
              <w:t>Demand into supply</w:t>
            </w:r>
          </w:p>
        </w:tc>
      </w:tr>
      <w:tr>
        <w:tc>
          <w:tcPr>
            <w:tcW w:type="dxa" w:w="2484"/>
          </w:tcPr>
          <w:p>
            <w:r>
              <w:rPr>
                <w:sz w:val="18"/>
              </w:rPr>
              <w:t>US 30Y Yield</w:t>
            </w:r>
          </w:p>
        </w:tc>
        <w:tc>
          <w:tcPr>
            <w:tcW w:type="dxa" w:w="2484"/>
          </w:tcPr>
          <w:p>
            <w:r>
              <w:rPr>
                <w:sz w:val="18"/>
              </w:rPr>
              <w:t>4.52%</w:t>
            </w:r>
          </w:p>
        </w:tc>
        <w:tc>
          <w:tcPr>
            <w:tcW w:type="dxa" w:w="2484"/>
          </w:tcPr>
          <w:p>
            <w:r>
              <w:rPr>
                <w:color w:val="B31B1B"/>
                <w:sz w:val="18"/>
              </w:rPr>
              <w:t>-9 bps</w:t>
            </w:r>
          </w:p>
        </w:tc>
        <w:tc>
          <w:tcPr>
            <w:tcW w:type="dxa" w:w="2484"/>
          </w:tcPr>
          <w:p>
            <w:r>
              <w:rPr>
                <w:sz w:val="18"/>
              </w:rPr>
            </w:r>
          </w:p>
        </w:tc>
      </w:tr>
      <w:tr>
        <w:tc>
          <w:tcPr>
            <w:tcW w:type="dxa" w:w="2484"/>
          </w:tcPr>
          <w:p>
            <w:r>
              <w:rPr>
                <w:sz w:val="18"/>
              </w:rPr>
              <w:t>Curve 2s10s</w:t>
            </w:r>
          </w:p>
        </w:tc>
        <w:tc>
          <w:tcPr>
            <w:tcW w:type="dxa" w:w="2484"/>
          </w:tcPr>
          <w:p>
            <w:r>
              <w:rPr>
                <w:sz w:val="18"/>
              </w:rPr>
              <w:t>-31 bp</w:t>
            </w:r>
          </w:p>
        </w:tc>
        <w:tc>
          <w:tcPr>
            <w:tcW w:type="dxa" w:w="2484"/>
          </w:tcPr>
          <w:p>
            <w:r>
              <w:rPr>
                <w:sz w:val="18"/>
              </w:rPr>
              <w:t>Less inverted</w:t>
            </w:r>
          </w:p>
        </w:tc>
        <w:tc>
          <w:tcPr>
            <w:tcW w:type="dxa" w:w="2484"/>
          </w:tcPr>
          <w:p>
            <w:r>
              <w:rPr>
                <w:sz w:val="18"/>
              </w:rPr>
              <w:t>Bull-flattened</w:t>
            </w:r>
          </w:p>
        </w:tc>
      </w:tr>
      <w:tr>
        <w:tc>
          <w:tcPr>
            <w:tcW w:type="dxa" w:w="2484"/>
          </w:tcPr>
          <w:p>
            <w:r>
              <w:rPr>
                <w:sz w:val="18"/>
              </w:rPr>
              <w:t>DXY</w:t>
            </w:r>
          </w:p>
        </w:tc>
        <w:tc>
          <w:tcPr>
            <w:tcW w:type="dxa" w:w="2484"/>
          </w:tcPr>
          <w:p>
            <w:r>
              <w:rPr>
                <w:sz w:val="18"/>
              </w:rPr>
              <w:t>104.82</w:t>
            </w:r>
          </w:p>
        </w:tc>
        <w:tc>
          <w:tcPr>
            <w:tcW w:type="dxa" w:w="2484"/>
          </w:tcPr>
          <w:p>
            <w:r>
              <w:rPr>
                <w:color w:val="B31B1B"/>
                <w:sz w:val="18"/>
              </w:rPr>
              <w:t>-0.22%</w:t>
            </w:r>
          </w:p>
        </w:tc>
        <w:tc>
          <w:tcPr>
            <w:tcW w:type="dxa" w:w="2484"/>
          </w:tcPr>
          <w:p>
            <w:r>
              <w:rPr>
                <w:sz w:val="18"/>
              </w:rPr>
              <w:t>Dollar softer</w:t>
            </w:r>
          </w:p>
        </w:tc>
      </w:tr>
      <w:tr>
        <w:tc>
          <w:tcPr>
            <w:tcW w:type="dxa" w:w="2484"/>
          </w:tcPr>
          <w:p>
            <w:r>
              <w:rPr>
                <w:sz w:val="18"/>
              </w:rPr>
              <w:t>EUR/USD</w:t>
            </w:r>
          </w:p>
        </w:tc>
        <w:tc>
          <w:tcPr>
            <w:tcW w:type="dxa" w:w="2484"/>
          </w:tcPr>
          <w:p>
            <w:r>
              <w:rPr>
                <w:sz w:val="18"/>
              </w:rPr>
              <w:t>1.0912</w:t>
            </w:r>
          </w:p>
        </w:tc>
        <w:tc>
          <w:tcPr>
            <w:tcW w:type="dxa" w:w="2484"/>
          </w:tcPr>
          <w:p>
            <w:r>
              <w:rPr>
                <w:color w:val="0B6B3A"/>
                <w:sz w:val="18"/>
              </w:rPr>
              <w:t>+0.30%</w:t>
            </w:r>
          </w:p>
        </w:tc>
        <w:tc>
          <w:tcPr>
            <w:tcW w:type="dxa" w:w="2484"/>
          </w:tcPr>
          <w:p>
            <w:r>
              <w:rPr>
                <w:sz w:val="18"/>
              </w:rPr>
            </w:r>
          </w:p>
        </w:tc>
      </w:tr>
      <w:tr>
        <w:tc>
          <w:tcPr>
            <w:tcW w:type="dxa" w:w="2484"/>
          </w:tcPr>
          <w:p>
            <w:r>
              <w:rPr>
                <w:sz w:val="18"/>
              </w:rPr>
              <w:t>GBP/USD</w:t>
            </w:r>
          </w:p>
        </w:tc>
        <w:tc>
          <w:tcPr>
            <w:tcW w:type="dxa" w:w="2484"/>
          </w:tcPr>
          <w:p>
            <w:r>
              <w:rPr>
                <w:sz w:val="18"/>
              </w:rPr>
              <w:t>1.2764</w:t>
            </w:r>
          </w:p>
        </w:tc>
        <w:tc>
          <w:tcPr>
            <w:tcW w:type="dxa" w:w="2484"/>
          </w:tcPr>
          <w:p>
            <w:r>
              <w:rPr>
                <w:color w:val="0B6B3A"/>
                <w:sz w:val="18"/>
              </w:rPr>
              <w:t>+0.24%</w:t>
            </w:r>
          </w:p>
        </w:tc>
        <w:tc>
          <w:tcPr>
            <w:tcW w:type="dxa" w:w="2484"/>
          </w:tcPr>
          <w:p>
            <w:r>
              <w:rPr>
                <w:sz w:val="18"/>
              </w:rPr>
            </w:r>
          </w:p>
        </w:tc>
      </w:tr>
      <w:tr>
        <w:tc>
          <w:tcPr>
            <w:tcW w:type="dxa" w:w="2484"/>
          </w:tcPr>
          <w:p>
            <w:r>
              <w:rPr>
                <w:sz w:val="18"/>
              </w:rPr>
              <w:t>USD/JPY</w:t>
            </w:r>
          </w:p>
        </w:tc>
        <w:tc>
          <w:tcPr>
            <w:tcW w:type="dxa" w:w="2484"/>
          </w:tcPr>
          <w:p>
            <w:r>
              <w:rPr>
                <w:sz w:val="18"/>
              </w:rPr>
              <w:t>152.10</w:t>
            </w:r>
          </w:p>
        </w:tc>
        <w:tc>
          <w:tcPr>
            <w:tcW w:type="dxa" w:w="2484"/>
          </w:tcPr>
          <w:p>
            <w:r>
              <w:rPr>
                <w:color w:val="B31B1B"/>
                <w:sz w:val="18"/>
              </w:rPr>
              <w:t>-0.41%</w:t>
            </w:r>
          </w:p>
        </w:tc>
        <w:tc>
          <w:tcPr>
            <w:tcW w:type="dxa" w:w="2484"/>
          </w:tcPr>
          <w:p>
            <w:r>
              <w:rPr>
                <w:sz w:val="18"/>
              </w:rPr>
              <w:t>BoJ jawboning</w:t>
            </w:r>
          </w:p>
        </w:tc>
      </w:tr>
      <w:tr>
        <w:tc>
          <w:tcPr>
            <w:tcW w:type="dxa" w:w="2484"/>
          </w:tcPr>
          <w:p>
            <w:r>
              <w:rPr>
                <w:sz w:val="18"/>
              </w:rPr>
              <w:t>USD/CNY</w:t>
            </w:r>
          </w:p>
        </w:tc>
        <w:tc>
          <w:tcPr>
            <w:tcW w:type="dxa" w:w="2484"/>
          </w:tcPr>
          <w:p>
            <w:r>
              <w:rPr>
                <w:sz w:val="18"/>
              </w:rPr>
              <w:t>7.241</w:t>
            </w:r>
          </w:p>
        </w:tc>
        <w:tc>
          <w:tcPr>
            <w:tcW w:type="dxa" w:w="2484"/>
          </w:tcPr>
          <w:p>
            <w:r>
              <w:rPr>
                <w:color w:val="B31B1B"/>
                <w:sz w:val="18"/>
              </w:rPr>
              <w:t>-0.05%</w:t>
            </w:r>
          </w:p>
        </w:tc>
        <w:tc>
          <w:tcPr>
            <w:tcW w:type="dxa" w:w="2484"/>
          </w:tcPr>
          <w:p>
            <w:r>
              <w:rPr>
                <w:sz w:val="18"/>
              </w:rPr>
              <w:t>PBoC fix steady</w:t>
            </w:r>
          </w:p>
        </w:tc>
      </w:tr>
      <w:tr>
        <w:tc>
          <w:tcPr>
            <w:tcW w:type="dxa" w:w="2484"/>
          </w:tcPr>
          <w:p>
            <w:r>
              <w:rPr>
                <w:sz w:val="18"/>
              </w:rPr>
              <w:t>WTI Crude</w:t>
            </w:r>
          </w:p>
        </w:tc>
        <w:tc>
          <w:tcPr>
            <w:tcW w:type="dxa" w:w="2484"/>
          </w:tcPr>
          <w:p>
            <w:r>
              <w:rPr>
                <w:sz w:val="18"/>
              </w:rPr>
              <w:t>$98.74</w:t>
            </w:r>
          </w:p>
        </w:tc>
        <w:tc>
          <w:tcPr>
            <w:tcW w:type="dxa" w:w="2484"/>
          </w:tcPr>
          <w:p>
            <w:r>
              <w:rPr>
                <w:color w:val="0B6B3A"/>
                <w:sz w:val="18"/>
              </w:rPr>
              <w:t>+5.7%</w:t>
            </w:r>
          </w:p>
        </w:tc>
        <w:tc>
          <w:tcPr>
            <w:tcW w:type="dxa" w:w="2484"/>
          </w:tcPr>
          <w:p>
            <w:r>
              <w:rPr>
                <w:sz w:val="18"/>
              </w:rPr>
              <w:t>Iran rhetoric reverses relief</w:t>
            </w:r>
          </w:p>
        </w:tc>
      </w:tr>
      <w:tr>
        <w:tc>
          <w:tcPr>
            <w:tcW w:type="dxa" w:w="2484"/>
          </w:tcPr>
          <w:p>
            <w:r>
              <w:rPr>
                <w:sz w:val="18"/>
              </w:rPr>
              <w:t>Brent Crude</w:t>
            </w:r>
          </w:p>
        </w:tc>
        <w:tc>
          <w:tcPr>
            <w:tcW w:type="dxa" w:w="2484"/>
          </w:tcPr>
          <w:p>
            <w:r>
              <w:rPr>
                <w:sz w:val="18"/>
              </w:rPr>
              <w:t>$96.90</w:t>
            </w:r>
          </w:p>
        </w:tc>
        <w:tc>
          <w:tcPr>
            <w:tcW w:type="dxa" w:w="2484"/>
          </w:tcPr>
          <w:p>
            <w:r>
              <w:rPr>
                <w:color w:val="0B6B3A"/>
                <w:sz w:val="18"/>
              </w:rPr>
              <w:t>+5.7%</w:t>
            </w:r>
          </w:p>
        </w:tc>
        <w:tc>
          <w:tcPr>
            <w:tcW w:type="dxa" w:w="2484"/>
          </w:tcPr>
          <w:p>
            <w:r>
              <w:rPr>
                <w:sz w:val="18"/>
              </w:rPr>
            </w:r>
          </w:p>
        </w:tc>
      </w:tr>
      <w:tr>
        <w:tc>
          <w:tcPr>
            <w:tcW w:type="dxa" w:w="2484"/>
          </w:tcPr>
          <w:p>
            <w:r>
              <w:rPr>
                <w:sz w:val="18"/>
              </w:rPr>
              <w:t>Natural Gas</w:t>
            </w:r>
          </w:p>
        </w:tc>
        <w:tc>
          <w:tcPr>
            <w:tcW w:type="dxa" w:w="2484"/>
          </w:tcPr>
          <w:p>
            <w:r>
              <w:rPr>
                <w:sz w:val="18"/>
              </w:rPr>
              <w:t>$2.14</w:t>
            </w:r>
          </w:p>
        </w:tc>
        <w:tc>
          <w:tcPr>
            <w:tcW w:type="dxa" w:w="2484"/>
          </w:tcPr>
          <w:p>
            <w:r>
              <w:rPr>
                <w:color w:val="0B6B3A"/>
                <w:sz w:val="18"/>
              </w:rPr>
              <w:t>+1.1%</w:t>
            </w:r>
          </w:p>
        </w:tc>
        <w:tc>
          <w:tcPr>
            <w:tcW w:type="dxa" w:w="2484"/>
          </w:tcPr>
          <w:p>
            <w:r>
              <w:rPr>
                <w:sz w:val="18"/>
              </w:rPr>
            </w:r>
          </w:p>
        </w:tc>
      </w:tr>
      <w:tr>
        <w:tc>
          <w:tcPr>
            <w:tcW w:type="dxa" w:w="2484"/>
          </w:tcPr>
          <w:p>
            <w:r>
              <w:rPr>
                <w:sz w:val="18"/>
              </w:rPr>
              <w:t>Gold</w:t>
            </w:r>
          </w:p>
        </w:tc>
        <w:tc>
          <w:tcPr>
            <w:tcW w:type="dxa" w:w="2484"/>
          </w:tcPr>
          <w:p>
            <w:r>
              <w:rPr>
                <w:sz w:val="18"/>
              </w:rPr>
              <w:t>$2,411</w:t>
            </w:r>
          </w:p>
        </w:tc>
        <w:tc>
          <w:tcPr>
            <w:tcW w:type="dxa" w:w="2484"/>
          </w:tcPr>
          <w:p>
            <w:r>
              <w:rPr>
                <w:color w:val="0B6B3A"/>
                <w:sz w:val="18"/>
              </w:rPr>
              <w:t>+0.9%</w:t>
            </w:r>
          </w:p>
        </w:tc>
        <w:tc>
          <w:tcPr>
            <w:tcW w:type="dxa" w:w="2484"/>
          </w:tcPr>
          <w:p>
            <w:r>
              <w:rPr>
                <w:sz w:val="18"/>
              </w:rPr>
              <w:t>Haven bid returns</w:t>
            </w:r>
          </w:p>
        </w:tc>
      </w:tr>
      <w:tr>
        <w:tc>
          <w:tcPr>
            <w:tcW w:type="dxa" w:w="2484"/>
          </w:tcPr>
          <w:p>
            <w:r>
              <w:rPr>
                <w:sz w:val="18"/>
              </w:rPr>
              <w:t>Silver</w:t>
            </w:r>
          </w:p>
        </w:tc>
        <w:tc>
          <w:tcPr>
            <w:tcW w:type="dxa" w:w="2484"/>
          </w:tcPr>
          <w:p>
            <w:r>
              <w:rPr>
                <w:sz w:val="18"/>
              </w:rPr>
              <w:t>$28.84</w:t>
            </w:r>
          </w:p>
        </w:tc>
        <w:tc>
          <w:tcPr>
            <w:tcW w:type="dxa" w:w="2484"/>
          </w:tcPr>
          <w:p>
            <w:r>
              <w:rPr>
                <w:color w:val="0B6B3A"/>
                <w:sz w:val="18"/>
              </w:rPr>
              <w:t>+0.6%</w:t>
            </w:r>
          </w:p>
        </w:tc>
        <w:tc>
          <w:tcPr>
            <w:tcW w:type="dxa" w:w="2484"/>
          </w:tcPr>
          <w:p>
            <w:r>
              <w:rPr>
                <w:sz w:val="18"/>
              </w:rPr>
            </w:r>
          </w:p>
        </w:tc>
      </w:tr>
      <w:tr>
        <w:tc>
          <w:tcPr>
            <w:tcW w:type="dxa" w:w="2484"/>
          </w:tcPr>
          <w:p>
            <w:r>
              <w:rPr>
                <w:sz w:val="18"/>
              </w:rPr>
              <w:t>Copper</w:t>
            </w:r>
          </w:p>
        </w:tc>
        <w:tc>
          <w:tcPr>
            <w:tcW w:type="dxa" w:w="2484"/>
          </w:tcPr>
          <w:p>
            <w:r>
              <w:rPr>
                <w:sz w:val="18"/>
              </w:rPr>
              <w:t>$4.31</w:t>
            </w:r>
          </w:p>
        </w:tc>
        <w:tc>
          <w:tcPr>
            <w:tcW w:type="dxa" w:w="2484"/>
          </w:tcPr>
          <w:p>
            <w:r>
              <w:rPr>
                <w:color w:val="B31B1B"/>
                <w:sz w:val="18"/>
              </w:rPr>
              <w:t>-0.4%</w:t>
            </w:r>
          </w:p>
        </w:tc>
        <w:tc>
          <w:tcPr>
            <w:tcW w:type="dxa" w:w="2484"/>
          </w:tcPr>
          <w:p>
            <w:r>
              <w:rPr>
                <w:sz w:val="18"/>
              </w:rPr>
              <w:t>Growth jitters</w:t>
            </w:r>
          </w:p>
        </w:tc>
      </w:tr>
      <w:tr>
        <w:tc>
          <w:tcPr>
            <w:tcW w:type="dxa" w:w="2484"/>
          </w:tcPr>
          <w:p>
            <w:r>
              <w:rPr>
                <w:sz w:val="18"/>
              </w:rPr>
              <w:t>Bitcoin</w:t>
            </w:r>
          </w:p>
        </w:tc>
        <w:tc>
          <w:tcPr>
            <w:tcW w:type="dxa" w:w="2484"/>
          </w:tcPr>
          <w:p>
            <w:r>
              <w:rPr>
                <w:sz w:val="18"/>
              </w:rPr>
              <w:t>$70,840</w:t>
            </w:r>
          </w:p>
        </w:tc>
        <w:tc>
          <w:tcPr>
            <w:tcW w:type="dxa" w:w="2484"/>
          </w:tcPr>
          <w:p>
            <w:r>
              <w:rPr>
                <w:color w:val="B31B1B"/>
                <w:sz w:val="18"/>
              </w:rPr>
              <w:t>-1.2%</w:t>
            </w:r>
          </w:p>
        </w:tc>
        <w:tc>
          <w:tcPr>
            <w:tcW w:type="dxa" w:w="2484"/>
          </w:tcPr>
          <w:p>
            <w:r>
              <w:rPr>
                <w:sz w:val="18"/>
              </w:rPr>
              <w:t>Off 3-wk high</w:t>
            </w:r>
          </w:p>
        </w:tc>
      </w:tr>
      <w:tr>
        <w:tc>
          <w:tcPr>
            <w:tcW w:type="dxa" w:w="2484"/>
          </w:tcPr>
          <w:p>
            <w:r>
              <w:rPr>
                <w:sz w:val="18"/>
              </w:rPr>
              <w:t>Ethereum</w:t>
            </w:r>
          </w:p>
        </w:tc>
        <w:tc>
          <w:tcPr>
            <w:tcW w:type="dxa" w:w="2484"/>
          </w:tcPr>
          <w:p>
            <w:r>
              <w:rPr>
                <w:sz w:val="18"/>
              </w:rPr>
              <w:t>$3,612</w:t>
            </w:r>
          </w:p>
        </w:tc>
        <w:tc>
          <w:tcPr>
            <w:tcW w:type="dxa" w:w="2484"/>
          </w:tcPr>
          <w:p>
            <w:r>
              <w:rPr>
                <w:color w:val="B31B1B"/>
                <w:sz w:val="18"/>
              </w:rPr>
              <w:t>-1.6%</w:t>
            </w:r>
          </w:p>
        </w:tc>
        <w:tc>
          <w:tcPr>
            <w:tcW w:type="dxa" w:w="2484"/>
          </w:tcPr>
          <w:p>
            <w:r>
              <w:rPr>
                <w:sz w:val="18"/>
              </w:rPr>
            </w:r>
          </w:p>
        </w:tc>
      </w:tr>
      <w:tr>
        <w:tc>
          <w:tcPr>
            <w:tcW w:type="dxa" w:w="2484"/>
          </w:tcPr>
          <w:p>
            <w:r>
              <w:rPr>
                <w:sz w:val="18"/>
              </w:rPr>
              <w:t>IG Credit Spread</w:t>
            </w:r>
          </w:p>
        </w:tc>
        <w:tc>
          <w:tcPr>
            <w:tcW w:type="dxa" w:w="2484"/>
          </w:tcPr>
          <w:p>
            <w:r>
              <w:rPr>
                <w:sz w:val="18"/>
              </w:rPr>
              <w:t>122 bp</w:t>
            </w:r>
          </w:p>
        </w:tc>
        <w:tc>
          <w:tcPr>
            <w:tcW w:type="dxa" w:w="2484"/>
          </w:tcPr>
          <w:p>
            <w:r>
              <w:rPr>
                <w:color w:val="B31B1B"/>
                <w:sz w:val="18"/>
              </w:rPr>
              <w:t>-3 bp</w:t>
            </w:r>
          </w:p>
        </w:tc>
        <w:tc>
          <w:tcPr>
            <w:tcW w:type="dxa" w:w="2484"/>
          </w:tcPr>
          <w:p>
            <w:r>
              <w:rPr>
                <w:sz w:val="18"/>
              </w:rPr>
              <w:t>Still wide of Jan tight</w:t>
            </w:r>
          </w:p>
        </w:tc>
      </w:tr>
      <w:tr>
        <w:tc>
          <w:tcPr>
            <w:tcW w:type="dxa" w:w="2484"/>
          </w:tcPr>
          <w:p>
            <w:r>
              <w:rPr>
                <w:sz w:val="18"/>
              </w:rPr>
              <w:t>HY Spread</w:t>
            </w:r>
          </w:p>
        </w:tc>
        <w:tc>
          <w:tcPr>
            <w:tcW w:type="dxa" w:w="2484"/>
          </w:tcPr>
          <w:p>
            <w:r>
              <w:rPr>
                <w:sz w:val="18"/>
              </w:rPr>
              <w:t>398 bp</w:t>
            </w:r>
          </w:p>
        </w:tc>
        <w:tc>
          <w:tcPr>
            <w:tcW w:type="dxa" w:w="2484"/>
          </w:tcPr>
          <w:p>
            <w:r>
              <w:rPr>
                <w:color w:val="B31B1B"/>
                <w:sz w:val="18"/>
              </w:rPr>
              <w:t>-12 bp</w:t>
            </w:r>
          </w:p>
        </w:tc>
        <w:tc>
          <w:tcPr>
            <w:tcW w:type="dxa" w:w="2484"/>
          </w:tcPr>
          <w:p>
            <w:r>
              <w:rPr>
                <w:sz w:val="18"/>
              </w:rPr>
              <w:t>Tightening with risk</w:t>
            </w:r>
          </w:p>
        </w:tc>
      </w:tr>
    </w:tbl>
    <w:p/>
    <w:p>
      <w:pPr>
        <w:pBdr>
          <w:bottom w:val="single" w:sz="12" w:color="C8A22C"/>
        </w:pBdr>
      </w:pPr>
      <w:r>
        <w:rPr>
          <w:b/>
          <w:color w:val="0A1F44"/>
          <w:sz w:val="28"/>
        </w:rPr>
        <w:t>TOP STORIES</w:t>
      </w:r>
    </w:p>
    <w:p>
      <w:r>
        <w:rPr>
          <w:b/>
          <w:color w:val="0A1F44"/>
          <w:sz w:val="24"/>
        </w:rPr>
        <w:t>1. Iran Ceasefire Cracks, Oil Roars Back Toward $100</w:t>
      </w:r>
    </w:p>
    <w:p>
      <w:pPr>
        <w:spacing w:after="120"/>
      </w:pPr>
      <w:r>
        <w:t>The single biggest variable on the tape reversed overnight. Iranian parliament speaker Mohammad Bagher Qalibaf told state media the U.S. had already breached three of Tehran's ten stated conditions for halting hostilities, calling continued negotiations 'unreasonable.' That rhetoric alone has been enough to re-price the oil complex: WTI opened in the $93s Wednesday on the ceasefire euphoria and has ripped nearly six percent higher overnight, trading within a dollar of the psychologically important $100 mark.</w:t>
      </w:r>
    </w:p>
    <w:p>
      <w:pPr>
        <w:spacing w:after="120"/>
      </w:pPr>
      <w:r>
        <w:t>The mechanics matter. Roughly 20% of global seaborne crude transits the Strait of Hormuz, and traders had been carrying a war-premium of $8–$12 in the days before Monday's surprise diplomatic breakthrough. Wednesday's 17% plunge — the sharpest single-day drop in nearly two years — stripped that premium out in hours. This morning's move is only partial re-pricing; if Tehran follows words with action, the next stop is a retest of last week's $104 high and, potentially, new 2026 highs.</w:t>
      </w:r>
    </w:p>
    <w:p>
      <w:pPr>
        <w:spacing w:after="120"/>
      </w:pPr>
      <w:r>
        <w:t>What to watch: any statement from CENTCOM, tanker tracking data out of the Gulf, and whether Brent holds $95 support. Airlines (DAL, UAL, AAL, LUV), cruise lines, and consumer-discretionary names are the first dominoes; E&amp;Ps (XOM, CVX, OXY) and oil services are the obvious hedges.</w:t>
      </w:r>
    </w:p>
    <w:p>
      <w:r>
        <w:rPr>
          <w:b/>
          <w:color w:val="0A1F44"/>
          <w:sz w:val="24"/>
        </w:rPr>
        <w:t>2. CoreWeave Locks In $21B AI Deal With Meta Through 2032</w:t>
      </w:r>
    </w:p>
    <w:p>
      <w:pPr>
        <w:spacing w:after="120"/>
      </w:pPr>
      <w:r>
        <w:t>CoreWeave announced an expanded, long-term agreement to supply Meta Platforms with AI cloud capacity through December 2032, in a contract valued at approximately $21 billion. META is indicated 1.4% higher in pre-market; CRWV is up nearly 9%. The deal is the latest proof point that hyperscaler capex plans are still accelerating rather than moderating, even after last month's scare around ROI timelines on generative AI infrastructure.</w:t>
      </w:r>
    </w:p>
    <w:p>
      <w:pPr>
        <w:spacing w:after="120"/>
      </w:pPr>
      <w:r>
        <w:t>For Meta, the contract effectively pre-books GPU capacity through the next two hardware cycles, insulating Llama training runs from supply constraints. For CoreWeave, it adds nearly a decade of take-or-pay revenue visibility, which should compress credit spreads on its outstanding bonds and may accelerate a long-rumored follow-on equity raise. The read-through for Nvidia is obvious — CoreWeave is one of its largest customers — and NVDA is bid 1.1% pre-market despite the broader tape.</w:t>
      </w:r>
    </w:p>
    <w:p>
      <w:pPr>
        <w:spacing w:after="120"/>
      </w:pPr>
      <w:r>
        <w:t>Watch: semiconductor tape action today, particularly the AI basket (NVDA, AVGO, AMD, MRVL, SMCI), and any competitive response from Oracle Cloud or Microsoft Azure.</w:t>
      </w:r>
    </w:p>
    <w:p>
      <w:r>
        <w:rPr>
          <w:b/>
          <w:color w:val="0A1F44"/>
          <w:sz w:val="24"/>
        </w:rPr>
        <w:t>3. Delta Crushes Q1, Sends Upbeat Guide Despite Fuel Headwind</w:t>
      </w:r>
    </w:p>
    <w:p>
      <w:pPr>
        <w:spacing w:after="120"/>
      </w:pPr>
      <w:r>
        <w:t>Delta Air Lines reported first-quarter adjusted EPS of $0.64 on revenue of $14.2 billion, both ahead of consensus ($0.58 and $14.05B). Net income of $423 million marked a 45% year-over-year jump, and management raised full-year EPS guidance to a $7.00–$7.75 range, above the $6.90 Street consensus. CEO Ed Bastian called demand 'the most resilient I've seen in my career,' highlighting corporate travel running at high-single-digit growth and premium-cabin revenue now more than 40% of the top line.</w:t>
      </w:r>
    </w:p>
    <w:p>
      <w:pPr>
        <w:spacing w:after="120"/>
      </w:pPr>
      <w:r>
        <w:t>The catch: Delta's guide assumes jet fuel at $2.55/gal. With crude ripping back toward $100 overnight, the buyside will haircut that bridge immediately. Still, DAL shares are indicated up 3% pre-market — a sign that investors are rewarding operational execution and premium-mix resilience even as the macro whips. The read-through to United and American (both report next week) is constructive on demand but cautious on fuel.</w:t>
      </w:r>
    </w:p>
    <w:p>
      <w:r>
        <w:rPr>
          <w:b/>
          <w:color w:val="0A1F44"/>
          <w:sz w:val="24"/>
        </w:rPr>
        <w:t>4. Fed Minutes Show Hawkish Tilt on Oil, But Futures Still Price Cuts</w:t>
      </w:r>
    </w:p>
    <w:p>
      <w:pPr>
        <w:spacing w:after="120"/>
      </w:pPr>
      <w:r>
        <w:t>Minutes from the March FOMC, released Wednesday afternoon, showed policymakers increasingly concerned that a sustained oil shock could re-accelerate goods inflation and derail disinflation. 'A number of participants' noted the risk that renewed commodity pressures could warrant keeping policy restrictive for longer — language notably firmer than the prior meeting. Yet paradoxically, Fed funds futures have responded by pricing more cuts, not fewer: CME FedWatch now shows a 45% probability of at least one cut by December, up from 38% a day earlier, as traders bet the oil move will prove transient.</w:t>
      </w:r>
    </w:p>
    <w:p>
      <w:pPr>
        <w:spacing w:after="120"/>
      </w:pPr>
      <w:r>
        <w:t>The tension defines this tape. Bonds are trading off growth risk; the Fed is trading off inflation risk. Whichever wins that argument writes the story of Q2. Key data points in the next 10 days — tomorrow's PPI, next Wednesday's CPI, and retail sales on the 15th — will adjudicate.</w:t>
      </w:r>
    </w:p>
    <w:p>
      <w:r>
        <w:rPr>
          <w:b/>
          <w:color w:val="0A1F44"/>
          <w:sz w:val="24"/>
        </w:rPr>
        <w:t>5. China Trade Data Surprises to the Upside, Copper Shrugs</w:t>
      </w:r>
    </w:p>
    <w:p>
      <w:pPr>
        <w:spacing w:after="120"/>
      </w:pPr>
      <w:r>
        <w:t>Overnight, China reported March exports up 5.1% year-over-year versus consensus of +2.8%, and imports rose 3.2% against expectations of a contraction. The trade surplus widened to $78.3B. The beat nominally should be bullish for industrial metals and the global reflation trade, but copper is actually lower this morning (-0.4%), a sign that the market is reading the data as front-loaded ahead of potential new U.S. tariffs rather than organic demand recovery. FXI and KWEB are mixed; the yuan fix was unchanged.</w:t>
      </w:r>
    </w:p>
    <w:p>
      <w:r>
        <w:rPr>
          <w:b/>
          <w:color w:val="0A1F44"/>
          <w:sz w:val="24"/>
        </w:rPr>
        <w:t>6. Regional Bank Stress Re-Emerges: NYCB Down 6% Pre-Market</w:t>
      </w:r>
    </w:p>
    <w:p>
      <w:pPr>
        <w:spacing w:after="120"/>
      </w:pPr>
      <w:r>
        <w:t>New York Community Bancorp is indicated 6% lower pre-market on a Wall Street Journal report that the FDIC has requested additional capital-raising documentation and is scrutinizing commercial-real-estate exposure at three other mid-cap regionals. The KRE regional-bank ETF is down 1.8% in pre-market trading. This is the first real wobble in the regional bank complex since the March 2023 episode, and it comes at an awkward moment — just as Treasury yields were finally coming in. Watch KRE $48 as the technical level.</w:t>
      </w:r>
    </w:p>
    <w:p>
      <w:pPr>
        <w:pBdr>
          <w:bottom w:val="single" w:sz="12" w:color="C8A22C"/>
        </w:pBdr>
      </w:pPr>
      <w:r>
        <w:rPr>
          <w:b/>
          <w:color w:val="0A1F44"/>
          <w:sz w:val="28"/>
        </w:rPr>
        <w:t>MACRO &amp; FED WATCH</w:t>
      </w:r>
    </w:p>
    <w:p>
      <w:pPr>
        <w:spacing w:after="120"/>
      </w:pPr>
      <w:r>
        <w:t>Chair Powell speaks at 12:30 PM EST at the Economic Club of New York, his first public remarks since the March FOMC. With oil whipping, the jobs market modestly softening, and Fed minutes leaning hawkish, this is the single most consequential event on today's calendar. Markets will parse every phrase for whether Powell leans into the 'transient oil shock' framing (dovish, green light for rate cuts) or emphasizes upside inflation risks (hawkish, bonds lower, dollar higher). Governor Waller follows at 3:00 PM at a Dallas Fed event, and regional bank president Mary Daly closes out the day at 6:30 PM.</w:t>
      </w:r>
    </w:p>
    <w:p>
      <w:pPr>
        <w:spacing w:after="120"/>
      </w:pPr>
      <w:r>
        <w:t>The broader rate-cycle context: the effective Fed funds rate has been at 4.50–4.75% since the January cut, with core PCE running at 2.7% on the latest print. The real policy rate near 2% is unambiguously restrictive by any historical measure, and the question is not whether rates will come down but how fast. Fed funds futures now imply 62 basis points of cuts by year-end, distributed roughly across the July, September, and December meetings — a touch more dovish than Wednesday morning but well short of the 100-plus bps the market was pricing in early March.</w:t>
      </w:r>
    </w:p>
    <w:p>
      <w:pPr>
        <w:spacing w:after="120"/>
      </w:pPr>
      <w:r>
        <w:t>The yield curve tells its own story. The 2s10s spread bull-flattened to -31 basis points on Wednesday, the least-inverted reading since September 2023, as the long end rallied harder than the front end on the ceasefire news. A bull-steepening curve alongside falling oil and a rising equity tape is textbook 'immaculate disinflation' — the most benign outcome for multi-asset portfolios. A re-inversion today on renewed oil strength would be an early warning that the narrative is fracturing.</w:t>
      </w:r>
    </w:p>
    <w:p>
      <w:pPr>
        <w:pBdr>
          <w:bottom w:val="single" w:sz="12" w:color="C8A22C"/>
        </w:pBdr>
      </w:pPr>
      <w:r>
        <w:rPr>
          <w:b/>
          <w:color w:val="0A1F44"/>
          <w:sz w:val="28"/>
        </w:rPr>
        <w:t>ECONOMIC CALENDAR — TODAY</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shd w:fill="0A1F44"/>
          </w:tcPr>
          <w:p>
            <w:r>
              <w:rPr>
                <w:b/>
                <w:color w:val="FFFFFF"/>
                <w:sz w:val="18"/>
              </w:rPr>
              <w:t>Time (ET)</w:t>
            </w:r>
          </w:p>
        </w:tc>
        <w:tc>
          <w:tcPr>
            <w:tcW w:type="dxa" w:w="1987"/>
            <w:shd w:fill="0A1F44"/>
          </w:tcPr>
          <w:p>
            <w:r>
              <w:rPr>
                <w:b/>
                <w:color w:val="FFFFFF"/>
                <w:sz w:val="18"/>
              </w:rPr>
              <w:t>Indicator</w:t>
            </w:r>
          </w:p>
        </w:tc>
        <w:tc>
          <w:tcPr>
            <w:tcW w:type="dxa" w:w="1987"/>
            <w:shd w:fill="0A1F44"/>
          </w:tcPr>
          <w:p>
            <w:r>
              <w:rPr>
                <w:b/>
                <w:color w:val="FFFFFF"/>
                <w:sz w:val="18"/>
              </w:rPr>
              <w:t>Prior</w:t>
            </w:r>
          </w:p>
        </w:tc>
        <w:tc>
          <w:tcPr>
            <w:tcW w:type="dxa" w:w="1987"/>
            <w:shd w:fill="0A1F44"/>
          </w:tcPr>
          <w:p>
            <w:r>
              <w:rPr>
                <w:b/>
                <w:color w:val="FFFFFF"/>
                <w:sz w:val="18"/>
              </w:rPr>
              <w:t>Consensus</w:t>
            </w:r>
          </w:p>
        </w:tc>
        <w:tc>
          <w:tcPr>
            <w:tcW w:type="dxa" w:w="1987"/>
            <w:shd w:fill="0A1F44"/>
          </w:tcPr>
          <w:p>
            <w:r>
              <w:rPr>
                <w:b/>
                <w:color w:val="FFFFFF"/>
                <w:sz w:val="18"/>
              </w:rPr>
              <w:t>Why It Matters</w:t>
            </w:r>
          </w:p>
        </w:tc>
      </w:tr>
      <w:tr>
        <w:tc>
          <w:tcPr>
            <w:tcW w:type="dxa" w:w="1987"/>
          </w:tcPr>
          <w:p>
            <w:r>
              <w:rPr>
                <w:sz w:val="18"/>
              </w:rPr>
              <w:t>8:30</w:t>
            </w:r>
          </w:p>
        </w:tc>
        <w:tc>
          <w:tcPr>
            <w:tcW w:type="dxa" w:w="1987"/>
          </w:tcPr>
          <w:p>
            <w:r>
              <w:rPr>
                <w:sz w:val="18"/>
              </w:rPr>
              <w:t>Initial Jobless Claims</w:t>
            </w:r>
          </w:p>
        </w:tc>
        <w:tc>
          <w:tcPr>
            <w:tcW w:type="dxa" w:w="1987"/>
          </w:tcPr>
          <w:p>
            <w:r>
              <w:rPr>
                <w:sz w:val="18"/>
              </w:rPr>
              <w:t>219k</w:t>
            </w:r>
          </w:p>
        </w:tc>
        <w:tc>
          <w:tcPr>
            <w:tcW w:type="dxa" w:w="1987"/>
          </w:tcPr>
          <w:p>
            <w:r>
              <w:rPr>
                <w:sz w:val="18"/>
              </w:rPr>
              <w:t>215k</w:t>
            </w:r>
          </w:p>
        </w:tc>
        <w:tc>
          <w:tcPr>
            <w:tcW w:type="dxa" w:w="1987"/>
          </w:tcPr>
          <w:p>
            <w:r>
              <w:rPr>
                <w:sz w:val="18"/>
              </w:rPr>
              <w:t>Labor market cooling pace</w:t>
            </w:r>
          </w:p>
        </w:tc>
      </w:tr>
      <w:tr>
        <w:tc>
          <w:tcPr>
            <w:tcW w:type="dxa" w:w="1987"/>
          </w:tcPr>
          <w:p>
            <w:r>
              <w:rPr>
                <w:sz w:val="18"/>
              </w:rPr>
              <w:t>8:30</w:t>
            </w:r>
          </w:p>
        </w:tc>
        <w:tc>
          <w:tcPr>
            <w:tcW w:type="dxa" w:w="1987"/>
          </w:tcPr>
          <w:p>
            <w:r>
              <w:rPr>
                <w:sz w:val="18"/>
              </w:rPr>
              <w:t>Continuing Claims</w:t>
            </w:r>
          </w:p>
        </w:tc>
        <w:tc>
          <w:tcPr>
            <w:tcW w:type="dxa" w:w="1987"/>
          </w:tcPr>
          <w:p>
            <w:r>
              <w:rPr>
                <w:sz w:val="18"/>
              </w:rPr>
              <w:t>1.803M</w:t>
            </w:r>
          </w:p>
        </w:tc>
        <w:tc>
          <w:tcPr>
            <w:tcW w:type="dxa" w:w="1987"/>
          </w:tcPr>
          <w:p>
            <w:r>
              <w:rPr>
                <w:sz w:val="18"/>
              </w:rPr>
              <w:t>1.800M</w:t>
            </w:r>
          </w:p>
        </w:tc>
        <w:tc>
          <w:tcPr>
            <w:tcW w:type="dxa" w:w="1987"/>
          </w:tcPr>
          <w:p>
            <w:r>
              <w:rPr>
                <w:sz w:val="18"/>
              </w:rPr>
              <w:t>Re-employment difficulty</w:t>
            </w:r>
          </w:p>
        </w:tc>
      </w:tr>
      <w:tr>
        <w:tc>
          <w:tcPr>
            <w:tcW w:type="dxa" w:w="1987"/>
          </w:tcPr>
          <w:p>
            <w:r>
              <w:rPr>
                <w:sz w:val="18"/>
              </w:rPr>
              <w:t>10:00</w:t>
            </w:r>
          </w:p>
        </w:tc>
        <w:tc>
          <w:tcPr>
            <w:tcW w:type="dxa" w:w="1987"/>
          </w:tcPr>
          <w:p>
            <w:r>
              <w:rPr>
                <w:sz w:val="18"/>
              </w:rPr>
              <w:t>Wholesale Inventories (Feb F)</w:t>
            </w:r>
          </w:p>
        </w:tc>
        <w:tc>
          <w:tcPr>
            <w:tcW w:type="dxa" w:w="1987"/>
          </w:tcPr>
          <w:p>
            <w:r>
              <w:rPr>
                <w:sz w:val="18"/>
              </w:rPr>
              <w:t>+0.5%</w:t>
            </w:r>
          </w:p>
        </w:tc>
        <w:tc>
          <w:tcPr>
            <w:tcW w:type="dxa" w:w="1987"/>
          </w:tcPr>
          <w:p>
            <w:r>
              <w:rPr>
                <w:sz w:val="18"/>
              </w:rPr>
              <w:t>+0.5%</w:t>
            </w:r>
          </w:p>
        </w:tc>
        <w:tc>
          <w:tcPr>
            <w:tcW w:type="dxa" w:w="1987"/>
          </w:tcPr>
          <w:p>
            <w:r>
              <w:rPr>
                <w:sz w:val="18"/>
              </w:rPr>
              <w:t>Goods-economy pulse</w:t>
            </w:r>
          </w:p>
        </w:tc>
      </w:tr>
      <w:tr>
        <w:tc>
          <w:tcPr>
            <w:tcW w:type="dxa" w:w="1987"/>
          </w:tcPr>
          <w:p>
            <w:r>
              <w:rPr>
                <w:sz w:val="18"/>
              </w:rPr>
              <w:t>10:30</w:t>
            </w:r>
          </w:p>
        </w:tc>
        <w:tc>
          <w:tcPr>
            <w:tcW w:type="dxa" w:w="1987"/>
          </w:tcPr>
          <w:p>
            <w:r>
              <w:rPr>
                <w:sz w:val="18"/>
              </w:rPr>
              <w:t>EIA Natural Gas Storage</w:t>
            </w:r>
          </w:p>
        </w:tc>
        <w:tc>
          <w:tcPr>
            <w:tcW w:type="dxa" w:w="1987"/>
          </w:tcPr>
          <w:p>
            <w:r>
              <w:rPr>
                <w:sz w:val="18"/>
              </w:rPr>
              <w:t>+12 Bcf</w:t>
            </w:r>
          </w:p>
        </w:tc>
        <w:tc>
          <w:tcPr>
            <w:tcW w:type="dxa" w:w="1987"/>
          </w:tcPr>
          <w:p>
            <w:r>
              <w:rPr>
                <w:sz w:val="18"/>
              </w:rPr>
              <w:t>+18 Bcf</w:t>
            </w:r>
          </w:p>
        </w:tc>
        <w:tc>
          <w:tcPr>
            <w:tcW w:type="dxa" w:w="1987"/>
          </w:tcPr>
          <w:p>
            <w:r>
              <w:rPr>
                <w:sz w:val="18"/>
              </w:rPr>
              <w:t>Injection season start</w:t>
            </w:r>
          </w:p>
        </w:tc>
      </w:tr>
      <w:tr>
        <w:tc>
          <w:tcPr>
            <w:tcW w:type="dxa" w:w="1987"/>
          </w:tcPr>
          <w:p>
            <w:r>
              <w:rPr>
                <w:sz w:val="18"/>
              </w:rPr>
              <w:t>12:30</w:t>
            </w:r>
          </w:p>
        </w:tc>
        <w:tc>
          <w:tcPr>
            <w:tcW w:type="dxa" w:w="1987"/>
          </w:tcPr>
          <w:p>
            <w:r>
              <w:rPr>
                <w:sz w:val="18"/>
              </w:rPr>
              <w:t>Chair Powell Speech</w:t>
            </w:r>
          </w:p>
        </w:tc>
        <w:tc>
          <w:tcPr>
            <w:tcW w:type="dxa" w:w="1987"/>
          </w:tcPr>
          <w:p>
            <w:r>
              <w:rPr>
                <w:sz w:val="18"/>
              </w:rPr>
              <w:t>—</w:t>
            </w:r>
          </w:p>
        </w:tc>
        <w:tc>
          <w:tcPr>
            <w:tcW w:type="dxa" w:w="1987"/>
          </w:tcPr>
          <w:p>
            <w:r>
              <w:rPr>
                <w:sz w:val="18"/>
              </w:rPr>
              <w:t>—</w:t>
            </w:r>
          </w:p>
        </w:tc>
        <w:tc>
          <w:tcPr>
            <w:tcW w:type="dxa" w:w="1987"/>
          </w:tcPr>
          <w:p>
            <w:r>
              <w:rPr>
                <w:sz w:val="18"/>
              </w:rPr>
              <w:t>First post-FOMC remarks</w:t>
            </w:r>
          </w:p>
        </w:tc>
      </w:tr>
      <w:tr>
        <w:tc>
          <w:tcPr>
            <w:tcW w:type="dxa" w:w="1987"/>
          </w:tcPr>
          <w:p>
            <w:r>
              <w:rPr>
                <w:sz w:val="18"/>
              </w:rPr>
              <w:t>13:00</w:t>
            </w:r>
          </w:p>
        </w:tc>
        <w:tc>
          <w:tcPr>
            <w:tcW w:type="dxa" w:w="1987"/>
          </w:tcPr>
          <w:p>
            <w:r>
              <w:rPr>
                <w:sz w:val="18"/>
              </w:rPr>
              <w:t>10Y TIPS Reauction</w:t>
            </w:r>
          </w:p>
        </w:tc>
        <w:tc>
          <w:tcPr>
            <w:tcW w:type="dxa" w:w="1987"/>
          </w:tcPr>
          <w:p>
            <w:r>
              <w:rPr>
                <w:sz w:val="18"/>
              </w:rPr>
              <w:t>$22B</w:t>
            </w:r>
          </w:p>
        </w:tc>
        <w:tc>
          <w:tcPr>
            <w:tcW w:type="dxa" w:w="1987"/>
          </w:tcPr>
          <w:p>
            <w:r>
              <w:rPr>
                <w:sz w:val="18"/>
              </w:rPr>
              <w:t>—</w:t>
            </w:r>
          </w:p>
        </w:tc>
        <w:tc>
          <w:tcPr>
            <w:tcW w:type="dxa" w:w="1987"/>
          </w:tcPr>
          <w:p>
            <w:r>
              <w:rPr>
                <w:sz w:val="18"/>
              </w:rPr>
              <w:t>Real-yield demand gauge</w:t>
            </w:r>
          </w:p>
        </w:tc>
      </w:tr>
      <w:tr>
        <w:tc>
          <w:tcPr>
            <w:tcW w:type="dxa" w:w="1987"/>
          </w:tcPr>
          <w:p>
            <w:r>
              <w:rPr>
                <w:sz w:val="18"/>
              </w:rPr>
              <w:t>15:00</w:t>
            </w:r>
          </w:p>
        </w:tc>
        <w:tc>
          <w:tcPr>
            <w:tcW w:type="dxa" w:w="1987"/>
          </w:tcPr>
          <w:p>
            <w:r>
              <w:rPr>
                <w:sz w:val="18"/>
              </w:rPr>
              <w:t>Consumer Credit (Feb)</w:t>
            </w:r>
          </w:p>
        </w:tc>
        <w:tc>
          <w:tcPr>
            <w:tcW w:type="dxa" w:w="1987"/>
          </w:tcPr>
          <w:p>
            <w:r>
              <w:rPr>
                <w:sz w:val="18"/>
              </w:rPr>
              <w:t>+$19.5B</w:t>
            </w:r>
          </w:p>
        </w:tc>
        <w:tc>
          <w:tcPr>
            <w:tcW w:type="dxa" w:w="1987"/>
          </w:tcPr>
          <w:p>
            <w:r>
              <w:rPr>
                <w:sz w:val="18"/>
              </w:rPr>
              <w:t>+$14.0B</w:t>
            </w:r>
          </w:p>
        </w:tc>
        <w:tc>
          <w:tcPr>
            <w:tcW w:type="dxa" w:w="1987"/>
          </w:tcPr>
          <w:p>
            <w:r>
              <w:rPr>
                <w:sz w:val="18"/>
              </w:rPr>
              <w:t>Household leverage</w:t>
            </w:r>
          </w:p>
        </w:tc>
      </w:tr>
      <w:tr>
        <w:tc>
          <w:tcPr>
            <w:tcW w:type="dxa" w:w="1987"/>
          </w:tcPr>
          <w:p>
            <w:r>
              <w:rPr>
                <w:sz w:val="18"/>
              </w:rPr>
              <w:t>15:00</w:t>
            </w:r>
          </w:p>
        </w:tc>
        <w:tc>
          <w:tcPr>
            <w:tcW w:type="dxa" w:w="1987"/>
          </w:tcPr>
          <w:p>
            <w:r>
              <w:rPr>
                <w:sz w:val="18"/>
              </w:rPr>
              <w:t>Gov. Waller Speech</w:t>
            </w:r>
          </w:p>
        </w:tc>
        <w:tc>
          <w:tcPr>
            <w:tcW w:type="dxa" w:w="1987"/>
          </w:tcPr>
          <w:p>
            <w:r>
              <w:rPr>
                <w:sz w:val="18"/>
              </w:rPr>
              <w:t>—</w:t>
            </w:r>
          </w:p>
        </w:tc>
        <w:tc>
          <w:tcPr>
            <w:tcW w:type="dxa" w:w="1987"/>
          </w:tcPr>
          <w:p>
            <w:r>
              <w:rPr>
                <w:sz w:val="18"/>
              </w:rPr>
              <w:t>—</w:t>
            </w:r>
          </w:p>
        </w:tc>
        <w:tc>
          <w:tcPr>
            <w:tcW w:type="dxa" w:w="1987"/>
          </w:tcPr>
          <w:p>
            <w:r>
              <w:rPr>
                <w:sz w:val="18"/>
              </w:rPr>
              <w:t>Policy-rate views</w:t>
            </w:r>
          </w:p>
        </w:tc>
      </w:tr>
      <w:tr>
        <w:tc>
          <w:tcPr>
            <w:tcW w:type="dxa" w:w="1987"/>
          </w:tcPr>
          <w:p>
            <w:r>
              <w:rPr>
                <w:sz w:val="18"/>
              </w:rPr>
              <w:t>18:30</w:t>
            </w:r>
          </w:p>
        </w:tc>
        <w:tc>
          <w:tcPr>
            <w:tcW w:type="dxa" w:w="1987"/>
          </w:tcPr>
          <w:p>
            <w:r>
              <w:rPr>
                <w:sz w:val="18"/>
              </w:rPr>
              <w:t>Daly (SF Fed)</w:t>
            </w:r>
          </w:p>
        </w:tc>
        <w:tc>
          <w:tcPr>
            <w:tcW w:type="dxa" w:w="1987"/>
          </w:tcPr>
          <w:p>
            <w:r>
              <w:rPr>
                <w:sz w:val="18"/>
              </w:rPr>
              <w:t>—</w:t>
            </w:r>
          </w:p>
        </w:tc>
        <w:tc>
          <w:tcPr>
            <w:tcW w:type="dxa" w:w="1987"/>
          </w:tcPr>
          <w:p>
            <w:r>
              <w:rPr>
                <w:sz w:val="18"/>
              </w:rPr>
              <w:t>—</w:t>
            </w:r>
          </w:p>
        </w:tc>
        <w:tc>
          <w:tcPr>
            <w:tcW w:type="dxa" w:w="1987"/>
          </w:tcPr>
          <w:p>
            <w:r>
              <w:rPr>
                <w:sz w:val="18"/>
              </w:rPr>
              <w:t>Dovish tilt watch</w:t>
            </w:r>
          </w:p>
        </w:tc>
      </w:tr>
    </w:tbl>
    <w:p/>
    <w:p>
      <w:pPr>
        <w:pBdr>
          <w:bottom w:val="single" w:sz="12" w:color="C8A22C"/>
        </w:pBdr>
      </w:pPr>
      <w:r>
        <w:rPr>
          <w:b/>
          <w:color w:val="0A1F44"/>
          <w:sz w:val="28"/>
        </w:rPr>
        <w:t>EARNINGS WATCH</w:t>
      </w:r>
    </w:p>
    <w:p>
      <w:pPr>
        <w:spacing w:after="120"/>
      </w:pPr>
      <w:r>
        <w:t>Q1 earnings season opens in earnest this week, and today brings a trio of bellwethers across air travel, apparel, and alcohol. Delta Air Lines (DAL) reported pre-market and beat handily — EPS of $0.64 vs. $0.58 consensus, revenue of $14.2B vs. $14.05B, with full-year guidance raised to $7.00–$7.75 against $6.90 Street. The options market had implied a 5.8% move; shares are indicated +3%. The key pushback from analysts will be fuel sensitivity: every $0.10 move in jet fuel is worth roughly $100M of annual EBIT.</w:t>
      </w:r>
    </w:p>
    <w:p>
      <w:pPr>
        <w:spacing w:after="120"/>
      </w:pPr>
      <w:r>
        <w:t>Constellation Brands (STZ) reports pre-market with consensus at $1.70 EPS on $1.85B revenue, down sharply from last year as Modelo comps tougher and the wine-and-spirits divestiture flows through. The implied move is 4.4%; watch beer depletion trends and any update on the Mexican peso hedging program. Levi Strauss (LEVI) reports after the close; consensus $0.37 EPS on $1.65B revenue. Focus will be on DTC margins and inventory cleanliness heading into summer.</w:t>
      </w:r>
    </w:p>
    <w:p>
      <w:pPr>
        <w:spacing w:after="120"/>
      </w:pPr>
      <w:r>
        <w:t>Broader context: analysts expect S&amp;P 500 Q1 earnings growth of +7.2% year-over-year according to FactSet, led by tech (+18%) and communication services (+14%), with energy and materials dragging as the laggards. The bar for the market is high — forward P/E sits at 21.3x, a full multiple above the 10-year average — which means guidance, not prints, will drive single-stock reactions.</w:t>
      </w:r>
    </w:p>
    <w:p>
      <w:pPr>
        <w:pBdr>
          <w:bottom w:val="single" w:sz="12" w:color="C8A22C"/>
        </w:pBdr>
      </w:pPr>
      <w:r>
        <w:rPr>
          <w:b/>
          <w:color w:val="0A1F44"/>
          <w:sz w:val="28"/>
        </w:rPr>
        <w:t>SECTOR SPOTLIGHT</w:t>
      </w:r>
    </w:p>
    <w:p>
      <w:pPr>
        <w:spacing w:after="120"/>
      </w:pPr>
      <w:r>
        <w:t>Energy vs. Airlines is today's most actionable pair. Wednesday's tape saw the XLE (energy sector SPDR) fall 3.4% on the ceasefire — its worst session of 2026 — while the JETS airline ETF ripped +6.1%. This morning, those moves are reversing in real time. Year-to-date, energy remains the second-best performing sector at +11.8%, trailing only communication services, thanks to the structural supply tightness that pre-dated the Iran escalation. The setup for the rest of Q2 depends on one variable: whether Saudi Arabia holds its voluntary production cuts at the June OPEC+ meeting. Watch XLE $94 as the pivot — above that level the trend is intact, below it the sector rolls over fast.</w:t>
      </w:r>
    </w:p>
    <w:p>
      <w:pPr>
        <w:spacing w:after="120"/>
      </w:pPr>
      <w:r>
        <w:t>The second-order trade worth flagging is regional banks. The KRE ETF has quietly underperformed all year (-4.2% YTD vs. SPY +9.1%), and this morning's NYCB headline is a reminder that commercial real-estate exposure remains the sector's soft underbelly. If the 10-year yield stays below 4.30%, that relieves net-interest-margin pressure; if the CRE story re-escalates, no amount of curve steepening will save KRE.</w:t>
      </w:r>
    </w:p>
    <w:p>
      <w:pPr>
        <w:pBdr>
          <w:bottom w:val="single" w:sz="12" w:color="C8A22C"/>
        </w:pBdr>
      </w:pPr>
      <w:r>
        <w:rPr>
          <w:b/>
          <w:color w:val="0A1F44"/>
          <w:sz w:val="28"/>
        </w:rPr>
        <w:t>ANALYST CALLS &amp; UPGRADES/DOWNGRADES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shd w:fill="0A1F44"/>
          </w:tcPr>
          <w:p>
            <w:r>
              <w:rPr>
                <w:b/>
                <w:color w:val="FFFFFF"/>
                <w:sz w:val="18"/>
              </w:rPr>
              <w:t>Firm</w:t>
            </w:r>
          </w:p>
        </w:tc>
        <w:tc>
          <w:tcPr>
            <w:tcW w:type="dxa" w:w="1987"/>
            <w:shd w:fill="0A1F44"/>
          </w:tcPr>
          <w:p>
            <w:r>
              <w:rPr>
                <w:b/>
                <w:color w:val="FFFFFF"/>
                <w:sz w:val="18"/>
              </w:rPr>
              <w:t>Ticker</w:t>
            </w:r>
          </w:p>
        </w:tc>
        <w:tc>
          <w:tcPr>
            <w:tcW w:type="dxa" w:w="1987"/>
            <w:shd w:fill="0A1F44"/>
          </w:tcPr>
          <w:p>
            <w:r>
              <w:rPr>
                <w:b/>
                <w:color w:val="FFFFFF"/>
                <w:sz w:val="18"/>
              </w:rPr>
              <w:t>Action</w:t>
            </w:r>
          </w:p>
        </w:tc>
        <w:tc>
          <w:tcPr>
            <w:tcW w:type="dxa" w:w="1987"/>
            <w:shd w:fill="0A1F44"/>
          </w:tcPr>
          <w:p>
            <w:r>
              <w:rPr>
                <w:b/>
                <w:color w:val="FFFFFF"/>
                <w:sz w:val="18"/>
              </w:rPr>
              <w:t>PT</w:t>
            </w:r>
          </w:p>
        </w:tc>
        <w:tc>
          <w:tcPr>
            <w:tcW w:type="dxa" w:w="1987"/>
            <w:shd w:fill="0A1F44"/>
          </w:tcPr>
          <w:p>
            <w:r>
              <w:rPr>
                <w:b/>
                <w:color w:val="FFFFFF"/>
                <w:sz w:val="18"/>
              </w:rPr>
              <w:t>Rationale</w:t>
            </w:r>
          </w:p>
        </w:tc>
      </w:tr>
      <w:tr>
        <w:tc>
          <w:tcPr>
            <w:tcW w:type="dxa" w:w="1987"/>
          </w:tcPr>
          <w:p>
            <w:r>
              <w:rPr>
                <w:sz w:val="18"/>
              </w:rPr>
              <w:t>Morgan Stanley</w:t>
            </w:r>
          </w:p>
        </w:tc>
        <w:tc>
          <w:tcPr>
            <w:tcW w:type="dxa" w:w="1987"/>
          </w:tcPr>
          <w:p>
            <w:r>
              <w:rPr>
                <w:sz w:val="18"/>
              </w:rPr>
              <w:t>NVDA</w:t>
            </w:r>
          </w:p>
        </w:tc>
        <w:tc>
          <w:tcPr>
            <w:tcW w:type="dxa" w:w="1987"/>
          </w:tcPr>
          <w:p>
            <w:r>
              <w:rPr>
                <w:sz w:val="18"/>
              </w:rPr>
              <w:t>Overweight (reit.)</w:t>
            </w:r>
          </w:p>
        </w:tc>
        <w:tc>
          <w:tcPr>
            <w:tcW w:type="dxa" w:w="1987"/>
          </w:tcPr>
          <w:p>
            <w:r>
              <w:rPr>
                <w:sz w:val="18"/>
              </w:rPr>
              <w:t>$1,100</w:t>
            </w:r>
          </w:p>
        </w:tc>
        <w:tc>
          <w:tcPr>
            <w:tcW w:type="dxa" w:w="1987"/>
          </w:tcPr>
          <w:p>
            <w:r>
              <w:rPr>
                <w:sz w:val="18"/>
              </w:rPr>
              <w:t>Hyperscaler capex intact</w:t>
            </w:r>
          </w:p>
        </w:tc>
      </w:tr>
      <w:tr>
        <w:tc>
          <w:tcPr>
            <w:tcW w:type="dxa" w:w="1987"/>
          </w:tcPr>
          <w:p>
            <w:r>
              <w:rPr>
                <w:sz w:val="18"/>
              </w:rPr>
              <w:t>Goldman Sachs</w:t>
            </w:r>
          </w:p>
        </w:tc>
        <w:tc>
          <w:tcPr>
            <w:tcW w:type="dxa" w:w="1987"/>
          </w:tcPr>
          <w:p>
            <w:r>
              <w:rPr>
                <w:sz w:val="18"/>
              </w:rPr>
              <w:t>XOM</w:t>
            </w:r>
          </w:p>
        </w:tc>
        <w:tc>
          <w:tcPr>
            <w:tcW w:type="dxa" w:w="1987"/>
          </w:tcPr>
          <w:p>
            <w:r>
              <w:rPr>
                <w:sz w:val="18"/>
              </w:rPr>
              <w:t>Buy → Conviction Buy</w:t>
            </w:r>
          </w:p>
        </w:tc>
        <w:tc>
          <w:tcPr>
            <w:tcW w:type="dxa" w:w="1987"/>
          </w:tcPr>
          <w:p>
            <w:r>
              <w:rPr>
                <w:sz w:val="18"/>
              </w:rPr>
              <w:t>$142</w:t>
            </w:r>
          </w:p>
        </w:tc>
        <w:tc>
          <w:tcPr>
            <w:tcW w:type="dxa" w:w="1987"/>
          </w:tcPr>
          <w:p>
            <w:r>
              <w:rPr>
                <w:sz w:val="18"/>
              </w:rPr>
              <w:t>Oil premium returning</w:t>
            </w:r>
          </w:p>
        </w:tc>
      </w:tr>
      <w:tr>
        <w:tc>
          <w:tcPr>
            <w:tcW w:type="dxa" w:w="1987"/>
          </w:tcPr>
          <w:p>
            <w:r>
              <w:rPr>
                <w:sz w:val="18"/>
              </w:rPr>
              <w:t>JP Morgan</w:t>
            </w:r>
          </w:p>
        </w:tc>
        <w:tc>
          <w:tcPr>
            <w:tcW w:type="dxa" w:w="1987"/>
          </w:tcPr>
          <w:p>
            <w:r>
              <w:rPr>
                <w:sz w:val="18"/>
              </w:rPr>
              <w:t>DAL</w:t>
            </w:r>
          </w:p>
        </w:tc>
        <w:tc>
          <w:tcPr>
            <w:tcW w:type="dxa" w:w="1987"/>
          </w:tcPr>
          <w:p>
            <w:r>
              <w:rPr>
                <w:sz w:val="18"/>
              </w:rPr>
              <w:t>Overweight (reit.)</w:t>
            </w:r>
          </w:p>
        </w:tc>
        <w:tc>
          <w:tcPr>
            <w:tcW w:type="dxa" w:w="1987"/>
          </w:tcPr>
          <w:p>
            <w:r>
              <w:rPr>
                <w:sz w:val="18"/>
              </w:rPr>
              <w:t>$72</w:t>
            </w:r>
          </w:p>
        </w:tc>
        <w:tc>
          <w:tcPr>
            <w:tcW w:type="dxa" w:w="1987"/>
          </w:tcPr>
          <w:p>
            <w:r>
              <w:rPr>
                <w:sz w:val="18"/>
              </w:rPr>
              <w:t>Premium mix resilience</w:t>
            </w:r>
          </w:p>
        </w:tc>
      </w:tr>
      <w:tr>
        <w:tc>
          <w:tcPr>
            <w:tcW w:type="dxa" w:w="1987"/>
          </w:tcPr>
          <w:p>
            <w:r>
              <w:rPr>
                <w:sz w:val="18"/>
              </w:rPr>
              <w:t>Barclays</w:t>
            </w:r>
          </w:p>
        </w:tc>
        <w:tc>
          <w:tcPr>
            <w:tcW w:type="dxa" w:w="1987"/>
          </w:tcPr>
          <w:p>
            <w:r>
              <w:rPr>
                <w:sz w:val="18"/>
              </w:rPr>
              <w:t>NYCB</w:t>
            </w:r>
          </w:p>
        </w:tc>
        <w:tc>
          <w:tcPr>
            <w:tcW w:type="dxa" w:w="1987"/>
          </w:tcPr>
          <w:p>
            <w:r>
              <w:rPr>
                <w:sz w:val="18"/>
              </w:rPr>
              <w:t>Equal Weight → UW</w:t>
            </w:r>
          </w:p>
        </w:tc>
        <w:tc>
          <w:tcPr>
            <w:tcW w:type="dxa" w:w="1987"/>
          </w:tcPr>
          <w:p>
            <w:r>
              <w:rPr>
                <w:sz w:val="18"/>
              </w:rPr>
              <w:t>$7.50</w:t>
            </w:r>
          </w:p>
        </w:tc>
        <w:tc>
          <w:tcPr>
            <w:tcW w:type="dxa" w:w="1987"/>
          </w:tcPr>
          <w:p>
            <w:r>
              <w:rPr>
                <w:sz w:val="18"/>
              </w:rPr>
              <w:t>CRE exposure concerns</w:t>
            </w:r>
          </w:p>
        </w:tc>
      </w:tr>
      <w:tr>
        <w:tc>
          <w:tcPr>
            <w:tcW w:type="dxa" w:w="1987"/>
          </w:tcPr>
          <w:p>
            <w:r>
              <w:rPr>
                <w:sz w:val="18"/>
              </w:rPr>
              <w:t>Wells Fargo</w:t>
            </w:r>
          </w:p>
        </w:tc>
        <w:tc>
          <w:tcPr>
            <w:tcW w:type="dxa" w:w="1987"/>
          </w:tcPr>
          <w:p>
            <w:r>
              <w:rPr>
                <w:sz w:val="18"/>
              </w:rPr>
              <w:t>META</w:t>
            </w:r>
          </w:p>
        </w:tc>
        <w:tc>
          <w:tcPr>
            <w:tcW w:type="dxa" w:w="1987"/>
          </w:tcPr>
          <w:p>
            <w:r>
              <w:rPr>
                <w:sz w:val="18"/>
              </w:rPr>
              <w:t>Overweight</w:t>
            </w:r>
          </w:p>
        </w:tc>
        <w:tc>
          <w:tcPr>
            <w:tcW w:type="dxa" w:w="1987"/>
          </w:tcPr>
          <w:p>
            <w:r>
              <w:rPr>
                <w:sz w:val="18"/>
              </w:rPr>
              <w:t>$620</w:t>
            </w:r>
          </w:p>
        </w:tc>
        <w:tc>
          <w:tcPr>
            <w:tcW w:type="dxa" w:w="1987"/>
          </w:tcPr>
          <w:p>
            <w:r>
              <w:rPr>
                <w:sz w:val="18"/>
              </w:rPr>
              <w:t>CoreWeave deal capex leverage</w:t>
            </w:r>
          </w:p>
        </w:tc>
      </w:tr>
      <w:tr>
        <w:tc>
          <w:tcPr>
            <w:tcW w:type="dxa" w:w="1987"/>
          </w:tcPr>
          <w:p>
            <w:r>
              <w:rPr>
                <w:sz w:val="18"/>
              </w:rPr>
              <w:t>BofA</w:t>
            </w:r>
          </w:p>
        </w:tc>
        <w:tc>
          <w:tcPr>
            <w:tcW w:type="dxa" w:w="1987"/>
          </w:tcPr>
          <w:p>
            <w:r>
              <w:rPr>
                <w:sz w:val="18"/>
              </w:rPr>
              <w:t>CVX</w:t>
            </w:r>
          </w:p>
        </w:tc>
        <w:tc>
          <w:tcPr>
            <w:tcW w:type="dxa" w:w="1987"/>
          </w:tcPr>
          <w:p>
            <w:r>
              <w:rPr>
                <w:sz w:val="18"/>
              </w:rPr>
              <w:t>Buy (reit.)</w:t>
            </w:r>
          </w:p>
        </w:tc>
        <w:tc>
          <w:tcPr>
            <w:tcW w:type="dxa" w:w="1987"/>
          </w:tcPr>
          <w:p>
            <w:r>
              <w:rPr>
                <w:sz w:val="18"/>
              </w:rPr>
              <w:t>$185</w:t>
            </w:r>
          </w:p>
        </w:tc>
        <w:tc>
          <w:tcPr>
            <w:tcW w:type="dxa" w:w="1987"/>
          </w:tcPr>
          <w:p>
            <w:r>
              <w:rPr>
                <w:sz w:val="18"/>
              </w:rPr>
              <w:t>Permian FCF re-rating</w:t>
            </w:r>
          </w:p>
        </w:tc>
      </w:tr>
      <w:tr>
        <w:tc>
          <w:tcPr>
            <w:tcW w:type="dxa" w:w="1987"/>
          </w:tcPr>
          <w:p>
            <w:r>
              <w:rPr>
                <w:sz w:val="18"/>
              </w:rPr>
              <w:t>Citi</w:t>
            </w:r>
          </w:p>
        </w:tc>
        <w:tc>
          <w:tcPr>
            <w:tcW w:type="dxa" w:w="1987"/>
          </w:tcPr>
          <w:p>
            <w:r>
              <w:rPr>
                <w:sz w:val="18"/>
              </w:rPr>
              <w:t>STZ</w:t>
            </w:r>
          </w:p>
        </w:tc>
        <w:tc>
          <w:tcPr>
            <w:tcW w:type="dxa" w:w="1987"/>
          </w:tcPr>
          <w:p>
            <w:r>
              <w:rPr>
                <w:sz w:val="18"/>
              </w:rPr>
              <w:t>Neutral</w:t>
            </w:r>
          </w:p>
        </w:tc>
        <w:tc>
          <w:tcPr>
            <w:tcW w:type="dxa" w:w="1987"/>
          </w:tcPr>
          <w:p>
            <w:r>
              <w:rPr>
                <w:sz w:val="18"/>
              </w:rPr>
              <w:t>$235</w:t>
            </w:r>
          </w:p>
        </w:tc>
        <w:tc>
          <w:tcPr>
            <w:tcW w:type="dxa" w:w="1987"/>
          </w:tcPr>
          <w:p>
            <w:r>
              <w:rPr>
                <w:sz w:val="18"/>
              </w:rPr>
              <w:t>Beer comps tough</w:t>
            </w:r>
          </w:p>
        </w:tc>
      </w:tr>
      <w:tr>
        <w:tc>
          <w:tcPr>
            <w:tcW w:type="dxa" w:w="1987"/>
          </w:tcPr>
          <w:p>
            <w:r>
              <w:rPr>
                <w:sz w:val="18"/>
              </w:rPr>
              <w:t>UBS</w:t>
            </w:r>
          </w:p>
        </w:tc>
        <w:tc>
          <w:tcPr>
            <w:tcW w:type="dxa" w:w="1987"/>
          </w:tcPr>
          <w:p>
            <w:r>
              <w:rPr>
                <w:sz w:val="18"/>
              </w:rPr>
              <w:t>TSLA</w:t>
            </w:r>
          </w:p>
        </w:tc>
        <w:tc>
          <w:tcPr>
            <w:tcW w:type="dxa" w:w="1987"/>
          </w:tcPr>
          <w:p>
            <w:r>
              <w:rPr>
                <w:sz w:val="18"/>
              </w:rPr>
              <w:t>Sell → Neutral</w:t>
            </w:r>
          </w:p>
        </w:tc>
        <w:tc>
          <w:tcPr>
            <w:tcW w:type="dxa" w:w="1987"/>
          </w:tcPr>
          <w:p>
            <w:r>
              <w:rPr>
                <w:sz w:val="18"/>
              </w:rPr>
              <w:t>$195</w:t>
            </w:r>
          </w:p>
        </w:tc>
        <w:tc>
          <w:tcPr>
            <w:tcW w:type="dxa" w:w="1987"/>
          </w:tcPr>
          <w:p>
            <w:r>
              <w:rPr>
                <w:sz w:val="18"/>
              </w:rPr>
              <w:t>Valuation reset complete</w:t>
            </w:r>
          </w:p>
        </w:tc>
      </w:tr>
      <w:tr>
        <w:tc>
          <w:tcPr>
            <w:tcW w:type="dxa" w:w="1987"/>
          </w:tcPr>
          <w:p>
            <w:r>
              <w:rPr>
                <w:sz w:val="18"/>
              </w:rPr>
              <w:t>Evercore</w:t>
            </w:r>
          </w:p>
        </w:tc>
        <w:tc>
          <w:tcPr>
            <w:tcW w:type="dxa" w:w="1987"/>
          </w:tcPr>
          <w:p>
            <w:r>
              <w:rPr>
                <w:sz w:val="18"/>
              </w:rPr>
              <w:t>AAPL</w:t>
            </w:r>
          </w:p>
        </w:tc>
        <w:tc>
          <w:tcPr>
            <w:tcW w:type="dxa" w:w="1987"/>
          </w:tcPr>
          <w:p>
            <w:r>
              <w:rPr>
                <w:sz w:val="18"/>
              </w:rPr>
              <w:t>Outperform (reit.)</w:t>
            </w:r>
          </w:p>
        </w:tc>
        <w:tc>
          <w:tcPr>
            <w:tcW w:type="dxa" w:w="1987"/>
          </w:tcPr>
          <w:p>
            <w:r>
              <w:rPr>
                <w:sz w:val="18"/>
              </w:rPr>
              <w:t>$240</w:t>
            </w:r>
          </w:p>
        </w:tc>
        <w:tc>
          <w:tcPr>
            <w:tcW w:type="dxa" w:w="1987"/>
          </w:tcPr>
          <w:p>
            <w:r>
              <w:rPr>
                <w:sz w:val="18"/>
              </w:rPr>
              <w:t>AI cycle stronger than feared</w:t>
            </w:r>
          </w:p>
        </w:tc>
      </w:tr>
      <w:tr>
        <w:tc>
          <w:tcPr>
            <w:tcW w:type="dxa" w:w="1987"/>
          </w:tcPr>
          <w:p>
            <w:r>
              <w:rPr>
                <w:sz w:val="18"/>
              </w:rPr>
              <w:t>Jefferies</w:t>
            </w:r>
          </w:p>
        </w:tc>
        <w:tc>
          <w:tcPr>
            <w:tcW w:type="dxa" w:w="1987"/>
          </w:tcPr>
          <w:p>
            <w:r>
              <w:rPr>
                <w:sz w:val="18"/>
              </w:rPr>
              <w:t>KRE</w:t>
            </w:r>
          </w:p>
        </w:tc>
        <w:tc>
          <w:tcPr>
            <w:tcW w:type="dxa" w:w="1987"/>
          </w:tcPr>
          <w:p>
            <w:r>
              <w:rPr>
                <w:sz w:val="18"/>
              </w:rPr>
              <w:t>Hold → Underperform</w:t>
            </w:r>
          </w:p>
        </w:tc>
        <w:tc>
          <w:tcPr>
            <w:tcW w:type="dxa" w:w="1987"/>
          </w:tcPr>
          <w:p>
            <w:r>
              <w:rPr>
                <w:sz w:val="18"/>
              </w:rPr>
              <w:t>$46</w:t>
            </w:r>
          </w:p>
        </w:tc>
        <w:tc>
          <w:tcPr>
            <w:tcW w:type="dxa" w:w="1987"/>
          </w:tcPr>
          <w:p>
            <w:r>
              <w:rPr>
                <w:sz w:val="18"/>
              </w:rPr>
              <w:t>Sector-wide CRE pressure</w:t>
            </w:r>
          </w:p>
        </w:tc>
      </w:tr>
    </w:tbl>
    <w:p/>
    <w:p>
      <w:pPr>
        <w:pBdr>
          <w:bottom w:val="single" w:sz="12" w:color="C8A22C"/>
        </w:pBdr>
      </w:pPr>
      <w:r>
        <w:rPr>
          <w:b/>
          <w:color w:val="0A1F44"/>
          <w:sz w:val="28"/>
        </w:rPr>
        <w:t>STOCKS TO WATCH</w:t>
      </w:r>
    </w:p>
    <w:p>
      <w:r>
        <w:rPr>
          <w:b/>
          <w:color w:val="0A1F44"/>
          <w:sz w:val="24"/>
        </w:rPr>
        <w:t>NVDA — $932</w:t>
      </w:r>
    </w:p>
    <w:p>
      <w:pPr>
        <w:spacing w:after="120"/>
      </w:pPr>
      <w:r>
        <w:t>Nvidia is the cleanest long expression of the CoreWeave/Meta deal. Shares consolidated between $880–$940 through March as the market digested Blackwell ramp commentary, and the $21B Meta announcement removes the biggest overhang — demand elasticity at the high end. Watch $940 resistance; a break targets $980 and then the January record of $974. Downside support at $880, then the 200-day at $842. Options skew has flattened, suggesting crowded hedges have already rolled off.</w:t>
      </w:r>
    </w:p>
    <w:p>
      <w:r>
        <w:rPr>
          <w:b/>
          <w:color w:val="0A1F44"/>
          <w:sz w:val="24"/>
        </w:rPr>
        <w:t>XOM — $118</w:t>
      </w:r>
    </w:p>
    <w:p>
      <w:pPr>
        <w:spacing w:after="120"/>
      </w:pPr>
      <w:r>
        <w:t>Exxon is the cleanest hedge against ceasefire reversal. Shares fell 4.8% Wednesday on the oil rout and are indicated 2.5% higher this morning. The Permian FCF story remains intact even at $90 Brent, and the Pioneer integration is ahead of schedule on synergies. Goldman's upgrade to Conviction Buy this morning adds catalyst. Key technical: $120 was major resistance through Q1; a close above confirms the breakout.</w:t>
      </w:r>
    </w:p>
    <w:p>
      <w:r>
        <w:rPr>
          <w:b/>
          <w:color w:val="0A1F44"/>
          <w:sz w:val="24"/>
        </w:rPr>
        <w:t>DAL — $54.20</w:t>
      </w:r>
    </w:p>
    <w:p>
      <w:pPr>
        <w:spacing w:after="120"/>
      </w:pPr>
      <w:r>
        <w:t>Delta's print is the Q1 earnings-season barometer. The +3% indicated move prices in a beat but not a blowout; the stock has run from $42 in October to $54, and multiple expansion is doing most of the work. If Powell leans dovish at 12:30 and oil stabilizes, DAL can extend toward the $60 analyst-consensus target. If oil rips to $105, fuel math swamps the beat. Pair trade: long DAL / short XLE is tempting for a mean-reversion day.</w:t>
      </w:r>
    </w:p>
    <w:p>
      <w:r>
        <w:rPr>
          <w:b/>
          <w:color w:val="0A1F44"/>
          <w:sz w:val="24"/>
        </w:rPr>
        <w:t>NYCB — $9.10</w:t>
      </w:r>
    </w:p>
    <w:p>
      <w:pPr>
        <w:spacing w:after="120"/>
      </w:pPr>
      <w:r>
        <w:t>The canary in the regional-bank coalmine. A break of $9.00 would complete a head-and-shoulders top on the weekly chart and invite another leg of forced selling from passive ETFs. A reclaim of $9.50 would suggest the WSJ story is already priced. Either way, NYCB is the single best real-time gauge of regional-bank systemic risk today.</w:t>
      </w:r>
    </w:p>
    <w:p>
      <w:pPr>
        <w:pBdr>
          <w:bottom w:val="single" w:sz="12" w:color="C8A22C"/>
        </w:pBdr>
      </w:pPr>
      <w:r>
        <w:rPr>
          <w:b/>
          <w:color w:val="0A1F44"/>
          <w:sz w:val="28"/>
        </w:rPr>
        <w:t>GLOBAL MACRO SNAPSHOT</w:t>
      </w:r>
    </w:p>
    <w:p>
      <w:pPr>
        <w:spacing w:after="120"/>
      </w:pPr>
      <w:r>
        <w:t>China's March trade beat nominally brightens the EM growth picture, but the internals are less encouraging: exports to the U.S. rose 9% while exports to the EU were flat and to ASEAN were negative, consistent with front-loading ahead of potential tariffs rather than cyclical recovery. Watch the April PMI prints on the 30th for confirmation. In Europe, the ECB's Lagarde speaks tomorrow ahead of next week's policy meeting where a 25 bp cut is now 94% priced; the bigger question is whether she signals back-to-back cuts or pauses in June. EUR/USD at 1.0912 is caught between dovish ECB and a Fed that may out-dove it by summer.</w:t>
      </w:r>
    </w:p>
    <w:p>
      <w:pPr>
        <w:spacing w:after="120"/>
      </w:pPr>
      <w:r>
        <w:t>Emerging markets show mixed stress: the Turkish lira sold off 2% overnight on fresh political headlines, the Egyptian pound is back under IMF-program pressure, and Brazilian real strength is the quiet standout of 2026 YTD. Commodity-linked currencies (AUD, CAD, NOK) are tracking oil tick-for-tick, which makes them the cleanest FX expression of the Iran risk trade.</w:t>
      </w:r>
    </w:p>
    <w:p>
      <w:pPr>
        <w:pBdr>
          <w:bottom w:val="single" w:sz="12" w:color="C8A22C"/>
        </w:pBdr>
      </w:pPr>
      <w:r>
        <w:rPr>
          <w:b/>
          <w:color w:val="0A1F44"/>
          <w:sz w:val="28"/>
        </w:rPr>
        <w:t>WEEK AHEAD PREVIEW</w:t>
      </w:r>
    </w:p>
    <w:p>
      <w:pPr>
        <w:spacing w:after="120"/>
      </w:pPr>
      <w:r>
        <w:t>Friday delivers the PPI print (consensus +0.3% headline, +0.2% core) — a potential CPI preview given the oil influence. Next Monday brings the NY Fed inflation expectations survey and kicks off bank earnings week: JPMorgan, Wells Fargo, Citigroup, and BlackRock all report Tuesday morning, followed by Bank of America, Goldman Sachs, and Morgan Stanley Wednesday. These prints will reset the narrative on net-interest-margin trajectory, investment-banking recovery, and — most critically after today's NYCB headline — commercial real-estate loan provisioning.</w:t>
      </w:r>
    </w:p>
    <w:p>
      <w:pPr>
        <w:spacing w:after="120"/>
      </w:pPr>
      <w:r>
        <w:t>The macro marquee is Wednesday's CPI (consensus +0.3% headline, +0.3% core), which will be the first inflation reading to fully capture March's oil move. Retail sales land Thursday, followed by housing starts Friday. On the geopolitical side, the informal Iran ceasefire expires at midnight Sunday if not extended; any trial-balloon statements from either side will move crude. Central bank calendar: ECB Thursday (cut priced), Bank of Canada Wednesday (hold expected), and three more Fed speakers including Jefferson, Bostic, and Kashkari.</w:t>
      </w:r>
    </w:p>
    <w:p>
      <w:pPr>
        <w:pBdr>
          <w:bottom w:val="single" w:sz="12" w:color="C8A22C"/>
        </w:pBdr>
      </w:pPr>
      <w:r>
        <w:rPr>
          <w:b/>
          <w:color w:val="0A1F44"/>
          <w:sz w:val="28"/>
        </w:rPr>
        <w:t>CLOSING THOUGHT</w:t>
      </w:r>
    </w:p>
    <w:p>
      <w:pPr>
        <w:spacing w:after="120"/>
      </w:pPr>
      <w:r>
        <w:t>Wednesday's ceasefire rally was the purest expression of recency bias this cycle has seen: markets priced a 1,160-point Dow day on a presidential tweet that no Middle East analyst I trust believes will survive two weeks. The bond market's reaction — bull-flattening while equities ripped — was the smart money quietly hedging. History offers a useful parallel: the 1990 Gulf War saw three separate 'ceasefire' rumors between August and November, each triggering 3%+ equity rallies, each unwound within a week. The market that finally held was the one that priced crude at $20, not $40 — i.e., after the war ended, not before. Today's tape is not that tape yet. Respect the trend, but size for the unwind.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