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B2A4A"/>
          <w:sz w:val="40"/>
          <w:szCs w:val="40"/>
        </w:rPr>
        <w:t xml:space="preserve">📊 DAILY FINANCIAL BRIEF</w:t>
      </w:r>
    </w:p>
    <w:p>
      <w:pPr>
        <w:spacing w:after="40"/>
        <w:jc w:val="center"/>
      </w:pPr>
      <w:r>
        <w:rPr>
          <w:rFonts w:ascii="Georgia" w:cs="Georgia" w:eastAsia="Georgia" w:hAnsi="Georgia"/>
          <w:b/>
          <w:bCs/>
          <w:color w:val="C5960C"/>
          <w:sz w:val="24"/>
          <w:szCs w:val="24"/>
        </w:rPr>
        <w:t xml:space="preserve">Friday, April 10, 2026</w:t>
      </w:r>
    </w:p>
    <w:p>
      <w:pPr>
        <w:pBdr>
          <w:bottom w:val="single" w:color="C5960C" w:sz="10" w:space="8"/>
        </w:pBdr>
        <w:spacing w:after="300"/>
        <w:jc w:val="center"/>
      </w:pPr>
      <w:r>
        <w:rPr>
          <w:rFonts w:ascii="Georgia" w:cs="Georgia" w:eastAsia="Georgia" w:hAnsi="Georgia"/>
          <w:i/>
          <w:iCs/>
          <w:color w:val="666666"/>
          <w:sz w:val="20"/>
          <w:szCs w:val="20"/>
        </w:rPr>
        <w:t xml:space="preserve">Your Morning Markets Intelligence</w:t>
      </w:r>
    </w:p>
    <w:p>
      <w:pPr>
        <w:pStyle w:val="Heading1"/>
        <w:spacing w:after="150" w:before="300"/>
      </w:pPr>
      <w:r>
        <w:rPr>
          <w:rFonts w:ascii="Georgia" w:cs="Georgia" w:eastAsia="Georgia" w:hAnsi="Georgia"/>
          <w:b/>
          <w:bCs/>
          <w:color w:val="1B2A4A"/>
          <w:sz w:val="32"/>
          <w:szCs w:val="32"/>
        </w:rPr>
        <w:t xml:space="preserve">1. THE MORNING SETUP</w:t>
      </w:r>
    </w:p>
    <w:p>
      <w:pPr>
        <w:spacing w:after="120" w:line="276"/>
      </w:pPr>
      <w:r>
        <w:rPr>
          <w:rFonts w:ascii="Georgia" w:cs="Georgia" w:eastAsia="Georgia" w:hAnsi="Georgia"/>
          <w:color w:val="333333"/>
          <w:sz w:val="21"/>
          <w:szCs w:val="21"/>
        </w:rPr>
        <w:t xml:space="preserve">All eyes are on the Bureau of Labor Statistics this morning, where the March Consumer Price Index report is poised to deliver the most consequential inflation reading of 2026. Economists expect a </w:t>
      </w:r>
      <w:r>
        <w:rPr>
          <w:rFonts w:ascii="Georgia" w:cs="Georgia" w:eastAsia="Georgia" w:hAnsi="Georgia"/>
          <w:b/>
          <w:bCs/>
          <w:color w:val="333333"/>
          <w:sz w:val="21"/>
          <w:szCs w:val="21"/>
        </w:rPr>
        <w:t xml:space="preserve">0.8% monthly surge in headline CPI</w:t>
      </w:r>
      <w:r>
        <w:rPr>
          <w:rFonts w:ascii="Georgia" w:cs="Georgia" w:eastAsia="Georgia" w:hAnsi="Georgia"/>
          <w:color w:val="333333"/>
          <w:sz w:val="21"/>
          <w:szCs w:val="21"/>
        </w:rPr>
        <w:t xml:space="preserve"> — the largest single-month jump since the pandemic era — driven almost entirely by the energy shock that rippled through global markets after Iran’s closure of the Strait of Hormuz in early March. The fragile two-week ceasefire announced on April 7 has done little to restore normal oil flows; UAE’s ADNOC chief confirmed yesterday that 230 loaded tankers remain stranded in the Persian Gulf. With WTI crude still hovering near $98 and the dollar slipping below 99 on the DXY for the first time in two weeks, this morning’s CPI print will test whether the Fed can maintain its patient posture — or whether the stagflation specter is becoming too loud to ignore. Futures are drifting sideways ahead of the 8:30 a.m. release, suggesting traders are positioned for a number roughly in line with consensus, but the reaction function is asymmetric: a hot print could spark a sharp selloff, while an in-line reading likely extends the cautious relief rally that has defined this week.</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2. MARKETS AT A GLANCE</w:t>
      </w:r>
    </w:p>
    <w:p>
      <w:pPr>
        <w:spacing w:after="120" w:line="276"/>
      </w:pPr>
      <w:r>
        <w:rPr>
          <w:rFonts w:ascii="Georgia" w:cs="Georgia" w:eastAsia="Georgia" w:hAnsi="Georgia"/>
          <w:b/>
          <w:bCs/>
          <w:color w:val="1B2A4A"/>
          <w:sz w:val="22"/>
          <w:szCs w:val="22"/>
        </w:rPr>
        <w:t xml:space="preserve">U.S. Equities &amp;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Instrument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Change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 Change</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S&amp;P 500 (Prior Close)</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6,824.66</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+42.07</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+0.62%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S&amp;P 500 Futures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6,869.00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+5.75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+0.08%</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Dow Jones (Prior Close)</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48,150.80</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+278.07</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+0.58%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Nasdaq Composite (Prior Close)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22,822.42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+188.15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+0.83%</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Russell 2000 (Prior Close)</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2,636.31</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+15.74</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+0.60%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VIX (Fear Gauge)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19.33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-1.71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-8.1%</w:t>
            </w:r>
          </w:p>
        </w:tc>
      </w:tr>
    </w:tbl>
    <w:p>
      <w:pPr>
        <w:spacing w:before="200"/>
      </w:pPr>
    </w:p>
    <w:p>
      <w:pPr>
        <w:spacing w:after="120" w:line="276"/>
      </w:pPr>
      <w:r>
        <w:rPr>
          <w:rFonts w:ascii="Georgia" w:cs="Georgia" w:eastAsia="Georgia" w:hAnsi="Georgia"/>
          <w:b/>
          <w:bCs/>
          <w:color w:val="1B2A4A"/>
          <w:sz w:val="22"/>
          <w:szCs w:val="22"/>
        </w:rPr>
        <w:t xml:space="preserve">Global Equity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Instrument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Change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 Change</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Nikkei 225 (Japan)</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55,872</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-440</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-0.78%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Hang Seng (Hong Kong)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25,859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+743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+2.96%</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FTSE 100 (UK)</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10,609</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+260</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+2.51%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DAX (Germany)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24,081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+1,160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+5.06%</w:t>
            </w:r>
          </w:p>
        </w:tc>
      </w:tr>
    </w:tbl>
    <w:p>
      <w:pPr>
        <w:spacing w:before="200"/>
      </w:pPr>
    </w:p>
    <w:p>
      <w:pPr>
        <w:spacing w:after="120" w:line="276"/>
      </w:pPr>
      <w:r>
        <w:rPr>
          <w:rFonts w:ascii="Georgia" w:cs="Georgia" w:eastAsia="Georgia" w:hAnsi="Georgia"/>
          <w:b/>
          <w:bCs/>
          <w:color w:val="1B2A4A"/>
          <w:sz w:val="22"/>
          <w:szCs w:val="22"/>
        </w:rPr>
        <w:t xml:space="preserve">Fixed Income &amp;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Instrument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Change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 Change</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2-Year Treasury Yield</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3.783%</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Steady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10-Year Treasury Yield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4.287%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Steady</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30-Year Treasury Yield</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4.893%</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Steady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DXY Dollar Index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99.03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-0.35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-0.35%</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EUR/USD</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~1.095</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Dollar weak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USD/JPY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~148.5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Yen firm</w:t>
            </w:r>
          </w:p>
        </w:tc>
      </w:tr>
    </w:tbl>
    <w:p>
      <w:pPr>
        <w:spacing w:before="200"/>
      </w:pPr>
    </w:p>
    <w:p>
      <w:pPr>
        <w:spacing w:after="120" w:line="276"/>
      </w:pPr>
      <w:r>
        <w:rPr>
          <w:rFonts w:ascii="Georgia" w:cs="Georgia" w:eastAsia="Georgia" w:hAnsi="Georgia"/>
          <w:b/>
          <w:bCs/>
          <w:color w:val="1B2A4A"/>
          <w:sz w:val="22"/>
          <w:szCs w:val="22"/>
        </w:rPr>
        <w:t xml:space="preserve">Commodities &amp;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Instrument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Change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 Change</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WTI Crude</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$98.36</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+$0.49</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Brent Crude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$95.95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+$0.03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+0.03%</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Natural Gas</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$2.70</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B2A4A"/>
                <w:sz w:val="18"/>
                <w:szCs w:val="18"/>
              </w:rPr>
              <w:t xml:space="preserve">At support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Gold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$4,749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-$14.27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-0.30%</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Copper</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$5.75/lb</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-$0.01</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C0392B"/>
                <w:sz w:val="18"/>
                <w:szCs w:val="18"/>
              </w:rPr>
              <w:t xml:space="preserve">-0.25%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Bitcoin (BTC)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$72,183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+$1,240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+1.7%</w:t>
            </w:r>
          </w:p>
        </w:tc>
      </w:tr>
      <w:tr>
        <w:tc>
          <w:tcPr>
            <w:tcW w:type="dxa" w:w="3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Ethereum (ETH)</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$2,210</w:t>
            </w:r>
          </w:p>
        </w:tc>
        <w:tc>
          <w:tcPr>
            <w:tcW w:type="dxa" w:w="20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+$28</w:t>
            </w:r>
          </w:p>
        </w:tc>
        <w:tc>
          <w:tcPr>
            <w:tcW w:type="dxa" w:w="2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1A7A3A"/>
                <w:sz w:val="18"/>
                <w:szCs w:val="18"/>
              </w:rPr>
              <w:t xml:space="preserve">+1.3%</w:t>
            </w:r>
          </w:p>
        </w:tc>
      </w:tr>
    </w:tbl>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3. TOP STORIES</w:t>
      </w:r>
    </w:p>
    <w:p>
      <w:pPr>
        <w:pStyle w:val="Heading3"/>
        <w:spacing w:after="150" w:before="300"/>
      </w:pPr>
      <w:r>
        <w:rPr>
          <w:rFonts w:ascii="Georgia" w:cs="Georgia" w:eastAsia="Georgia" w:hAnsi="Georgia"/>
          <w:b/>
          <w:bCs/>
          <w:color w:val="1B2A4A"/>
          <w:sz w:val="22"/>
          <w:szCs w:val="22"/>
        </w:rPr>
        <w:t xml:space="preserve">Strait of Hormuz Remains Closed Despite Ceasefire — 230 Tankers Stranded</w:t>
      </w:r>
    </w:p>
    <w:p>
      <w:pPr>
        <w:spacing w:after="120" w:line="276"/>
      </w:pPr>
      <w:r>
        <w:rPr>
          <w:rFonts w:ascii="Georgia" w:cs="Georgia" w:eastAsia="Georgia" w:hAnsi="Georgia"/>
          <w:color w:val="333333"/>
          <w:sz w:val="21"/>
          <w:szCs w:val="21"/>
        </w:rPr>
        <w:t xml:space="preserve">The two-week US-Iran ceasefire announced on April 7 was supposed to reopen the world’s most critical oil chokepoint. Three days later, it hasn’t. ADNOC CEO Sultan Al Jaber confirmed Thursday that Iran is “restricting and conditioning traffic” through the Strait of Hormuz, with approximately 230 loaded oil tankers waiting inside the Persian Gulf. The blockade, which began in early March, represents the largest disruption to world energy supply since the 1970s oil crisis, cutting off roughly 20% of global oil and natural gas flows. Industry experts warn normalization will take “weeks, if not months” even under a best-case scenario, as insurance companies are demanding steep premiums for tanker transit and ship operators remain wary.</w:t>
      </w:r>
    </w:p>
    <w:p>
      <w:pPr>
        <w:spacing w:after="120" w:line="276"/>
      </w:pPr>
      <w:r>
        <w:rPr>
          <w:rFonts w:ascii="Georgia" w:cs="Georgia" w:eastAsia="Georgia" w:hAnsi="Georgia"/>
          <w:b/>
          <w:bCs/>
          <w:color w:val="333333"/>
          <w:sz w:val="21"/>
          <w:szCs w:val="21"/>
        </w:rPr>
        <w:t xml:space="preserve">Market implication: </w:t>
      </w:r>
      <w:r>
        <w:rPr>
          <w:rFonts w:ascii="Georgia" w:cs="Georgia" w:eastAsia="Georgia" w:hAnsi="Georgia"/>
          <w:color w:val="333333"/>
          <w:sz w:val="21"/>
          <w:szCs w:val="21"/>
        </w:rPr>
        <w:t xml:space="preserve">Oil prices have settled well off their $120+ highs from March but remain elevated near $98 WTI. The persistent closure keeps the energy inflation trade alive and makes today’s CPI print even more consequential. Watch for tanker tracking data and any new ceasefire implementation updates.</w:t>
      </w:r>
    </w:p>
    <w:p>
      <w:pPr>
        <w:pStyle w:val="Heading3"/>
        <w:spacing w:after="150" w:before="300"/>
      </w:pPr>
      <w:r>
        <w:rPr>
          <w:rFonts w:ascii="Georgia" w:cs="Georgia" w:eastAsia="Georgia" w:hAnsi="Georgia"/>
          <w:b/>
          <w:bCs/>
          <w:color w:val="1B2A4A"/>
          <w:sz w:val="22"/>
          <w:szCs w:val="22"/>
        </w:rPr>
        <w:t xml:space="preserve">March CPI Report: Energy Shock Arrives at the Consumer Level</w:t>
      </w:r>
    </w:p>
    <w:p>
      <w:pPr>
        <w:spacing w:after="120" w:line="276"/>
      </w:pPr>
      <w:r>
        <w:rPr>
          <w:rFonts w:ascii="Georgia" w:cs="Georgia" w:eastAsia="Georgia" w:hAnsi="Georgia"/>
          <w:color w:val="333333"/>
          <w:sz w:val="21"/>
          <w:szCs w:val="21"/>
        </w:rPr>
        <w:t xml:space="preserve">Today’s 8:30 a.m. CPI release is expected to show headline inflation surging 0.8% month-over-month and 3.4% year-over-year, according to FactSet consensus — a sharp acceleration from February’s more benign readings. The spike is almost entirely attributable to the energy component, as gasoline prices jumped in response to the Hormuz disruption. Core CPI, which strips out food and energy, is forecast at a much calmer +0.2% monthly and 2.7% year-over-year, suggesting the underlying inflation trend remains well-behaved. The divergence between headline and core will be the key analytical point: if core holds firm, the Fed can continue to look through the energy shock. If it bleeds into services inflation, the policy calculus changes dramatically.</w:t>
      </w:r>
    </w:p>
    <w:p>
      <w:pPr>
        <w:pStyle w:val="Heading3"/>
        <w:spacing w:after="150" w:before="300"/>
      </w:pPr>
      <w:r>
        <w:rPr>
          <w:rFonts w:ascii="Georgia" w:cs="Georgia" w:eastAsia="Georgia" w:hAnsi="Georgia"/>
          <w:b/>
          <w:bCs/>
          <w:color w:val="1B2A4A"/>
          <w:sz w:val="22"/>
          <w:szCs w:val="22"/>
        </w:rPr>
        <w:t xml:space="preserve">Dollar Slides Below 99 on DXY — Weakest in Two Weeks</w:t>
      </w:r>
    </w:p>
    <w:p>
      <w:pPr>
        <w:spacing w:after="120" w:line="276"/>
      </w:pPr>
      <w:r>
        <w:rPr>
          <w:rFonts w:ascii="Georgia" w:cs="Georgia" w:eastAsia="Georgia" w:hAnsi="Georgia"/>
          <w:color w:val="333333"/>
          <w:sz w:val="21"/>
          <w:szCs w:val="21"/>
        </w:rPr>
        <w:t xml:space="preserve">The US Dollar Index slipped below the psychologically important 99 level on Thursday, its lowest reading in over two weeks, as markets recalibrated expectations around the geopolitical premium. The move reflects a complex interplay: while the Iran conflict has boosted energy prices (typically dollar-positive), the economic uncertainty it creates and the approaching end of Jerome Powell’s term as Fed Chair on May 15 are weighing on the greenback. European currencies have been the primary beneficiaries, with the euro firming near 1.095 against the dollar. A weak dollar amplifies imported inflation pressures — another variable for the Fed to consider.</w:t>
      </w:r>
    </w:p>
    <w:p>
      <w:pPr>
        <w:pStyle w:val="Heading3"/>
        <w:spacing w:after="150" w:before="300"/>
      </w:pPr>
      <w:r>
        <w:rPr>
          <w:rFonts w:ascii="Georgia" w:cs="Georgia" w:eastAsia="Georgia" w:hAnsi="Georgia"/>
          <w:b/>
          <w:bCs/>
          <w:color w:val="1B2A4A"/>
          <w:sz w:val="22"/>
          <w:szCs w:val="22"/>
        </w:rPr>
        <w:t xml:space="preserve">Energy Leads, Tech Lags: The Great Sector Rotation of 2026</w:t>
      </w:r>
    </w:p>
    <w:p>
      <w:pPr>
        <w:spacing w:after="120" w:line="276"/>
      </w:pPr>
      <w:r>
        <w:rPr>
          <w:rFonts w:ascii="Georgia" w:cs="Georgia" w:eastAsia="Georgia" w:hAnsi="Georgia"/>
          <w:color w:val="333333"/>
          <w:sz w:val="21"/>
          <w:szCs w:val="21"/>
        </w:rPr>
        <w:t xml:space="preserve">The first quarter’s most defining market story has been the dramatic rotation from technology into energy. The energy sector surged more than 34% in Q1, led by Exxon Mobil (+42% YTD) and Chevron, as Brent crude spiked above $120 following the Hormuz disruptions. Meanwhile, the Magnificent Seven stocks that dominated 2024-2025 are nursing significant losses, with Microsoft down approximately 23% year-to-date. This represents a fundamental shift in market leadership — the concentration risk that many warned about is now playing out in reverse, as diversified portfolios with energy exposure have dramatically outperformed tech-heavy ones.</w:t>
      </w:r>
    </w:p>
    <w:p>
      <w:pPr>
        <w:pStyle w:val="Heading3"/>
        <w:spacing w:after="150" w:before="300"/>
      </w:pPr>
      <w:r>
        <w:rPr>
          <w:rFonts w:ascii="Georgia" w:cs="Georgia" w:eastAsia="Georgia" w:hAnsi="Georgia"/>
          <w:b/>
          <w:bCs/>
          <w:color w:val="1B2A4A"/>
          <w:sz w:val="22"/>
          <w:szCs w:val="22"/>
        </w:rPr>
        <w:t xml:space="preserve">Israel-Lebanon Conflict Escalates, Complicating Ceasefire Dynamics</w:t>
      </w:r>
    </w:p>
    <w:p>
      <w:pPr>
        <w:spacing w:after="120" w:line="276"/>
      </w:pPr>
      <w:r>
        <w:rPr>
          <w:rFonts w:ascii="Georgia" w:cs="Georgia" w:eastAsia="Georgia" w:hAnsi="Georgia"/>
          <w:color w:val="333333"/>
          <w:sz w:val="21"/>
          <w:szCs w:val="21"/>
        </w:rPr>
        <w:t xml:space="preserve">Even as the US-Iran ceasefire enters its third day, Israel’s ongoing conflict with Hezbollah in Lebanon is adding layers of complexity to the Middle East picture. Tehran has accused the US of violating the ceasefire terms, and peace talks scheduled for Friday face significant obstacles. The multi-front nature of the conflict means that even successful US-Iran negotiations may not resolve the broader regional instability that continues to support risk premiums across energy, gold, and defense stocks. The situation underscores why the VIX, while retreating from crisis highs, remains elevated at 19+ — well above the sub-15 levels that characterized the relative calm of late 2025.</w:t>
      </w:r>
    </w:p>
    <w:p>
      <w:pPr>
        <w:pStyle w:val="Heading3"/>
        <w:spacing w:after="150" w:before="300"/>
      </w:pPr>
      <w:r>
        <w:rPr>
          <w:rFonts w:ascii="Georgia" w:cs="Georgia" w:eastAsia="Georgia" w:hAnsi="Georgia"/>
          <w:b/>
          <w:bCs/>
          <w:color w:val="1B2A4A"/>
          <w:sz w:val="22"/>
          <w:szCs w:val="22"/>
        </w:rPr>
        <w:t xml:space="preserve">Fed Leadership Transition Looms — Powell’s Term Expires May 15</w:t>
      </w:r>
    </w:p>
    <w:p>
      <w:pPr>
        <w:spacing w:after="120" w:line="276"/>
      </w:pPr>
      <w:r>
        <w:rPr>
          <w:rFonts w:ascii="Georgia" w:cs="Georgia" w:eastAsia="Georgia" w:hAnsi="Georgia"/>
          <w:color w:val="333333"/>
          <w:sz w:val="21"/>
          <w:szCs w:val="21"/>
        </w:rPr>
        <w:t xml:space="preserve">The approaching expiration of Jerome Powell’s term as Federal Reserve Chair on May 15 is adding an unusual layer of uncertainty to monetary policy expectations. The Administration has not yet named a successor, and the market is pricing in a cautious approach from the FOMC during this transition period. Fed Vice Chair Philip Jefferson delivered remarks on the economic outlook and labor market on April 7, emphasizing the Committee’s data-dependent approach. With rates at 3.50-3.75% and the median FOMC member projecting just one cut for 2026, the transition creates an unusual backdrop where policy continuity cannot be assumed.</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4. MACRO &amp; FED WATCH</w:t>
      </w:r>
    </w:p>
    <w:p>
      <w:pPr>
        <w:spacing w:after="120" w:line="276"/>
      </w:pPr>
      <w:r>
        <w:rPr>
          <w:rFonts w:ascii="Georgia" w:cs="Georgia" w:eastAsia="Georgia" w:hAnsi="Georgia"/>
          <w:color w:val="333333"/>
          <w:sz w:val="21"/>
          <w:szCs w:val="21"/>
        </w:rPr>
        <w:t xml:space="preserve">The Federal Reserve finds itself in an increasingly uncomfortable position. The target range of 3.50-3.75% reflects two years of carefully calibrated cuts from the 2023 peak, but the energy shock from the Iran conflict has introduced a supply-side inflation impulse that monetary policy is poorly equipped to address. The March FOMC meeting’s updated dot plot showed the median member expecting just one additional 25bp cut in 2026, though the range was notably wide — at least one official sees the need for four cuts this year.</w:t>
      </w:r>
    </w:p>
    <w:p>
      <w:pPr>
        <w:spacing w:after="120" w:line="276"/>
      </w:pPr>
      <w:r>
        <w:rPr>
          <w:rFonts w:ascii="Georgia" w:cs="Georgia" w:eastAsia="Georgia" w:hAnsi="Georgia"/>
          <w:color w:val="333333"/>
          <w:sz w:val="21"/>
          <w:szCs w:val="21"/>
        </w:rPr>
        <w:t xml:space="preserve">The yield curve tells a nuanced story. The 2-year Treasury at 3.78% versus the 10-year at 4.29% represents a positively sloped curve of about 50 basis points, suggesting markets expect the current rate level is roughly appropriate for the near term but see higher-for-longer risks extending out. The 30-year at 4.89% reflects persistent term premium, likely driven by fiscal concerns and the energy-related inflation uncertainty.</w:t>
      </w:r>
    </w:p>
    <w:p>
      <w:pPr>
        <w:spacing w:after="120" w:line="276"/>
      </w:pPr>
      <w:r>
        <w:rPr>
          <w:rFonts w:ascii="Georgia" w:cs="Georgia" w:eastAsia="Georgia" w:hAnsi="Georgia"/>
          <w:color w:val="333333"/>
          <w:sz w:val="21"/>
          <w:szCs w:val="21"/>
        </w:rPr>
        <w:t xml:space="preserve">Fed funds futures are pricing approximately 65% probability of the next cut coming at the July meeting, with the market implying roughly 50bp of total easing through year-end. Vice Chair Jefferson’s April 7 speech emphasized the need to “carefully assess incoming data,” which is Fed-speak for patience. Today’s CPI will be the single most important data point in determining whether the July cut remains on the table.</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5. ECONOMIC CALENDAR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300"/>
        <w:gridCol w:w="1300"/>
        <w:gridCol w:w="30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Time (ET)</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Indicator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Prior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Consensus</w:t>
            </w:r>
          </w:p>
        </w:tc>
        <w:tc>
          <w:tcPr>
            <w:tcW w:type="dxa" w:w="3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Why It Matters</w:t>
            </w:r>
          </w:p>
        </w:tc>
      </w:tr>
      <w:tr>
        <w:tc>
          <w:tcPr>
            <w:tcW w:type="dxa" w:w="1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8:30 AM</w:t>
            </w:r>
          </w:p>
        </w:tc>
        <w:tc>
          <w:tcPr>
            <w:tcW w:type="dxa" w:w="25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CPI (MoM) - March</w:t>
            </w:r>
          </w:p>
        </w:tc>
        <w:tc>
          <w:tcPr>
            <w:tcW w:type="dxa" w:w="13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+0.2%</w:t>
            </w:r>
          </w:p>
        </w:tc>
        <w:tc>
          <w:tcPr>
            <w:tcW w:type="dxa" w:w="13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+0.8%</w:t>
            </w:r>
          </w:p>
        </w:tc>
        <w:tc>
          <w:tcPr>
            <w:tcW w:type="dxa" w:w="30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Key inflation gauge; energy surge expected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8:30 AM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CPI (YoY) - March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+3.4%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Annual trend; re-acceleration feared</w:t>
            </w:r>
          </w:p>
        </w:tc>
      </w:tr>
      <w:tr>
        <w:tc>
          <w:tcPr>
            <w:tcW w:type="dxa" w:w="1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8:30 AM</w:t>
            </w:r>
          </w:p>
        </w:tc>
        <w:tc>
          <w:tcPr>
            <w:tcW w:type="dxa" w:w="25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Core CPI (MoM) - March</w:t>
            </w:r>
          </w:p>
        </w:tc>
        <w:tc>
          <w:tcPr>
            <w:tcW w:type="dxa" w:w="13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+0.2%</w:t>
            </w:r>
          </w:p>
        </w:tc>
        <w:tc>
          <w:tcPr>
            <w:tcW w:type="dxa" w:w="13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+0.2%</w:t>
            </w:r>
          </w:p>
        </w:tc>
        <w:tc>
          <w:tcPr>
            <w:tcW w:type="dxa" w:w="30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Underlying trend ex-food/energy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8:30 AM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Core CPI (YoY) - March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Fed’s preferred gauge of sticky inflation</w:t>
            </w:r>
          </w:p>
        </w:tc>
      </w:tr>
      <w:tr>
        <w:tc>
          <w:tcPr>
            <w:tcW w:type="dxa" w:w="1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8:30 AM</w:t>
            </w:r>
          </w:p>
        </w:tc>
        <w:tc>
          <w:tcPr>
            <w:tcW w:type="dxa" w:w="25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Initial Jobless Claims</w:t>
            </w:r>
          </w:p>
        </w:tc>
        <w:tc>
          <w:tcPr>
            <w:tcW w:type="dxa" w:w="13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218K</w:t>
            </w:r>
          </w:p>
        </w:tc>
        <w:tc>
          <w:tcPr>
            <w:tcW w:type="dxa" w:w="13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220K</w:t>
            </w:r>
          </w:p>
        </w:tc>
        <w:tc>
          <w:tcPr>
            <w:tcW w:type="dxa" w:w="30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Labor market health check</w:t>
            </w:r>
          </w:p>
        </w:tc>
      </w:tr>
    </w:tbl>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6. EARNINGS WATCH</w:t>
      </w:r>
    </w:p>
    <w:p>
      <w:pPr>
        <w:spacing w:after="120" w:line="276"/>
      </w:pPr>
      <w:r>
        <w:rPr>
          <w:rFonts w:ascii="Georgia" w:cs="Georgia" w:eastAsia="Georgia" w:hAnsi="Georgia"/>
          <w:color w:val="333333"/>
          <w:sz w:val="21"/>
          <w:szCs w:val="21"/>
        </w:rPr>
        <w:t xml:space="preserve">Q1 2026 earnings season begins in earnest next week with the major banks, but today features approximately 13-16 companies reporting, mostly mid-cap names. The marquee report next week will be </w:t>
      </w:r>
      <w:r>
        <w:rPr>
          <w:rFonts w:ascii="Georgia" w:cs="Georgia" w:eastAsia="Georgia" w:hAnsi="Georgia"/>
          <w:b/>
          <w:bCs/>
          <w:color w:val="333333"/>
          <w:sz w:val="21"/>
          <w:szCs w:val="21"/>
        </w:rPr>
        <w:t xml:space="preserve">BlackRock (BLK)</w:t>
      </w:r>
      <w:r>
        <w:rPr>
          <w:rFonts w:ascii="Georgia" w:cs="Georgia" w:eastAsia="Georgia" w:hAnsi="Georgia"/>
          <w:color w:val="333333"/>
          <w:sz w:val="21"/>
          <w:szCs w:val="21"/>
        </w:rPr>
        <w:t xml:space="preserve"> on April 14, with consensus expecting Q1 EPS of $12.01-$12.45 on revenue of $6.6 billion — a 25.5% year-over-year jump reflecting the asset manager’s growing dominance in ETFs and alternative investments.</w:t>
      </w:r>
    </w:p>
    <w:p>
      <w:pPr>
        <w:spacing w:after="120" w:line="276"/>
      </w:pPr>
      <w:r>
        <w:rPr>
          <w:rFonts w:ascii="Georgia" w:cs="Georgia" w:eastAsia="Georgia" w:hAnsi="Georgia"/>
          <w:color w:val="333333"/>
          <w:sz w:val="21"/>
          <w:szCs w:val="21"/>
        </w:rPr>
        <w:t xml:space="preserve">The broader earnings season setup is complicated by the Hormuz crisis. Energy companies are expected to report blowout numbers, while companies with significant energy input costs — particularly industrials, airlines, and consumer staples — may guide cautiously. Analysts will be laser-focused on margin commentary: which companies can pass through higher energy costs, and which are absorbing them? The options market is pricing elevated moves around earnings, consistent with the VIX sitting above 19.</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7. SECTOR SPOTLIGHT: ENERGY’S DOMINANCE &amp; TECH’S RECKONING</w:t>
      </w:r>
    </w:p>
    <w:p>
      <w:pPr>
        <w:spacing w:after="120" w:line="276"/>
      </w:pPr>
      <w:r>
        <w:rPr>
          <w:rFonts w:ascii="Georgia" w:cs="Georgia" w:eastAsia="Georgia" w:hAnsi="Georgia"/>
          <w:color w:val="333333"/>
          <w:sz w:val="21"/>
          <w:szCs w:val="21"/>
        </w:rPr>
        <w:t xml:space="preserve">The energy sector’s 34% Q1 gain represents one of the most dramatic sector outperformances in recent market history. Exxon Mobil alone has added roughly $180 billion in market capitalization year-to-date, while the oil services complex (Schlumberger, Halliburton) has surged on expectations of sustained elevated crude prices. The sector rotation is self-reinforcing: as energy stocks rally, they pull index-level performance higher, attracting momentum flows and systematic strategies.</w:t>
      </w:r>
    </w:p>
    <w:p>
      <w:pPr>
        <w:spacing w:after="120" w:line="276"/>
      </w:pPr>
      <w:r>
        <w:rPr>
          <w:rFonts w:ascii="Georgia" w:cs="Georgia" w:eastAsia="Georgia" w:hAnsi="Georgia"/>
          <w:color w:val="333333"/>
          <w:sz w:val="21"/>
          <w:szCs w:val="21"/>
        </w:rPr>
        <w:t xml:space="preserve">On the flip side, technology’s struggles reflect both the mechanical rotation out of crowded positions and fundamental concerns. Higher energy costs eat into data center economics (a direct headwind for AI infrastructure spending), while the stronger dollar earlier in the year pressured overseas revenue translation. Microsoft’s 23% decline is a stark reminder that even the highest-quality growth stocks are vulnerable when the macro regime shifts.</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8. ANALYST CALLS &amp; UPGRADES/DOWNGRADES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1800"/>
        <w:gridCol w:w="31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Firm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Stock</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Georgia" w:cs="Georgia" w:eastAsia="Georgia" w:hAnsi="Georgia"/>
                <w:b/>
                <w:bCs/>
                <w:color w:val="FFFFFF"/>
                <w:sz w:val="18"/>
                <w:szCs w:val="18"/>
              </w:rPr>
              <w:t xml:space="preserve">Price Target</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Rationale</w:t>
            </w:r>
          </w:p>
        </w:tc>
      </w:tr>
      <w:tr>
        <w:tc>
          <w:tcPr>
            <w:tcW w:type="dxa" w:w="15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Stifel</w:t>
            </w:r>
          </w:p>
        </w:tc>
        <w:tc>
          <w:tcPr>
            <w:tcW w:type="dxa" w:w="1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TXN</w:t>
            </w:r>
          </w:p>
        </w:tc>
        <w:tc>
          <w:tcPr>
            <w:tcW w:type="dxa" w:w="17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1A7A3A"/>
                <w:sz w:val="18"/>
                <w:szCs w:val="18"/>
              </w:rPr>
              <w:t xml:space="preserve">▲ Upgrade to Buy</w:t>
            </w:r>
          </w:p>
        </w:tc>
        <w:tc>
          <w:tcPr>
            <w:tcW w:type="dxa" w:w="18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$250 (from $215)</w:t>
            </w:r>
          </w:p>
        </w:tc>
        <w:tc>
          <w:tcPr>
            <w:tcW w:type="dxa" w:w="3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Analog upcycle positioning; FCF inflection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Goldman Sachs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1A7A3A"/>
                <w:sz w:val="18"/>
                <w:szCs w:val="18"/>
              </w:rPr>
              <w:t xml:space="preserve">PT Raised (Buy)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$137 (from $123)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Revenue diversification gains traction</w:t>
            </w:r>
          </w:p>
        </w:tc>
      </w:tr>
      <w:tr>
        <w:tc>
          <w:tcPr>
            <w:tcW w:type="dxa" w:w="15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BTIG</w:t>
            </w:r>
          </w:p>
        </w:tc>
        <w:tc>
          <w:tcPr>
            <w:tcW w:type="dxa" w:w="1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ZS</w:t>
            </w:r>
          </w:p>
        </w:tc>
        <w:tc>
          <w:tcPr>
            <w:tcW w:type="dxa" w:w="17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C0392B"/>
                <w:sz w:val="18"/>
                <w:szCs w:val="18"/>
              </w:rPr>
              <w:t xml:space="preserve">▼ Downgrade to Neutral</w:t>
            </w:r>
          </w:p>
        </w:tc>
        <w:tc>
          <w:tcPr>
            <w:tcW w:type="dxa" w:w="18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No target</w:t>
            </w:r>
          </w:p>
        </w:tc>
        <w:tc>
          <w:tcPr>
            <w:tcW w:type="dxa" w:w="3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Field checks deteriorated significantly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Guggenheim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GTLB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C0392B"/>
                <w:sz w:val="18"/>
                <w:szCs w:val="18"/>
              </w:rPr>
              <w:t xml:space="preserve">▼ Downgrade to Neutral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Pronounced AI risk; no near-term catalysts</w:t>
            </w:r>
          </w:p>
        </w:tc>
      </w:tr>
      <w:tr>
        <w:tc>
          <w:tcPr>
            <w:tcW w:type="dxa" w:w="15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Stifel</w:t>
            </w:r>
          </w:p>
        </w:tc>
        <w:tc>
          <w:tcPr>
            <w:tcW w:type="dxa" w:w="1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TH</w:t>
            </w:r>
          </w:p>
        </w:tc>
        <w:tc>
          <w:tcPr>
            <w:tcW w:type="dxa" w:w="17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1A7A3A"/>
                <w:sz w:val="18"/>
                <w:szCs w:val="18"/>
              </w:rPr>
              <w:t xml:space="preserve">PT Raised (Buy)</w:t>
            </w:r>
          </w:p>
        </w:tc>
        <w:tc>
          <w:tcPr>
            <w:tcW w:type="dxa" w:w="18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right"/>
            </w:pPr>
            <w:r>
              <w:rPr>
                <w:rFonts w:ascii="Georgia" w:cs="Georgia" w:eastAsia="Georgia" w:hAnsi="Georgia"/>
                <w:color w:val="333333"/>
                <w:sz w:val="18"/>
                <w:szCs w:val="18"/>
              </w:rPr>
              <w:t xml:space="preserve">$15 (from $11)</w:t>
            </w:r>
          </w:p>
        </w:tc>
        <w:tc>
          <w:tcPr>
            <w:tcW w:type="dxa" w:w="31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Target Hospitality benefits from energy capex</w:t>
            </w:r>
          </w:p>
        </w:tc>
      </w:tr>
    </w:tbl>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9. STOCKS TO WATCH</w:t>
      </w:r>
    </w:p>
    <w:p>
      <w:pPr>
        <w:pStyle w:val="Heading3"/>
        <w:spacing w:after="150" w:before="300"/>
      </w:pPr>
      <w:r>
        <w:rPr>
          <w:rFonts w:ascii="Georgia" w:cs="Georgia" w:eastAsia="Georgia" w:hAnsi="Georgia"/>
          <w:b/>
          <w:bCs/>
          <w:color w:val="1B2A4A"/>
          <w:sz w:val="22"/>
          <w:szCs w:val="22"/>
        </w:rPr>
        <w:t xml:space="preserve">Exxon Mobil (XOM) — $142 area</w:t>
      </w:r>
    </w:p>
    <w:p>
      <w:pPr>
        <w:spacing w:after="120" w:line="276"/>
      </w:pPr>
      <w:r>
        <w:rPr>
          <w:rFonts w:ascii="Georgia" w:cs="Georgia" w:eastAsia="Georgia" w:hAnsi="Georgia"/>
          <w:color w:val="333333"/>
          <w:sz w:val="21"/>
          <w:szCs w:val="21"/>
        </w:rPr>
        <w:t xml:space="preserve">The undisputed winner of the Hormuz crisis continues to grind higher, now up 42% year-to-date. With Q1 earnings approaching, expectations are sky-high for a blowout quarter. The stock is trading at roughly 13x forward earnings despite the massive rally, suggesting the market still doesn’t fully trust the sustainability of $95+ crude. Watch the $145 level — a break above could trigger another leg of momentum buying from systematic strategies.</w:t>
      </w:r>
    </w:p>
    <w:p>
      <w:pPr>
        <w:pStyle w:val="Heading3"/>
        <w:spacing w:after="150" w:before="300"/>
      </w:pPr>
      <w:r>
        <w:rPr>
          <w:rFonts w:ascii="Georgia" w:cs="Georgia" w:eastAsia="Georgia" w:hAnsi="Georgia"/>
          <w:b/>
          <w:bCs/>
          <w:color w:val="1B2A4A"/>
          <w:sz w:val="22"/>
          <w:szCs w:val="22"/>
        </w:rPr>
        <w:t xml:space="preserve">Texas Instruments (TXN) — $210 area</w:t>
      </w:r>
    </w:p>
    <w:p>
      <w:pPr>
        <w:spacing w:after="120" w:line="276"/>
      </w:pPr>
      <w:r>
        <w:rPr>
          <w:rFonts w:ascii="Georgia" w:cs="Georgia" w:eastAsia="Georgia" w:hAnsi="Georgia"/>
          <w:color w:val="333333"/>
          <w:sz w:val="21"/>
          <w:szCs w:val="21"/>
        </w:rPr>
        <w:t xml:space="preserve">Stifel’s upgrade to Buy with a $250 target provides fresh institutional sponsorship. The thesis centers on TXN emerging from a six-year investment cycle into an analog semiconductor upcycle, with free cash flow inflection on the horizon. The stock has been a relative underperformer in the semiconductor space, making the risk-reward attractive if the upcycle thesis plays out.</w:t>
      </w:r>
    </w:p>
    <w:p>
      <w:pPr>
        <w:pStyle w:val="Heading3"/>
        <w:spacing w:after="150" w:before="300"/>
      </w:pPr>
      <w:r>
        <w:rPr>
          <w:rFonts w:ascii="Georgia" w:cs="Georgia" w:eastAsia="Georgia" w:hAnsi="Georgia"/>
          <w:b/>
          <w:bCs/>
          <w:color w:val="1B2A4A"/>
          <w:sz w:val="22"/>
          <w:szCs w:val="22"/>
        </w:rPr>
        <w:t xml:space="preserve">Zscaler (ZS) — $220 area</w:t>
      </w:r>
    </w:p>
    <w:p>
      <w:pPr>
        <w:spacing w:after="120" w:line="276"/>
      </w:pPr>
      <w:r>
        <w:rPr>
          <w:rFonts w:ascii="Georgia" w:cs="Georgia" w:eastAsia="Georgia" w:hAnsi="Georgia"/>
          <w:color w:val="333333"/>
          <w:sz w:val="21"/>
          <w:szCs w:val="21"/>
        </w:rPr>
        <w:t xml:space="preserve">BTIG’s downgrade to Neutral is notable because it’s driven by deteriorating field checks, not just valuation. When a cybersecurity bull walks away citing fundamentally changed data points, it signals potential demand weakness that could cascade into earnings revisions. Short interest may increase, creating additional headwind pressure near the $215 support level.</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10. GLOBAL MACRO SNAPSHOT</w:t>
      </w:r>
    </w:p>
    <w:p>
      <w:pPr>
        <w:spacing w:after="120" w:line="276"/>
      </w:pPr>
      <w:r>
        <w:rPr>
          <w:rFonts w:ascii="Georgia" w:cs="Georgia" w:eastAsia="Georgia" w:hAnsi="Georgia"/>
          <w:color w:val="333333"/>
          <w:sz w:val="21"/>
          <w:szCs w:val="21"/>
        </w:rPr>
        <w:t xml:space="preserve">The Strait of Hormuz crisis has reshuffled global macro dynamics in profound ways. China, the world’s largest oil importer, has been forced to draw down strategic reserves and accelerate purchases from Russia and West Africa, adding strain to alternative shipping routes. The Hang Seng’s near-3% rally today reflects optimism that Beijing will deploy further fiscal stimulus to cushion the energy shock’s impact on an already fragile recovery.</w:t>
      </w:r>
    </w:p>
    <w:p>
      <w:pPr>
        <w:spacing w:after="120" w:line="276"/>
      </w:pPr>
      <w:r>
        <w:rPr>
          <w:rFonts w:ascii="Georgia" w:cs="Georgia" w:eastAsia="Georgia" w:hAnsi="Georgia"/>
          <w:color w:val="333333"/>
          <w:sz w:val="21"/>
          <w:szCs w:val="21"/>
        </w:rPr>
        <w:t xml:space="preserve">In Europe, the DAX’s extraordinary 5% surge reflects a catch-up rally after the ceasefire announcement, though German industrial companies remain deeply exposed to sustained energy disruption. The FTSE 100’s 2.5% gain was led by BP and Shell. Japan’s Nikkei was the outlier, falling 0.8% as the yen’s relative firmness against the dollar hurt export-oriented manufacturers. Across emerging markets, oil-importing nations like India and Turkey face twin deficits pressure, while Gulf state economies benefit from elevated prices despite the logistical chaos.</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11. WEEK AHEAD PREVIEW</w:t>
      </w:r>
    </w:p>
    <w:p>
      <w:pPr>
        <w:spacing w:after="120" w:line="276"/>
      </w:pPr>
      <w:r>
        <w:rPr>
          <w:rFonts w:ascii="Georgia" w:cs="Georgia" w:eastAsia="Georgia" w:hAnsi="Georgia"/>
          <w:color w:val="333333"/>
          <w:sz w:val="21"/>
          <w:szCs w:val="21"/>
        </w:rPr>
        <w:t xml:space="preserve">After today’s CPI, the remainder of the week and early next week bring several key catalysts. US-Iran peace talks are tentatively scheduled for Friday in Geneva — any breakthrough (or breakdown) could move oil prices 5-10% in either direction. On the earnings front, bank earnings season kicks off with JPMorgan, Wells Fargo, and Citigroup reporting next week, providing the first real-time read on how the energy shock and geopolitical uncertainty are flowing through the financial system.</w:t>
      </w:r>
    </w:p>
    <w:p>
      <w:pPr>
        <w:spacing w:after="120" w:line="276"/>
      </w:pPr>
      <w:r>
        <w:rPr>
          <w:rFonts w:ascii="Georgia" w:cs="Georgia" w:eastAsia="Georgia" w:hAnsi="Georgia"/>
          <w:color w:val="333333"/>
          <w:sz w:val="21"/>
          <w:szCs w:val="21"/>
        </w:rPr>
        <w:t xml:space="preserve">The PPI report arrives next Tuesday, offering a producer-level view on inflation that complements today’s CPI. Retail sales data on Wednesday will gauge whether consumer spending has buckled under higher energy costs. And hovering over everything: the approaching May 15 deadline for Jerome Powell’s term, which means every Fed communication in the next five weeks carries added weight as markets try to discern the policy trajectory under new leadership.</w:t>
      </w:r>
    </w:p>
    <w:p>
      <w:pPr>
        <w:pBdr>
          <w:bottom w:val="single" w:color="C5960C" w:sz="6" w:space="1"/>
        </w:pBdr>
        <w:spacing w:after="200" w:before="200"/>
      </w:pPr>
    </w:p>
    <w:p>
      <w:pPr>
        <w:pStyle w:val="Heading1"/>
        <w:spacing w:after="150" w:before="300"/>
      </w:pPr>
      <w:r>
        <w:rPr>
          <w:rFonts w:ascii="Georgia" w:cs="Georgia" w:eastAsia="Georgia" w:hAnsi="Georgia"/>
          <w:b/>
          <w:bCs/>
          <w:color w:val="1B2A4A"/>
          <w:sz w:val="32"/>
          <w:szCs w:val="32"/>
        </w:rPr>
        <w:t xml:space="preserve">12. CLOSING THOUGHT</w:t>
      </w:r>
    </w:p>
    <w:p>
      <w:pPr>
        <w:spacing w:after="120" w:line="276"/>
      </w:pPr>
      <w:r>
        <w:rPr>
          <w:rFonts w:ascii="Georgia" w:cs="Georgia" w:eastAsia="Georgia" w:hAnsi="Georgia"/>
          <w:i/>
          <w:iCs/>
          <w:color w:val="333333"/>
          <w:sz w:val="21"/>
          <w:szCs w:val="21"/>
        </w:rPr>
        <w:t xml:space="preserve">History’s greatest market dislocations rarely announce themselves with a single event — they unfold through a series of cascading developments that, in retrospect, connected dots the consensus refused to see in real time. The Strait of Hormuz crisis has exposed a vulnerability that two decades of globalization treated as a rounding error: the world’s energy infrastructure has remarkably few redundancies. Today’s CPI will be parsed for decimal points, but the bigger question is structural. If the strait doesn’t reopen fully within weeks, we’re not looking at a one-month inflation spike — we’re looking at a regime change in energy pricing that reprices everything from airline tickets to cloud computing costs. The market, priced at 19x forward earnings on the S&amp;P 500, is assuming this is a shock that passes. What if it doesn’t?</w:t>
      </w:r>
    </w:p>
    <w:p>
      <w:pPr>
        <w:spacing w:before="400"/>
      </w:pPr>
    </w:p>
    <w:p>
      <w:pPr>
        <w:pBdr>
          <w:top w:val="single" w:color="C5960C" w:sz="6" w:space="8"/>
        </w:pBdr>
        <w:spacing w:before="100"/>
        <w:jc w:val="center"/>
      </w:pPr>
      <w:r>
        <w:rPr>
          <w:rFonts w:ascii="Georgia" w:cs="Georgia" w:eastAsia="Georgia" w:hAnsi="Georgia"/>
          <w:i/>
          <w:iCs/>
          <w:color w:val="999999"/>
          <w:sz w:val="18"/>
          <w:szCs w:val="18"/>
        </w:rPr>
        <w:t xml:space="preserve">End of Brief  •  Have a profitable 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jc w:val="center"/>
    </w:pPr>
    <w:r>
      <w:rPr>
        <w:rFonts w:ascii="Georgia" w:cs="Georgia" w:eastAsia="Georgia" w:hAnsi="Georgia"/>
        <w:color w:val="999999"/>
        <w:sz w:val="16"/>
        <w:szCs w:val="16"/>
      </w:rPr>
      <w:t xml:space="preserve">Daily Financial Brief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960C" w:sz="8" w:space="4"/>
      </w:pBdr>
    </w:pPr>
    <w:r>
      <w:rPr>
        <w:rFonts w:ascii="Georgia" w:cs="Georgia" w:eastAsia="Georgia" w:hAnsi="Georgia"/>
        <w:b/>
        <w:bCs/>
        <w:color w:val="1B2A4A"/>
        <w:sz w:val="20"/>
        <w:szCs w:val="20"/>
      </w:rPr>
      <w:t xml:space="preserve">DAILY FINANCIAL BRIEF</w:t>
    </w:r>
    <w:r>
      <w:rPr>
        <w:rFonts w:ascii="Georgia" w:cs="Georgia" w:eastAsia="Georgia" w:hAnsi="Georgia"/>
        <w:color w:val="C5960C"/>
        <w:sz w:val="20"/>
        <w:szCs w:val="20"/>
      </w:rPr>
      <w:t xml:space="preserve">  •  </w:t>
    </w:r>
    <w:r>
      <w:rPr>
        <w:rFonts w:ascii="Georgia" w:cs="Georgia" w:eastAsia="Georgia" w:hAnsi="Georgia"/>
        <w:color w:val="666666"/>
        <w:sz w:val="18"/>
        <w:szCs w:val="18"/>
      </w:rPr>
      <w:t xml:space="preserve">Friday, April 10,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50" w:before="240"/>
      <w:outlineLvl w:val="1"/>
    </w:pPr>
    <w:rPr>
      <w:rFonts w:ascii="Georgia" w:cs="Georgia" w:eastAsia="Georgia" w:hAnsi="Georgia"/>
      <w:b/>
      <w:bCs/>
      <w:color w:val="1B2A4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2026-04-10T03:15:40.459Z</dcterms:created>
  <dcterms:modified xsi:type="dcterms:W3CDTF">2026-04-10T03:15:40.460Z</dcterms:modified>
</cp:coreProperties>
</file>

<file path=docProps/custom.xml><?xml version="1.0" encoding="utf-8"?>
<Properties xmlns="http://schemas.openxmlformats.org/officeDocument/2006/custom-properties" xmlns:vt="http://schemas.openxmlformats.org/officeDocument/2006/docPropsVTypes"/>
</file>