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1B2A4A"/>
          <w:sz w:val="52"/>
          <w:szCs w:val="52"/>
        </w:rPr>
        <w:t xml:space="preserve">DAILY FINANCIAL BRIEF</w:t>
      </w:r>
    </w:p>
    <w:p>
      <w:pPr>
        <w:pBdr>
          <w:bottom w:val="single" w:color="C9A84C" w:sz="8" w:space="1"/>
        </w:pBdr>
        <w:spacing w:after="60" w:before="0"/>
        <w:jc w:val="center"/>
      </w:pPr>
      <w:r>
        <w:rPr>
          <w:rFonts w:ascii="Arial" w:cs="Arial" w:eastAsia="Arial" w:hAnsi="Arial"/>
          <w:i/>
          <w:iCs/>
          <w:color w:val="C9A84C"/>
          <w:sz w:val="24"/>
          <w:szCs w:val="24"/>
        </w:rPr>
        <w:t xml:space="preserve">Saturday, April 11, 2026  •  WSJ-Style Market Intelligence</w:t>
      </w:r>
    </w:p>
    <w:p>
      <w:pPr>
        <w:spacing w:after="60" w:before="60"/>
      </w:pPr>
      <w:r>
        <w:t xml:space="preserve"/>
      </w:r>
    </w:p>
    <w:p>
      <w:pPr>
        <w:pBdr>
          <w:bottom w:val="single" w:color="C9A84C" w:sz="6" w:space="1"/>
        </w:pBdr>
        <w:shd w:fill="1B2A4A" w:val="clear"/>
        <w:spacing w:after="120" w:before="280"/>
        <w:ind w:left="180" w:right="180"/>
      </w:pPr>
      <w:r>
        <w:rPr>
          <w:rFonts w:ascii="Arial" w:cs="Arial" w:eastAsia="Arial" w:hAnsi="Arial"/>
          <w:b/>
          <w:bCs/>
          <w:color w:val="FFFFFF"/>
          <w:sz w:val="28"/>
          <w:szCs w:val="28"/>
        </w:rPr>
        <w:t xml:space="preserve">1.  THE MORNING SETUP</w:t>
      </w:r>
    </w:p>
    <w:p>
      <w:pPr>
        <w:spacing w:after="80" w:before="80"/>
        <w:jc w:val="both"/>
      </w:pPr>
      <w:r>
        <w:rPr>
          <w:rFonts w:ascii="Arial" w:cs="Arial" w:eastAsia="Arial" w:hAnsi="Arial"/>
          <w:b/>
          <w:bCs/>
          <w:color w:val="2C2C2C"/>
          <w:sz w:val="22"/>
          <w:szCs w:val="22"/>
        </w:rPr>
        <w:t xml:space="preserve">All eyes turn to Islamabad today. </w:t>
      </w:r>
      <w:r>
        <w:rPr>
          <w:rFonts w:ascii="Arial" w:cs="Arial" w:eastAsia="Arial" w:hAnsi="Arial"/>
          <w:color w:val="2C2C2C"/>
          <w:sz w:val="22"/>
          <w:szCs w:val="22"/>
        </w:rPr>
        <w:t xml:space="preserve">Vice President JD Vance and special envoy Steve Witkoff are wheels-down in Pakistan's capital for high-stakes negotiations that could transform the Iran conflict from a two-week ceasefire into something approaching a durable peace deal — and with it, finally ease the energy shock that has been the single biggest macro story of 2026. The stakes could not be higher: oil touched $119.50 per barrel in mid-March as fears of a permanent Strait of Hormuz closure gripped energy desks. The April 7 ceasefire sliced that to $94–95 before prices settled back near $96 by week's end. A successful Islamabad accord could take another $15–20 off the barrel; a breakdown could trigger a swift reversal.</w:t>
      </w:r>
    </w:p>
    <w:p>
      <w:pPr>
        <w:spacing w:after="80" w:before="80"/>
        <w:jc w:val="both"/>
      </w:pPr>
      <w:r>
        <w:rPr>
          <w:rFonts w:ascii="Arial" w:cs="Arial" w:eastAsia="Arial" w:hAnsi="Arial"/>
          <w:color w:val="2C2C2C"/>
          <w:sz w:val="22"/>
          <w:szCs w:val="22"/>
        </w:rPr>
        <w:t xml:space="preserve">Markets have been recalibrating rapidly. The S&amp;P 500 surged more than 3% for the week — its best performance since November — even as Friday's hot March CPI print (+3.3% YoY, the largest monthly jump since June 2022) rattled rate expectations. The tension in every trading desk today is the same: the geopolitical relief trade pulling equities and oil in opposite directions simultaneously, while the Fed watches from the sidelines before its April 28–29 meeting. Bank earnings week arrives Monday with Goldman Sachs, JPMorgan, Citigroup, and the rest of Wall Street set to reveal just how much the war — and the subsequent 'Fee Machine' revival — shaped their first-quarter results. The setup is delicate, directional, and deeply dependent on what happens in a conference room in Islamabad today.</w:t>
      </w:r>
    </w:p>
    <w:p>
      <w:pPr>
        <w:spacing w:after="60" w:before="60"/>
      </w:pPr>
      <w:r>
        <w:t xml:space="preserve"/>
      </w:r>
    </w:p>
    <w:p>
      <w:pPr>
        <w:pBdr>
          <w:bottom w:val="single" w:color="C9A84C" w:sz="6" w:space="1"/>
        </w:pBdr>
        <w:shd w:fill="1B2A4A" w:val="clear"/>
        <w:spacing w:after="120" w:before="280"/>
        <w:ind w:left="180" w:right="180"/>
      </w:pPr>
      <w:r>
        <w:rPr>
          <w:rFonts w:ascii="Arial" w:cs="Arial" w:eastAsia="Arial" w:hAnsi="Arial"/>
          <w:b/>
          <w:bCs/>
          <w:color w:val="FFFFFF"/>
          <w:sz w:val="28"/>
          <w:szCs w:val="28"/>
        </w:rPr>
        <w:t xml:space="preserve">2.  MARKETS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9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Instrument</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Level</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Change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1D Chg</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Context</w:t>
            </w:r>
          </w:p>
        </w:tc>
      </w:tr>
      <w:tr>
        <w:tc>
          <w:tcPr>
            <w:tcW w:type="dxa" w:w="9360"/>
            <w:gridSpan w:val="5"/>
            <w:tcBorders>
              <w:top w:val="single" w:color="CCCCCC" w:sz="1"/>
              <w:left w:val="single" w:color="CCCCCC" w:sz="1"/>
              <w:bottom w:val="single" w:color="CCCCCC" w:sz="1"/>
              <w:right w:val="single" w:color="CCCCCC" w:sz="1"/>
            </w:tcBorders>
            <w:shd w:fill="F5EDD0" w:val="clear"/>
            <w:tcMar>
              <w:top w:type="dxa" w:w="80"/>
              <w:left w:type="dxa" w:w="120"/>
              <w:bottom w:type="dxa" w:w="80"/>
              <w:right w:type="dxa" w:w="120"/>
            </w:tcMar>
          </w:tcPr>
          <w:p>
            <w:pPr>
              <w:jc w:val="left"/>
            </w:pPr>
            <w:r>
              <w:rPr>
                <w:rFonts w:ascii="Arial" w:cs="Arial" w:eastAsia="Arial" w:hAnsi="Arial"/>
                <w:b/>
                <w:bCs/>
                <w:color w:val="1B2A4A"/>
                <w:sz w:val="19"/>
                <w:szCs w:val="19"/>
              </w:rPr>
              <w:t xml:space="preserve">🇺🇸  U.S. EQUITIES — Prior Session (April 10, 2026)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S&amp;P 500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color w:val="2C2C2C"/>
                <w:sz w:val="20"/>
                <w:szCs w:val="20"/>
              </w:rPr>
              <w:t xml:space="preserve">6,816.89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color w:val="C0392B"/>
                <w:sz w:val="20"/>
                <w:szCs w:val="20"/>
              </w:rPr>
              <w:t xml:space="preserve">-7.77 / -0.11%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2nd straight winning week (+3.0% WoW)</w:t>
            </w:r>
          </w:p>
        </w:tc>
      </w:tr>
      <w:tr>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Nasdaq Composite</w:t>
            </w:r>
          </w:p>
        </w:tc>
        <w:tc>
          <w:tcPr>
            <w:tcW w:type="dxa" w:w="1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right"/>
            </w:pPr>
            <w:r>
              <w:rPr>
                <w:rFonts w:ascii="Arial" w:cs="Arial" w:eastAsia="Arial" w:hAnsi="Arial"/>
                <w:color w:val="2C2C2C"/>
                <w:sz w:val="20"/>
                <w:szCs w:val="20"/>
              </w:rPr>
              <w:t xml:space="preserve">22,902.90</w:t>
            </w:r>
          </w:p>
        </w:tc>
        <w:tc>
          <w:tcPr>
            <w:tcW w:type="dxa" w:w="3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right"/>
            </w:pPr>
            <w:r>
              <w:rPr>
                <w:rFonts w:ascii="Arial" w:cs="Arial" w:eastAsia="Arial" w:hAnsi="Arial"/>
                <w:b/>
                <w:bCs/>
                <w:color w:val="1A7A3A"/>
                <w:sz w:val="20"/>
                <w:szCs w:val="20"/>
              </w:rPr>
              <w:t xml:space="preserve">+80.48 / +0.35%</w:t>
            </w:r>
          </w:p>
        </w:tc>
        <w:tc>
          <w:tcPr>
            <w:tcW w:type="dxa" w:w="19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Tech outperformed; +4.0% for week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Dow Jones Industrial Avg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color w:val="2C2C2C"/>
                <w:sz w:val="20"/>
                <w:szCs w:val="20"/>
              </w:rPr>
              <w:t xml:space="preserve">47,917.26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color w:val="C0392B"/>
                <w:sz w:val="20"/>
                <w:szCs w:val="20"/>
              </w:rPr>
              <w:t xml:space="preserve">-269.00 / -0.56%</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Energy &amp; financials weighed</w:t>
            </w:r>
          </w:p>
        </w:tc>
      </w:tr>
      <w:tr>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Russell 2000</w:t>
            </w:r>
          </w:p>
        </w:tc>
        <w:tc>
          <w:tcPr>
            <w:tcW w:type="dxa" w:w="1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right"/>
            </w:pPr>
            <w:r>
              <w:rPr>
                <w:rFonts w:ascii="Arial" w:cs="Arial" w:eastAsia="Arial" w:hAnsi="Arial"/>
                <w:color w:val="2C2C2C"/>
                <w:sz w:val="20"/>
                <w:szCs w:val="20"/>
              </w:rPr>
              <w:t xml:space="preserve">~2,085</w:t>
            </w:r>
          </w:p>
        </w:tc>
        <w:tc>
          <w:tcPr>
            <w:tcW w:type="dxa" w:w="3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right"/>
            </w:pPr>
            <w:r>
              <w:rPr>
                <w:rFonts w:ascii="Arial" w:cs="Arial" w:eastAsia="Arial" w:hAnsi="Arial"/>
                <w:b/>
                <w:bCs/>
                <w:color w:val="C0392B"/>
                <w:sz w:val="20"/>
                <w:szCs w:val="20"/>
              </w:rPr>
              <w:t xml:space="preserve">~-0.30%</w:t>
            </w:r>
          </w:p>
        </w:tc>
        <w:tc>
          <w:tcPr>
            <w:tcW w:type="dxa" w:w="19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Small caps lagged; rate sensitivity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VIX (Fear Gauge)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color w:val="2C2C2C"/>
                <w:sz w:val="20"/>
                <w:szCs w:val="20"/>
              </w:rPr>
              <w:t xml:space="preserve">19.23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color w:val="C0392B"/>
                <w:sz w:val="20"/>
                <w:szCs w:val="20"/>
              </w:rPr>
              <w:t xml:space="preserve">-1.33%</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Declining; still above 'complacency' zone</w:t>
            </w:r>
          </w:p>
        </w:tc>
      </w:tr>
      <w:tr>
        <w:tc>
          <w:tcPr>
            <w:tcW w:type="dxa" w:w="9360"/>
            <w:gridSpan w:val="5"/>
            <w:tcBorders>
              <w:top w:val="single" w:color="CCCCCC" w:sz="1"/>
              <w:left w:val="single" w:color="CCCCCC" w:sz="1"/>
              <w:bottom w:val="single" w:color="CCCCCC" w:sz="1"/>
              <w:right w:val="single" w:color="CCCCCC" w:sz="1"/>
            </w:tcBorders>
            <w:shd w:fill="F5EDD0" w:val="clear"/>
            <w:tcMar>
              <w:top w:type="dxa" w:w="80"/>
              <w:left w:type="dxa" w:w="120"/>
              <w:bottom w:type="dxa" w:w="80"/>
              <w:right w:type="dxa" w:w="120"/>
            </w:tcMar>
          </w:tcPr>
          <w:p>
            <w:pPr>
              <w:jc w:val="left"/>
            </w:pPr>
            <w:r>
              <w:rPr>
                <w:rFonts w:ascii="Arial" w:cs="Arial" w:eastAsia="Arial" w:hAnsi="Arial"/>
                <w:b/>
                <w:bCs/>
                <w:color w:val="1B2A4A"/>
                <w:sz w:val="19"/>
                <w:szCs w:val="19"/>
              </w:rPr>
              <w:t xml:space="preserve">🌏  ASIAN MARKETS — April 11, 2026</w:t>
            </w:r>
          </w:p>
        </w:tc>
      </w:tr>
      <w:tr>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Nikkei 225</w:t>
            </w:r>
          </w:p>
        </w:tc>
        <w:tc>
          <w:tcPr>
            <w:tcW w:type="dxa" w:w="1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right"/>
            </w:pPr>
            <w:r>
              <w:rPr>
                <w:rFonts w:ascii="Arial" w:cs="Arial" w:eastAsia="Arial" w:hAnsi="Arial"/>
                <w:color w:val="2C2C2C"/>
                <w:sz w:val="20"/>
                <w:szCs w:val="20"/>
              </w:rPr>
              <w:t xml:space="preserve">56,924.11</w:t>
            </w:r>
          </w:p>
        </w:tc>
        <w:tc>
          <w:tcPr>
            <w:tcW w:type="dxa" w:w="3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right"/>
            </w:pPr>
            <w:r>
              <w:rPr>
                <w:rFonts w:ascii="Arial" w:cs="Arial" w:eastAsia="Arial" w:hAnsi="Arial"/>
                <w:b/>
                <w:bCs/>
                <w:color w:val="1A7A3A"/>
                <w:sz w:val="20"/>
                <w:szCs w:val="20"/>
              </w:rPr>
              <w:t xml:space="preserve">+1.84%</w:t>
            </w:r>
          </w:p>
        </w:tc>
        <w:tc>
          <w:tcPr>
            <w:tcW w:type="dxa" w:w="19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Yen weakness + ceasefire optimism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Hang Seng Index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color w:val="2C2C2C"/>
                <w:sz w:val="20"/>
                <w:szCs w:val="20"/>
              </w:rPr>
              <w:t xml:space="preserve">~23,450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color w:val="1A7A3A"/>
                <w:sz w:val="20"/>
                <w:szCs w:val="20"/>
              </w:rPr>
              <w:t xml:space="preserve">+1.2%</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Property &amp; tech names led gains</w:t>
            </w:r>
          </w:p>
        </w:tc>
      </w:tr>
      <w:tr>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Shanghai Composite</w:t>
            </w:r>
          </w:p>
        </w:tc>
        <w:tc>
          <w:tcPr>
            <w:tcW w:type="dxa" w:w="1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right"/>
            </w:pPr>
            <w:r>
              <w:rPr>
                <w:rFonts w:ascii="Arial" w:cs="Arial" w:eastAsia="Arial" w:hAnsi="Arial"/>
                <w:color w:val="2C2C2C"/>
                <w:sz w:val="20"/>
                <w:szCs w:val="20"/>
              </w:rPr>
              <w:t xml:space="preserve">3,986.22</w:t>
            </w:r>
          </w:p>
        </w:tc>
        <w:tc>
          <w:tcPr>
            <w:tcW w:type="dxa" w:w="3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right"/>
            </w:pPr>
            <w:r>
              <w:rPr>
                <w:rFonts w:ascii="Arial" w:cs="Arial" w:eastAsia="Arial" w:hAnsi="Arial"/>
                <w:b/>
                <w:bCs/>
                <w:color w:val="1A7A3A"/>
                <w:sz w:val="20"/>
                <w:szCs w:val="20"/>
              </w:rPr>
              <w:t xml:space="preserve">+0.51%</w:t>
            </w:r>
          </w:p>
        </w:tc>
        <w:tc>
          <w:tcPr>
            <w:tcW w:type="dxa" w:w="19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Near 4,000 resistance; policy hopes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Shenzhen Composite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color w:val="2C2C2C"/>
                <w:sz w:val="20"/>
                <w:szCs w:val="20"/>
              </w:rPr>
              <w:t xml:space="preserve">14,309.47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color w:val="1A7A3A"/>
                <w:sz w:val="20"/>
                <w:szCs w:val="20"/>
              </w:rPr>
              <w:t xml:space="preserve">+2.24%</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Tech/growth outperformed in SZ</w:t>
            </w:r>
          </w:p>
        </w:tc>
      </w:tr>
      <w:tr>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ASX 200 (Australia)</w:t>
            </w:r>
          </w:p>
        </w:tc>
        <w:tc>
          <w:tcPr>
            <w:tcW w:type="dxa" w:w="1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right"/>
            </w:pPr>
            <w:r>
              <w:rPr>
                <w:rFonts w:ascii="Arial" w:cs="Arial" w:eastAsia="Arial" w:hAnsi="Arial"/>
                <w:color w:val="2C2C2C"/>
                <w:sz w:val="20"/>
                <w:szCs w:val="20"/>
              </w:rPr>
              <w:t xml:space="preserve">~8,210</w:t>
            </w:r>
          </w:p>
        </w:tc>
        <w:tc>
          <w:tcPr>
            <w:tcW w:type="dxa" w:w="3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right"/>
            </w:pPr>
            <w:r>
              <w:rPr>
                <w:rFonts w:ascii="Arial" w:cs="Arial" w:eastAsia="Arial" w:hAnsi="Arial"/>
                <w:b/>
                <w:bCs/>
                <w:color w:val="1A7A3A"/>
                <w:sz w:val="20"/>
                <w:szCs w:val="20"/>
              </w:rPr>
              <w:t xml:space="preserve">+0.6%</w:t>
            </w:r>
          </w:p>
        </w:tc>
        <w:tc>
          <w:tcPr>
            <w:tcW w:type="dxa" w:w="19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Resources + energy complex recovery</w:t>
            </w:r>
          </w:p>
        </w:tc>
      </w:tr>
      <w:tr>
        <w:tc>
          <w:tcPr>
            <w:tcW w:type="dxa" w:w="9360"/>
            <w:gridSpan w:val="5"/>
            <w:tcBorders>
              <w:top w:val="single" w:color="CCCCCC" w:sz="1"/>
              <w:left w:val="single" w:color="CCCCCC" w:sz="1"/>
              <w:bottom w:val="single" w:color="CCCCCC" w:sz="1"/>
              <w:right w:val="single" w:color="CCCCCC" w:sz="1"/>
            </w:tcBorders>
            <w:shd w:fill="F5EDD0" w:val="clear"/>
            <w:tcMar>
              <w:top w:type="dxa" w:w="80"/>
              <w:left w:type="dxa" w:w="120"/>
              <w:bottom w:type="dxa" w:w="80"/>
              <w:right w:type="dxa" w:w="120"/>
            </w:tcMar>
          </w:tcPr>
          <w:p>
            <w:pPr>
              <w:jc w:val="left"/>
            </w:pPr>
            <w:r>
              <w:rPr>
                <w:rFonts w:ascii="Arial" w:cs="Arial" w:eastAsia="Arial" w:hAnsi="Arial"/>
                <w:b/>
                <w:bCs/>
                <w:color w:val="1B2A4A"/>
                <w:sz w:val="19"/>
                <w:szCs w:val="19"/>
              </w:rPr>
              <w:t xml:space="preserve">🌍  EUROPEAN MARKETS — April 10, 2026 Close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FTSE 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color w:val="2C2C2C"/>
                <w:sz w:val="20"/>
                <w:szCs w:val="20"/>
              </w:rPr>
              <w:t xml:space="preserve">~8,680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color w:val="1A7A3A"/>
                <w:sz w:val="20"/>
                <w:szCs w:val="20"/>
              </w:rPr>
              <w:t xml:space="preserve">+0.8%</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Consolidating post-ceasefire surge</w:t>
            </w:r>
          </w:p>
        </w:tc>
      </w:tr>
      <w:tr>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DAX 40 (Germany)</w:t>
            </w:r>
          </w:p>
        </w:tc>
        <w:tc>
          <w:tcPr>
            <w:tcW w:type="dxa" w:w="1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right"/>
            </w:pPr>
            <w:r>
              <w:rPr>
                <w:rFonts w:ascii="Arial" w:cs="Arial" w:eastAsia="Arial" w:hAnsi="Arial"/>
                <w:color w:val="2C2C2C"/>
                <w:sz w:val="20"/>
                <w:szCs w:val="20"/>
              </w:rPr>
              <w:t xml:space="preserve">~22,100</w:t>
            </w:r>
          </w:p>
        </w:tc>
        <w:tc>
          <w:tcPr>
            <w:tcW w:type="dxa" w:w="3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right"/>
            </w:pPr>
            <w:r>
              <w:rPr>
                <w:rFonts w:ascii="Arial" w:cs="Arial" w:eastAsia="Arial" w:hAnsi="Arial"/>
                <w:b/>
                <w:bCs/>
                <w:color w:val="1A7A3A"/>
                <w:sz w:val="20"/>
                <w:szCs w:val="20"/>
              </w:rPr>
              <w:t xml:space="preserve">+0.9%</w:t>
            </w:r>
          </w:p>
        </w:tc>
        <w:tc>
          <w:tcPr>
            <w:tcW w:type="dxa" w:w="19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Strong manufacturing data supported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CAC 40 (France)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color w:val="2C2C2C"/>
                <w:sz w:val="20"/>
                <w:szCs w:val="20"/>
              </w:rPr>
              <w:t xml:space="preserve">~7,940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color w:val="1A7A3A"/>
                <w:sz w:val="20"/>
                <w:szCs w:val="20"/>
              </w:rPr>
              <w:t xml:space="preserve">+0.7%</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Luxury goods rebounding on peace hopes</w:t>
            </w:r>
          </w:p>
        </w:tc>
      </w:tr>
      <w:tr>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Euro Stoxx 50</w:t>
            </w:r>
          </w:p>
        </w:tc>
        <w:tc>
          <w:tcPr>
            <w:tcW w:type="dxa" w:w="1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right"/>
            </w:pPr>
            <w:r>
              <w:rPr>
                <w:rFonts w:ascii="Arial" w:cs="Arial" w:eastAsia="Arial" w:hAnsi="Arial"/>
                <w:color w:val="2C2C2C"/>
                <w:sz w:val="20"/>
                <w:szCs w:val="20"/>
              </w:rPr>
              <w:t xml:space="preserve">~5,280</w:t>
            </w:r>
          </w:p>
        </w:tc>
        <w:tc>
          <w:tcPr>
            <w:tcW w:type="dxa" w:w="3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right"/>
            </w:pPr>
            <w:r>
              <w:rPr>
                <w:rFonts w:ascii="Arial" w:cs="Arial" w:eastAsia="Arial" w:hAnsi="Arial"/>
                <w:b/>
                <w:bCs/>
                <w:color w:val="1A7A3A"/>
                <w:sz w:val="20"/>
                <w:szCs w:val="20"/>
              </w:rPr>
              <w:t xml:space="preserve">+0.8%</w:t>
            </w:r>
          </w:p>
        </w:tc>
        <w:tc>
          <w:tcPr>
            <w:tcW w:type="dxa" w:w="19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Broad European recovery trade</w:t>
            </w:r>
          </w:p>
        </w:tc>
      </w:tr>
      <w:tr>
        <w:tc>
          <w:tcPr>
            <w:tcW w:type="dxa" w:w="9360"/>
            <w:gridSpan w:val="5"/>
            <w:tcBorders>
              <w:top w:val="single" w:color="CCCCCC" w:sz="1"/>
              <w:left w:val="single" w:color="CCCCCC" w:sz="1"/>
              <w:bottom w:val="single" w:color="CCCCCC" w:sz="1"/>
              <w:right w:val="single" w:color="CCCCCC" w:sz="1"/>
            </w:tcBorders>
            <w:shd w:fill="F5EDD0" w:val="clear"/>
            <w:tcMar>
              <w:top w:type="dxa" w:w="80"/>
              <w:left w:type="dxa" w:w="120"/>
              <w:bottom w:type="dxa" w:w="80"/>
              <w:right w:type="dxa" w:w="120"/>
            </w:tcMar>
          </w:tcPr>
          <w:p>
            <w:pPr>
              <w:jc w:val="left"/>
            </w:pPr>
            <w:r>
              <w:rPr>
                <w:rFonts w:ascii="Arial" w:cs="Arial" w:eastAsia="Arial" w:hAnsi="Arial"/>
                <w:b/>
                <w:bCs/>
                <w:color w:val="1B2A4A"/>
                <w:sz w:val="19"/>
                <w:szCs w:val="19"/>
              </w:rPr>
              <w:t xml:space="preserve">💵  FIXED INCOME — U.S. Treasuries (April 10, 2026)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2-Year Treasury Yield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color w:val="2C2C2C"/>
                <w:sz w:val="20"/>
                <w:szCs w:val="20"/>
              </w:rPr>
              <w:t xml:space="preserve">3.81%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color w:val="C0392B"/>
                <w:sz w:val="20"/>
                <w:szCs w:val="20"/>
              </w:rPr>
              <w:t xml:space="preserve">-3 bps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Pricing ~1 Fed cut in 2026</w:t>
            </w:r>
          </w:p>
        </w:tc>
      </w:tr>
      <w:tr>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10-Year Treasury Yield</w:t>
            </w:r>
          </w:p>
        </w:tc>
        <w:tc>
          <w:tcPr>
            <w:tcW w:type="dxa" w:w="1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right"/>
            </w:pPr>
            <w:r>
              <w:rPr>
                <w:rFonts w:ascii="Arial" w:cs="Arial" w:eastAsia="Arial" w:hAnsi="Arial"/>
                <w:color w:val="2C2C2C"/>
                <w:sz w:val="20"/>
                <w:szCs w:val="20"/>
              </w:rPr>
              <w:t xml:space="preserve">4.31%</w:t>
            </w:r>
          </w:p>
        </w:tc>
        <w:tc>
          <w:tcPr>
            <w:tcW w:type="dxa" w:w="3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right"/>
            </w:pPr>
            <w:r>
              <w:rPr>
                <w:rFonts w:ascii="Arial" w:cs="Arial" w:eastAsia="Arial" w:hAnsi="Arial"/>
                <w:b/>
                <w:bCs/>
                <w:color w:val="C0392B"/>
                <w:sz w:val="20"/>
                <w:szCs w:val="20"/>
              </w:rPr>
              <w:t xml:space="preserve">-2 bps</w:t>
            </w:r>
          </w:p>
        </w:tc>
        <w:tc>
          <w:tcPr>
            <w:tcW w:type="dxa" w:w="19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+50 bps spread vs 2Y (normal curve)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30-Year Treasury Yield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color w:val="2C2C2C"/>
                <w:sz w:val="20"/>
                <w:szCs w:val="20"/>
              </w:rPr>
              <w:t xml:space="preserve">4.91%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color w:val="1A7A3A"/>
                <w:sz w:val="20"/>
                <w:szCs w:val="20"/>
              </w:rPr>
              <w:t xml:space="preserve">+1 bp</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Long-end under pressure; fiscal deficit</w:t>
            </w:r>
          </w:p>
        </w:tc>
      </w:tr>
      <w:tr>
        <w:tc>
          <w:tcPr>
            <w:tcW w:type="dxa" w:w="9360"/>
            <w:gridSpan w:val="5"/>
            <w:tcBorders>
              <w:top w:val="single" w:color="CCCCCC" w:sz="1"/>
              <w:left w:val="single" w:color="CCCCCC" w:sz="1"/>
              <w:bottom w:val="single" w:color="CCCCCC" w:sz="1"/>
              <w:right w:val="single" w:color="CCCCCC" w:sz="1"/>
            </w:tcBorders>
            <w:shd w:fill="F5EDD0" w:val="clear"/>
            <w:tcMar>
              <w:top w:type="dxa" w:w="80"/>
              <w:left w:type="dxa" w:w="120"/>
              <w:bottom w:type="dxa" w:w="80"/>
              <w:right w:type="dxa" w:w="120"/>
            </w:tcMar>
          </w:tcPr>
          <w:p>
            <w:pPr>
              <w:jc w:val="left"/>
            </w:pPr>
            <w:r>
              <w:rPr>
                <w:rFonts w:ascii="Arial" w:cs="Arial" w:eastAsia="Arial" w:hAnsi="Arial"/>
                <w:b/>
                <w:bCs/>
                <w:color w:val="1B2A4A"/>
                <w:sz w:val="19"/>
                <w:szCs w:val="19"/>
              </w:rPr>
              <w:t xml:space="preserve">💱  CURRENCIES — April 10, 2026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DXY (Dollar Index)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color w:val="2C2C2C"/>
                <w:sz w:val="20"/>
                <w:szCs w:val="20"/>
              </w:rPr>
              <w:t xml:space="preserve">99.00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color w:val="C0392B"/>
                <w:sz w:val="20"/>
                <w:szCs w:val="20"/>
              </w:rPr>
              <w:t xml:space="preserve">-0.3% (-1.1% WoW)</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Dollar weakening on ceasefire relief</w:t>
            </w:r>
          </w:p>
        </w:tc>
      </w:tr>
      <w:tr>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EUR/USD</w:t>
            </w:r>
          </w:p>
        </w:tc>
        <w:tc>
          <w:tcPr>
            <w:tcW w:type="dxa" w:w="1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right"/>
            </w:pPr>
            <w:r>
              <w:rPr>
                <w:rFonts w:ascii="Arial" w:cs="Arial" w:eastAsia="Arial" w:hAnsi="Arial"/>
                <w:color w:val="2C2C2C"/>
                <w:sz w:val="20"/>
                <w:szCs w:val="20"/>
              </w:rPr>
              <w:t xml:space="preserve">1.0880</w:t>
            </w:r>
          </w:p>
        </w:tc>
        <w:tc>
          <w:tcPr>
            <w:tcW w:type="dxa" w:w="3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right"/>
            </w:pPr>
            <w:r>
              <w:rPr>
                <w:rFonts w:ascii="Arial" w:cs="Arial" w:eastAsia="Arial" w:hAnsi="Arial"/>
                <w:b/>
                <w:bCs/>
                <w:color w:val="1A7A3A"/>
                <w:sz w:val="20"/>
                <w:szCs w:val="20"/>
              </w:rPr>
              <w:t xml:space="preserve">+0.3%</w:t>
            </w:r>
          </w:p>
        </w:tc>
        <w:tc>
          <w:tcPr>
            <w:tcW w:type="dxa" w:w="19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Euro gaining as energy risks ease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GBP/USD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color w:val="2C2C2C"/>
                <w:sz w:val="20"/>
                <w:szCs w:val="20"/>
              </w:rPr>
              <w:t xml:space="preserve">1.2890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color w:val="1A7A3A"/>
                <w:sz w:val="20"/>
                <w:szCs w:val="20"/>
              </w:rPr>
              <w:t xml:space="preserve">+0.2%</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Steady; UK data calendar thin</w:t>
            </w:r>
          </w:p>
        </w:tc>
      </w:tr>
      <w:tr>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USD/JPY</w:t>
            </w:r>
          </w:p>
        </w:tc>
        <w:tc>
          <w:tcPr>
            <w:tcW w:type="dxa" w:w="1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right"/>
            </w:pPr>
            <w:r>
              <w:rPr>
                <w:rFonts w:ascii="Arial" w:cs="Arial" w:eastAsia="Arial" w:hAnsi="Arial"/>
                <w:color w:val="2C2C2C"/>
                <w:sz w:val="20"/>
                <w:szCs w:val="20"/>
              </w:rPr>
              <w:t xml:space="preserve">149.40</w:t>
            </w:r>
          </w:p>
        </w:tc>
        <w:tc>
          <w:tcPr>
            <w:tcW w:type="dxa" w:w="3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right"/>
            </w:pPr>
            <w:r>
              <w:rPr>
                <w:rFonts w:ascii="Arial" w:cs="Arial" w:eastAsia="Arial" w:hAnsi="Arial"/>
                <w:b/>
                <w:bCs/>
                <w:color w:val="1A7A3A"/>
                <w:sz w:val="20"/>
                <w:szCs w:val="20"/>
              </w:rPr>
              <w:t xml:space="preserve">+0.4%</w:t>
            </w:r>
          </w:p>
        </w:tc>
        <w:tc>
          <w:tcPr>
            <w:tcW w:type="dxa" w:w="19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BOJ policy divergence persists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USD/CNY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color w:val="2C2C2C"/>
                <w:sz w:val="20"/>
                <w:szCs w:val="20"/>
              </w:rPr>
              <w:t xml:space="preserve">7.2180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color w:val="C0392B"/>
                <w:sz w:val="20"/>
                <w:szCs w:val="20"/>
              </w:rPr>
              <w:t xml:space="preserve">-0.1%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PBoC managing gradual strengthening</w:t>
            </w:r>
          </w:p>
        </w:tc>
      </w:tr>
      <w:tr>
        <w:tc>
          <w:tcPr>
            <w:tcW w:type="dxa" w:w="9360"/>
            <w:gridSpan w:val="5"/>
            <w:tcBorders>
              <w:top w:val="single" w:color="CCCCCC" w:sz="1"/>
              <w:left w:val="single" w:color="CCCCCC" w:sz="1"/>
              <w:bottom w:val="single" w:color="CCCCCC" w:sz="1"/>
              <w:right w:val="single" w:color="CCCCCC" w:sz="1"/>
            </w:tcBorders>
            <w:shd w:fill="F5EDD0" w:val="clear"/>
            <w:tcMar>
              <w:top w:type="dxa" w:w="80"/>
              <w:left w:type="dxa" w:w="120"/>
              <w:bottom w:type="dxa" w:w="80"/>
              <w:right w:type="dxa" w:w="120"/>
            </w:tcMar>
          </w:tcPr>
          <w:p>
            <w:pPr>
              <w:jc w:val="left"/>
            </w:pPr>
            <w:r>
              <w:rPr>
                <w:rFonts w:ascii="Arial" w:cs="Arial" w:eastAsia="Arial" w:hAnsi="Arial"/>
                <w:b/>
                <w:bCs/>
                <w:color w:val="1B2A4A"/>
                <w:sz w:val="19"/>
                <w:szCs w:val="19"/>
              </w:rPr>
              <w:t xml:space="preserve">⚡  COMMODITIES — April 10, 2026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WTI Crude Oil ($/bbl)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color w:val="2C2C2C"/>
                <w:sz w:val="20"/>
                <w:szCs w:val="20"/>
              </w:rPr>
              <w:t xml:space="preserve">$96.57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color w:val="C0392B"/>
                <w:sz w:val="20"/>
                <w:szCs w:val="20"/>
              </w:rPr>
              <w:t xml:space="preserve">-1.33%</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Still 32% above Jan levels; HormuzRisk</w:t>
            </w:r>
          </w:p>
        </w:tc>
      </w:tr>
      <w:tr>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Brent Crude ($/bbl)</w:t>
            </w:r>
          </w:p>
        </w:tc>
        <w:tc>
          <w:tcPr>
            <w:tcW w:type="dxa" w:w="1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right"/>
            </w:pPr>
            <w:r>
              <w:rPr>
                <w:rFonts w:ascii="Arial" w:cs="Arial" w:eastAsia="Arial" w:hAnsi="Arial"/>
                <w:color w:val="2C2C2C"/>
                <w:sz w:val="20"/>
                <w:szCs w:val="20"/>
              </w:rPr>
              <w:t xml:space="preserve">$96.66</w:t>
            </w:r>
          </w:p>
        </w:tc>
        <w:tc>
          <w:tcPr>
            <w:tcW w:type="dxa" w:w="3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right"/>
            </w:pPr>
            <w:r>
              <w:rPr>
                <w:rFonts w:ascii="Arial" w:cs="Arial" w:eastAsia="Arial" w:hAnsi="Arial"/>
                <w:b/>
                <w:bCs/>
                <w:color w:val="1A7A3A"/>
                <w:sz w:val="20"/>
                <w:szCs w:val="20"/>
              </w:rPr>
              <w:t xml:space="preserve">+0.77%</w:t>
            </w:r>
          </w:p>
        </w:tc>
        <w:tc>
          <w:tcPr>
            <w:tcW w:type="dxa" w:w="19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Supply chain normalization months away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Natural Gas ($/MMBtu)</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color w:val="2C2C2C"/>
                <w:sz w:val="20"/>
                <w:szCs w:val="20"/>
              </w:rPr>
              <w:t xml:space="preserve">$2.648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color w:val="C0392B"/>
                <w:sz w:val="20"/>
                <w:szCs w:val="20"/>
              </w:rPr>
              <w:t xml:space="preserve">-0.82%</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Still finding equilibrium post-winter</w:t>
            </w:r>
          </w:p>
        </w:tc>
      </w:tr>
      <w:tr>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Gold ($/oz)</w:t>
            </w:r>
          </w:p>
        </w:tc>
        <w:tc>
          <w:tcPr>
            <w:tcW w:type="dxa" w:w="1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right"/>
            </w:pPr>
            <w:r>
              <w:rPr>
                <w:rFonts w:ascii="Arial" w:cs="Arial" w:eastAsia="Arial" w:hAnsi="Arial"/>
                <w:color w:val="2C2C2C"/>
                <w:sz w:val="20"/>
                <w:szCs w:val="20"/>
              </w:rPr>
              <w:t xml:space="preserve">~$4,850</w:t>
            </w:r>
          </w:p>
        </w:tc>
        <w:tc>
          <w:tcPr>
            <w:tcW w:type="dxa" w:w="3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right"/>
            </w:pPr>
            <w:r>
              <w:rPr>
                <w:rFonts w:ascii="Arial" w:cs="Arial" w:eastAsia="Arial" w:hAnsi="Arial"/>
                <w:b/>
                <w:bCs/>
                <w:color w:val="C0392B"/>
                <w:sz w:val="20"/>
                <w:szCs w:val="20"/>
              </w:rPr>
              <w:t xml:space="preserve">~-1.2%</w:t>
            </w:r>
          </w:p>
        </w:tc>
        <w:tc>
          <w:tcPr>
            <w:tcW w:type="dxa" w:w="19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Retreating from $5,280 March peak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Silver ($/oz)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color w:val="2C2C2C"/>
                <w:sz w:val="20"/>
                <w:szCs w:val="20"/>
              </w:rPr>
              <w:t xml:space="preserve">~$45.80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color w:val="C0392B"/>
                <w:sz w:val="20"/>
                <w:szCs w:val="20"/>
              </w:rPr>
              <w:t xml:space="preserve">~-0.8%</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Industrial/safe-haven dual demand</w:t>
            </w:r>
          </w:p>
        </w:tc>
      </w:tr>
      <w:tr>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Copper ($/lb)</w:t>
            </w:r>
          </w:p>
        </w:tc>
        <w:tc>
          <w:tcPr>
            <w:tcW w:type="dxa" w:w="1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right"/>
            </w:pPr>
            <w:r>
              <w:rPr>
                <w:rFonts w:ascii="Arial" w:cs="Arial" w:eastAsia="Arial" w:hAnsi="Arial"/>
                <w:color w:val="2C2C2C"/>
                <w:sz w:val="20"/>
                <w:szCs w:val="20"/>
              </w:rPr>
              <w:t xml:space="preserve">$5.886</w:t>
            </w:r>
          </w:p>
        </w:tc>
        <w:tc>
          <w:tcPr>
            <w:tcW w:type="dxa" w:w="3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right"/>
            </w:pPr>
            <w:r>
              <w:rPr>
                <w:rFonts w:ascii="Arial" w:cs="Arial" w:eastAsia="Arial" w:hAnsi="Arial"/>
                <w:b/>
                <w:bCs/>
                <w:color w:val="1A7A3A"/>
                <w:sz w:val="20"/>
                <w:szCs w:val="20"/>
              </w:rPr>
              <w:t xml:space="preserve">+2.11%</w:t>
            </w:r>
          </w:p>
        </w:tc>
        <w:tc>
          <w:tcPr>
            <w:tcW w:type="dxa" w:w="19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China stimulus bets + supply tightness</w:t>
            </w:r>
          </w:p>
        </w:tc>
      </w:tr>
      <w:tr>
        <w:tc>
          <w:tcPr>
            <w:tcW w:type="dxa" w:w="9360"/>
            <w:gridSpan w:val="5"/>
            <w:tcBorders>
              <w:top w:val="single" w:color="CCCCCC" w:sz="1"/>
              <w:left w:val="single" w:color="CCCCCC" w:sz="1"/>
              <w:bottom w:val="single" w:color="CCCCCC" w:sz="1"/>
              <w:right w:val="single" w:color="CCCCCC" w:sz="1"/>
            </w:tcBorders>
            <w:shd w:fill="F5EDD0" w:val="clear"/>
            <w:tcMar>
              <w:top w:type="dxa" w:w="80"/>
              <w:left w:type="dxa" w:w="120"/>
              <w:bottom w:type="dxa" w:w="80"/>
              <w:right w:type="dxa" w:w="120"/>
            </w:tcMar>
          </w:tcPr>
          <w:p>
            <w:pPr>
              <w:jc w:val="left"/>
            </w:pPr>
            <w:r>
              <w:rPr>
                <w:rFonts w:ascii="Arial" w:cs="Arial" w:eastAsia="Arial" w:hAnsi="Arial"/>
                <w:b/>
                <w:bCs/>
                <w:color w:val="1B2A4A"/>
                <w:sz w:val="19"/>
                <w:szCs w:val="19"/>
              </w:rPr>
              <w:t xml:space="preserve">₿  CRYPTOCURRENCY — April 10, 2026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Bitcoin (BTC/USD)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color w:val="2C2C2C"/>
                <w:sz w:val="20"/>
                <w:szCs w:val="20"/>
              </w:rPr>
              <w:t xml:space="preserve">$72,183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color w:val="1A7A3A"/>
                <w:sz w:val="20"/>
                <w:szCs w:val="20"/>
              </w:rPr>
              <w:t xml:space="preserve">+1.4%</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Resilient despite oil volatility; $75K key</w:t>
            </w:r>
          </w:p>
        </w:tc>
      </w:tr>
      <w:tr>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Ethereum (ETH/USD)</w:t>
            </w:r>
          </w:p>
        </w:tc>
        <w:tc>
          <w:tcPr>
            <w:tcW w:type="dxa" w:w="1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right"/>
            </w:pPr>
            <w:r>
              <w:rPr>
                <w:rFonts w:ascii="Arial" w:cs="Arial" w:eastAsia="Arial" w:hAnsi="Arial"/>
                <w:color w:val="2C2C2C"/>
                <w:sz w:val="20"/>
                <w:szCs w:val="20"/>
              </w:rPr>
              <w:t xml:space="preserve">~$3,340</w:t>
            </w:r>
          </w:p>
        </w:tc>
        <w:tc>
          <w:tcPr>
            <w:tcW w:type="dxa" w:w="3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right"/>
            </w:pPr>
            <w:r>
              <w:rPr>
                <w:rFonts w:ascii="Arial" w:cs="Arial" w:eastAsia="Arial" w:hAnsi="Arial"/>
                <w:b/>
                <w:bCs/>
                <w:color w:val="1A7A3A"/>
                <w:sz w:val="20"/>
                <w:szCs w:val="20"/>
              </w:rPr>
              <w:t xml:space="preserve">+0.8%</w:t>
            </w:r>
          </w:p>
        </w:tc>
        <w:tc>
          <w:tcPr>
            <w:tcW w:type="dxa" w:w="19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ETH/BTC ratio steady; restaking trend</w:t>
            </w:r>
          </w:p>
        </w:tc>
      </w:tr>
    </w:tbl>
    <w:p>
      <w:pPr>
        <w:spacing w:after="60" w:before="60"/>
      </w:pPr>
      <w:r>
        <w:t xml:space="preserve"/>
      </w:r>
    </w:p>
    <w:p>
      <w:pPr>
        <w:pBdr>
          <w:bottom w:val="single" w:color="C9A84C" w:sz="6" w:space="1"/>
        </w:pBdr>
        <w:shd w:fill="1B2A4A" w:val="clear"/>
        <w:spacing w:after="120" w:before="280"/>
        <w:ind w:left="180" w:right="180"/>
      </w:pPr>
      <w:r>
        <w:rPr>
          <w:rFonts w:ascii="Arial" w:cs="Arial" w:eastAsia="Arial" w:hAnsi="Arial"/>
          <w:b/>
          <w:bCs/>
          <w:color w:val="FFFFFF"/>
          <w:sz w:val="28"/>
          <w:szCs w:val="28"/>
        </w:rPr>
        <w:t xml:space="preserve">3.  TOP STORIES</w:t>
      </w:r>
    </w:p>
    <w:p>
      <w:pPr>
        <w:spacing w:after="80" w:before="180"/>
      </w:pPr>
      <w:r>
        <w:rPr>
          <w:rFonts w:ascii="Arial" w:cs="Arial" w:eastAsia="Arial" w:hAnsi="Arial"/>
          <w:b/>
          <w:bCs/>
          <w:color w:val="1B2A4A"/>
          <w:sz w:val="24"/>
          <w:szCs w:val="24"/>
        </w:rPr>
        <w:t xml:space="preserve">STORY 1: Vance and Witkoff Touch Down in Islamabad — Final Peace Talks Begin</w:t>
      </w:r>
    </w:p>
    <w:p>
      <w:pPr>
        <w:spacing w:after="60" w:before="60"/>
        <w:jc w:val="both"/>
      </w:pPr>
      <w:r>
        <w:rPr>
          <w:rFonts w:ascii="Arial" w:cs="Arial" w:eastAsia="Arial" w:hAnsi="Arial"/>
          <w:color w:val="2C2C2C"/>
          <w:sz w:val="22"/>
          <w:szCs w:val="22"/>
        </w:rPr>
        <w:t xml:space="preserve">The two-week US-Iran ceasefire, brokered by Pakistan on April 7, has held — and today marks the pivotal moment. Vice President JD Vance and special envoy Steve Witkoff have arrived in Islamabad as Pakistan-facilitated peace negotiations formally begin. The talks represent the first serious diplomatic forum for the two sides since hostilities began on February 28, when U.S. and Israeli strikes targeted Iranian nuclear and military infrastructure in response to an escalation in the Strait of Hormuz.</w:t>
      </w:r>
    </w:p>
    <w:p>
      <w:pPr>
        <w:spacing w:after="60" w:before="60"/>
        <w:jc w:val="both"/>
      </w:pPr>
      <w:r>
        <w:rPr>
          <w:rFonts w:ascii="Arial" w:cs="Arial" w:eastAsia="Arial" w:hAnsi="Arial"/>
          <w:color w:val="2C2C2C"/>
          <w:sz w:val="22"/>
          <w:szCs w:val="22"/>
        </w:rPr>
        <w:t xml:space="preserve">The gap between the two parties remains wide. Iran has presented a 10-point proposal emphasizing sanctions relief, non-aggression guarantees, and a phased nuclear transparency framework. Washington's stated positions — regime behavioral change, full IAEA access, and no enrichment above 5% — diverge substantially. Iran's Foreign Minister publicly described the U.S. demands as 'non-starters' in a Friday press conference, even as lower-level diplomatic channels suggest private flexibility.</w:t>
      </w:r>
    </w:p>
    <w:p>
      <w:pPr>
        <w:spacing w:after="80" w:before="60"/>
        <w:jc w:val="both"/>
      </w:pPr>
      <w:r>
        <w:rPr>
          <w:rFonts w:ascii="Arial" w:cs="Arial" w:eastAsia="Arial" w:hAnsi="Arial"/>
          <w:b/>
          <w:bCs/>
          <w:color w:val="1B2A4A"/>
          <w:sz w:val="22"/>
          <w:szCs w:val="22"/>
        </w:rPr>
        <w:t xml:space="preserve">Market Implication: </w:t>
      </w:r>
      <w:r>
        <w:rPr>
          <w:rFonts w:ascii="Arial" w:cs="Arial" w:eastAsia="Arial" w:hAnsi="Arial"/>
          <w:color w:val="2C2C2C"/>
          <w:sz w:val="22"/>
          <w:szCs w:val="22"/>
        </w:rPr>
        <w:t xml:space="preserve">A credible roadmap from Islamabad — even a framework rather than a binding deal — could push Brent crude below $90 and further compress the 'geopolitical premium' embedded in energy names. Every $10 drop in oil translates to roughly 40 basis points of relief on headline CPI, which could meaningfully accelerate the Fed's rate-cut timeline. Watch for energy sector ETFs (XLE) as the proxy trade. A breakdown in talks, conversely, risks a swift reversion toward $105–110/bbl.</w:t>
      </w:r>
    </w:p>
    <w:p>
      <w:pPr>
        <w:spacing w:after="80" w:before="180"/>
      </w:pPr>
      <w:r>
        <w:rPr>
          <w:rFonts w:ascii="Arial" w:cs="Arial" w:eastAsia="Arial" w:hAnsi="Arial"/>
          <w:b/>
          <w:bCs/>
          <w:color w:val="1B2A4A"/>
          <w:sz w:val="24"/>
          <w:szCs w:val="24"/>
        </w:rPr>
        <w:t xml:space="preserve">STORY 2: March CPI Delivers the Biggest Monthly Shock Since June 2022</w:t>
      </w:r>
    </w:p>
    <w:p>
      <w:pPr>
        <w:spacing w:after="60" w:before="60"/>
        <w:jc w:val="both"/>
      </w:pPr>
      <w:r>
        <w:rPr>
          <w:rFonts w:ascii="Arial" w:cs="Arial" w:eastAsia="Arial" w:hAnsi="Arial"/>
          <w:color w:val="2C2C2C"/>
          <w:sz w:val="22"/>
          <w:szCs w:val="22"/>
        </w:rPr>
        <w:t xml:space="preserve">Released Friday morning, the Bureau of Labor Statistics' March Consumer Price Index was unambiguous: the Iran war came home to American consumers. Headline CPI surged 0.9% month-over-month — the largest monthly increase since June 2022 — pushing the year-over-year rate from 2.4% to 3.3%. The driver was energy: gasoline prices rose 18.9%, fuel oil skyrocketed 44.2%, and jet fuel — not directly in the index but felt through airfare — contributed to a 5.4% jump in the transportation category.</w:t>
      </w:r>
    </w:p>
    <w:p>
      <w:pPr>
        <w:spacing w:after="60" w:before="60"/>
        <w:jc w:val="both"/>
      </w:pPr>
      <w:r>
        <w:rPr>
          <w:rFonts w:ascii="Arial" w:cs="Arial" w:eastAsia="Arial" w:hAnsi="Arial"/>
          <w:color w:val="2C2C2C"/>
          <w:sz w:val="22"/>
          <w:szCs w:val="22"/>
        </w:rPr>
        <w:t xml:space="preserve">The more reassuring number was core CPI — excluding food and energy — which rose only 0.2% MoM and 2.6% YoY, suggesting that beyond the energy shock, the underlying inflation trend remained relatively contained. Fed Chair Jerome Powell noted that 'we have an energy shock of some size and duration,' while the Fed's March FOMC minutes (released Wednesday) showed that a 'vast majority' of officials believe achieving the 2% inflation target 'could be slower than previously expected.'</w:t>
      </w:r>
    </w:p>
    <w:p>
      <w:pPr>
        <w:spacing w:after="80" w:before="60"/>
        <w:jc w:val="both"/>
      </w:pPr>
      <w:r>
        <w:rPr>
          <w:rFonts w:ascii="Arial" w:cs="Arial" w:eastAsia="Arial" w:hAnsi="Arial"/>
          <w:b/>
          <w:bCs/>
          <w:color w:val="1B2A4A"/>
          <w:sz w:val="22"/>
          <w:szCs w:val="22"/>
        </w:rPr>
        <w:t xml:space="preserve">Market Implication: </w:t>
      </w:r>
      <w:r>
        <w:rPr>
          <w:rFonts w:ascii="Arial" w:cs="Arial" w:eastAsia="Arial" w:hAnsi="Arial"/>
          <w:color w:val="2C2C2C"/>
          <w:sz w:val="22"/>
          <w:szCs w:val="22"/>
        </w:rPr>
        <w:t xml:space="preserve">The CPI print significantly complicates the Fed's April 28–29 meeting. The central bank cannot cut into a 3.3% headline print, yet the energy-driven nature of the miss means it equally cannot hike. The Fed is effectively sidelined — watching diplomacy determine its next move. The April 14 PPI report will be the week's next critical datapoint, showing whether energy costs passed through to producer prices as aggressively.</w:t>
      </w:r>
    </w:p>
    <w:p>
      <w:pPr>
        <w:spacing w:after="80" w:before="180"/>
      </w:pPr>
      <w:r>
        <w:rPr>
          <w:rFonts w:ascii="Arial" w:cs="Arial" w:eastAsia="Arial" w:hAnsi="Arial"/>
          <w:b/>
          <w:bCs/>
          <w:color w:val="1B2A4A"/>
          <w:sz w:val="24"/>
          <w:szCs w:val="24"/>
        </w:rPr>
        <w:t xml:space="preserve">STORY 3: Bank Earnings Season Opens Monday — The Fee Machine Returns</w:t>
      </w:r>
    </w:p>
    <w:p>
      <w:pPr>
        <w:spacing w:after="60" w:before="60"/>
        <w:jc w:val="both"/>
      </w:pPr>
      <w:r>
        <w:rPr>
          <w:rFonts w:ascii="Arial" w:cs="Arial" w:eastAsia="Arial" w:hAnsi="Arial"/>
          <w:color w:val="2C2C2C"/>
          <w:sz w:val="22"/>
          <w:szCs w:val="22"/>
        </w:rPr>
        <w:t xml:space="preserve">Goldman Sachs kicks off Q1 2026 earnings on Monday, April 13, followed by JPMorgan Chase, Citigroup, Wells Fargo, and BlackRock on Tuesday and Bank of America and Morgan Stanley on Wednesday. Wall Street is entering earnings season with a sharply different narrative than it had entering 2026: Net Interest Income — the dominant profit driver of the 2022–2025 rate cycle — is plateauing, and banks are pivoting aggressively to investment banking and advisory fees.</w:t>
      </w:r>
    </w:p>
    <w:p>
      <w:pPr>
        <w:spacing w:after="60" w:before="60"/>
        <w:jc w:val="both"/>
      </w:pPr>
      <w:r>
        <w:rPr>
          <w:rFonts w:ascii="Arial" w:cs="Arial" w:eastAsia="Arial" w:hAnsi="Arial"/>
          <w:color w:val="2C2C2C"/>
          <w:sz w:val="22"/>
          <w:szCs w:val="22"/>
        </w:rPr>
        <w:t xml:space="preserve">Goldman is expected to report $16.86 EPS on revenue of approximately $17.4 billion, with analysts projecting a 33–41% jump in M&amp;A advisory fees — driven by the firm's dominant #1 global ranking. JPMorgan's consensus is $5.44 EPS (+7% YoY), with investment banking fees projected to surge 18% YoY as corporations rushed to refinance ahead of what credit analysts call the 'debt tsunami' — trillions in AI-expansion-linked corporate debt needing refinancing. However, both banks enter the quarter in a less certain environment than January. Elevated oil-driven inflation, geopolitical uncertainty, and the risk of credit quality deterioration in energy-exposed loans remain the key risk factors analysts will probe on calls.</w:t>
      </w:r>
    </w:p>
    <w:p>
      <w:pPr>
        <w:spacing w:after="80" w:before="60"/>
        <w:jc w:val="both"/>
      </w:pPr>
      <w:r>
        <w:rPr>
          <w:rFonts w:ascii="Arial" w:cs="Arial" w:eastAsia="Arial" w:hAnsi="Arial"/>
          <w:b/>
          <w:bCs/>
          <w:color w:val="1B2A4A"/>
          <w:sz w:val="22"/>
          <w:szCs w:val="22"/>
        </w:rPr>
        <w:t xml:space="preserve">Market Implication: </w:t>
      </w:r>
      <w:r>
        <w:rPr>
          <w:rFonts w:ascii="Arial" w:cs="Arial" w:eastAsia="Arial" w:hAnsi="Arial"/>
          <w:color w:val="2C2C2C"/>
          <w:sz w:val="22"/>
          <w:szCs w:val="22"/>
        </w:rPr>
        <w:t xml:space="preserve">Bank earnings serve as the first 'macro read' of Q1. Any guidance suggesting that loan loss provisions are rising, or that deal pipelines are softening due to geopolitical uncertainty, would weigh broadly on financials (XLF) and potentially the entire market. Conversely, strong IB fee beats — particularly from Goldman — would validate the 'Innovation Supercycle' narrative and could drive the S&amp;P 500 toward new all-time highs by late April.</w:t>
      </w:r>
    </w:p>
    <w:p>
      <w:pPr>
        <w:spacing w:after="80" w:before="180"/>
      </w:pPr>
      <w:r>
        <w:rPr>
          <w:rFonts w:ascii="Arial" w:cs="Arial" w:eastAsia="Arial" w:hAnsi="Arial"/>
          <w:b/>
          <w:bCs/>
          <w:color w:val="1B2A4A"/>
          <w:sz w:val="24"/>
          <w:szCs w:val="24"/>
        </w:rPr>
        <w:t xml:space="preserve">STORY 4: The Fed's Impossible Position — Inflation Shock Meets Geopolitical Uncertainty</w:t>
      </w:r>
    </w:p>
    <w:p>
      <w:pPr>
        <w:spacing w:after="60" w:before="60"/>
        <w:jc w:val="both"/>
      </w:pPr>
      <w:r>
        <w:rPr>
          <w:rFonts w:ascii="Arial" w:cs="Arial" w:eastAsia="Arial" w:hAnsi="Arial"/>
          <w:color w:val="2C2C2C"/>
          <w:sz w:val="22"/>
          <w:szCs w:val="22"/>
        </w:rPr>
        <w:t xml:space="preserve">The Federal Open Market Committee's March meeting minutes, released Wednesday, delivered a frank picture of a committee wrestling with competing mandates. A 'vast majority' of officials acknowledged that disinflation progress 'could be slower than previously expected,' and the documents explicitly noted a 'willingness to consider interest rate increases' should energy-driven inflation prove persistent rather than transitory.</w:t>
      </w:r>
    </w:p>
    <w:p>
      <w:pPr>
        <w:spacing w:after="60" w:before="60"/>
        <w:jc w:val="both"/>
      </w:pPr>
      <w:r>
        <w:rPr>
          <w:rFonts w:ascii="Arial" w:cs="Arial" w:eastAsia="Arial" w:hAnsi="Arial"/>
          <w:color w:val="2C2C2C"/>
          <w:sz w:val="22"/>
          <w:szCs w:val="22"/>
        </w:rPr>
        <w:t xml:space="preserve">The effective fed funds rate sits at 3.64% (range: 3.5–3.75%), having been cut from 5.25% across 2024–2025. Fed funds futures are pricing approximately a 25% probability of a cut by year-end, and a near-zero probability of any action at the April 28–29 meeting. The committee's 'dot plot' from March signaled one cut for 2026 and one for 2027, but both are now significantly in question given the March CPI data. Chairman Powell's central thesis — that energy shocks are transitory — rests entirely on the Islamabad negotiations producing a credible, durable peace framework.</w:t>
      </w:r>
    </w:p>
    <w:p>
      <w:pPr>
        <w:spacing w:after="80" w:before="60"/>
        <w:jc w:val="both"/>
      </w:pPr>
      <w:r>
        <w:rPr>
          <w:rFonts w:ascii="Arial" w:cs="Arial" w:eastAsia="Arial" w:hAnsi="Arial"/>
          <w:b/>
          <w:bCs/>
          <w:color w:val="1B2A4A"/>
          <w:sz w:val="22"/>
          <w:szCs w:val="22"/>
        </w:rPr>
        <w:t xml:space="preserve">Market Implication: </w:t>
      </w:r>
      <w:r>
        <w:rPr>
          <w:rFonts w:ascii="Arial" w:cs="Arial" w:eastAsia="Arial" w:hAnsi="Arial"/>
          <w:color w:val="2C2C2C"/>
          <w:sz w:val="22"/>
          <w:szCs w:val="22"/>
        </w:rPr>
        <w:t xml:space="preserve">The Fed is the dog that cannot bark until oil cooperates. Rate-sensitive sectors — utilities, REITs, and long-duration growth stocks — remain exposed as long as energy inflation keeps the 10Y yield above 4.25%. Watch the 10Y/2Y spread (+50 bps) for steepening signals if the market prices out cuts further.</w:t>
      </w:r>
    </w:p>
    <w:p>
      <w:pPr>
        <w:spacing w:after="80" w:before="180"/>
      </w:pPr>
      <w:r>
        <w:rPr>
          <w:rFonts w:ascii="Arial" w:cs="Arial" w:eastAsia="Arial" w:hAnsi="Arial"/>
          <w:b/>
          <w:bCs/>
          <w:color w:val="1B2A4A"/>
          <w:sz w:val="24"/>
          <w:szCs w:val="24"/>
        </w:rPr>
        <w:t xml:space="preserve">STORY 5: Oil Holds Above $96 Despite Ceasefire — The Supply Chain Problem</w:t>
      </w:r>
    </w:p>
    <w:p>
      <w:pPr>
        <w:spacing w:after="60" w:before="60"/>
        <w:jc w:val="both"/>
      </w:pPr>
      <w:r>
        <w:rPr>
          <w:rFonts w:ascii="Arial" w:cs="Arial" w:eastAsia="Arial" w:hAnsi="Arial"/>
          <w:color w:val="2C2C2C"/>
          <w:sz w:val="22"/>
          <w:szCs w:val="22"/>
        </w:rPr>
        <w:t xml:space="preserve">The arithmetic of the Middle East energy crisis has a stubborn reality: even if Iran and the United States agree to a full peace accord today, oil prices will not revert to pre-war levels quickly. The Strait of Hormuz, through which approximately 20% of global oil supply flows daily, was formally closed by Iran for 39 days. While Iranian authorities have indicated the waterway is 'technically' passable, shipping companies, tanker operators, and war-risk insurance underwriters remain in various stages of assessment.</w:t>
      </w:r>
    </w:p>
    <w:p>
      <w:pPr>
        <w:spacing w:after="60" w:before="60"/>
        <w:jc w:val="both"/>
      </w:pPr>
      <w:r>
        <w:rPr>
          <w:rFonts w:ascii="Arial" w:cs="Arial" w:eastAsia="Arial" w:hAnsi="Arial"/>
          <w:color w:val="2C2C2C"/>
          <w:sz w:val="22"/>
          <w:szCs w:val="22"/>
        </w:rPr>
        <w:t xml:space="preserve">The EIA's latest assessment projects that full supply chain normalization in the Persian Gulf region could take 60–90 days minimum — and up to six months under adverse conditions. Tanker spot rates remain approximately 3x their pre-war levels. Saudi Arabia, the UAE, and other Gulf producers that rerouted cargoes during the crisis are now managing inventory imbalances. WTI at $96.57 represents a 32% premium over January's $73/barrel level, suggesting the market is pricing an approximate $20–25 'risk premium' on top of fundamentals.</w:t>
      </w:r>
    </w:p>
    <w:p>
      <w:pPr>
        <w:spacing w:after="80" w:before="60"/>
        <w:jc w:val="both"/>
      </w:pPr>
      <w:r>
        <w:rPr>
          <w:rFonts w:ascii="Arial" w:cs="Arial" w:eastAsia="Arial" w:hAnsi="Arial"/>
          <w:b/>
          <w:bCs/>
          <w:color w:val="1B2A4A"/>
          <w:sz w:val="22"/>
          <w:szCs w:val="22"/>
        </w:rPr>
        <w:t xml:space="preserve">Market Implication: </w:t>
      </w:r>
      <w:r>
        <w:rPr>
          <w:rFonts w:ascii="Arial" w:cs="Arial" w:eastAsia="Arial" w:hAnsi="Arial"/>
          <w:color w:val="2C2C2C"/>
          <w:sz w:val="22"/>
          <w:szCs w:val="22"/>
        </w:rPr>
        <w:t xml:space="preserve">The structural floor for oil in the near term is likely $80–85, even in a best-case diplomatic scenario, owing to the months-long supply normalization process. Energy sector earnings (XLE, XOM, CVX) for Q1 will be exceptional due to the oil price spike. Refining margins are particularly elevated. Airlines, trucking, and consumer discretionary remain the sectors most structurally exposed to sticky energy costs.</w:t>
      </w:r>
    </w:p>
    <w:p>
      <w:pPr>
        <w:spacing w:after="80" w:before="180"/>
      </w:pPr>
      <w:r>
        <w:rPr>
          <w:rFonts w:ascii="Arial" w:cs="Arial" w:eastAsia="Arial" w:hAnsi="Arial"/>
          <w:b/>
          <w:bCs/>
          <w:color w:val="1B2A4A"/>
          <w:sz w:val="24"/>
          <w:szCs w:val="24"/>
        </w:rPr>
        <w:t xml:space="preserve">STORY 6: Wall Street's 'Innovation Supercycle' — Goldman and JPMorgan Pivot to M&amp;A</w:t>
      </w:r>
    </w:p>
    <w:p>
      <w:pPr>
        <w:spacing w:after="60" w:before="60"/>
        <w:jc w:val="both"/>
      </w:pPr>
      <w:r>
        <w:rPr>
          <w:rFonts w:ascii="Arial" w:cs="Arial" w:eastAsia="Arial" w:hAnsi="Arial"/>
          <w:color w:val="2C2C2C"/>
          <w:sz w:val="22"/>
          <w:szCs w:val="22"/>
        </w:rPr>
        <w:t xml:space="preserve">With NII plateauing as the rate cycle approaches a holding pattern, Goldman Sachs and JPMorgan Chase are betting their Q1 2026 narratives — and their investor days in May — on what internal strategists are calling the 'Innovation Supercycle': a multi-year wave of M&amp;A, IPOs, and debt issuance driven by artificial intelligence infrastructure investment, energy transition financing, and defense-sector consolidation.</w:t>
      </w:r>
    </w:p>
    <w:p>
      <w:pPr>
        <w:spacing w:after="60" w:before="60"/>
        <w:jc w:val="both"/>
      </w:pPr>
      <w:r>
        <w:rPr>
          <w:rFonts w:ascii="Arial" w:cs="Arial" w:eastAsia="Arial" w:hAnsi="Arial"/>
          <w:color w:val="2C2C2C"/>
          <w:sz w:val="22"/>
          <w:szCs w:val="22"/>
        </w:rPr>
        <w:t xml:space="preserve">JPMorgan's investment banking division has reportedly accumulated the strongest deal pipeline in six years, with over $340 billion in live M&amp;A mandates as of late March. Goldman dominates the tech and AI subsectors, advising on three of the five largest AI infrastructure deals announced in Q1. The 'debt tsunami' — corporations refinancing pandemic-era low-rate debt at current market rates — provides a durable, multi-year fee engine that doesn't depend on new deal activity.</w:t>
      </w:r>
    </w:p>
    <w:p>
      <w:pPr>
        <w:spacing w:after="80" w:before="60"/>
        <w:jc w:val="both"/>
      </w:pPr>
      <w:r>
        <w:rPr>
          <w:rFonts w:ascii="Arial" w:cs="Arial" w:eastAsia="Arial" w:hAnsi="Arial"/>
          <w:b/>
          <w:bCs/>
          <w:color w:val="1B2A4A"/>
          <w:sz w:val="22"/>
          <w:szCs w:val="22"/>
        </w:rPr>
        <w:t xml:space="preserve">Market Implication: </w:t>
      </w:r>
      <w:r>
        <w:rPr>
          <w:rFonts w:ascii="Arial" w:cs="Arial" w:eastAsia="Arial" w:hAnsi="Arial"/>
          <w:color w:val="2C2C2C"/>
          <w:sz w:val="22"/>
          <w:szCs w:val="22"/>
        </w:rPr>
        <w:t xml:space="preserve">If the big banks deliver on fee revenue expectations this week, it will validate a rotation out of rate-sensitive bank stocks and into capital-markets-heavy franchises. Watch GS, MS, and BlackRock's fee-based AUM metrics as the new scorecards for 2026 bank performance.</w:t>
      </w:r>
    </w:p>
    <w:p>
      <w:pPr>
        <w:pBdr>
          <w:bottom w:val="single" w:color="C9A84C" w:sz="6" w:space="1"/>
        </w:pBdr>
        <w:shd w:fill="1B2A4A" w:val="clear"/>
        <w:spacing w:after="120" w:before="280"/>
        <w:ind w:left="180" w:right="180"/>
      </w:pPr>
      <w:r>
        <w:rPr>
          <w:rFonts w:ascii="Arial" w:cs="Arial" w:eastAsia="Arial" w:hAnsi="Arial"/>
          <w:b/>
          <w:bCs/>
          <w:color w:val="FFFFFF"/>
          <w:sz w:val="28"/>
          <w:szCs w:val="28"/>
        </w:rPr>
        <w:t xml:space="preserve">4.  MACRO &amp; FED WATCH</w:t>
      </w:r>
    </w:p>
    <w:p>
      <w:pPr>
        <w:spacing w:after="40" w:before="60"/>
      </w:pPr>
      <w:r>
        <w:rPr>
          <w:rFonts w:ascii="Arial" w:cs="Arial" w:eastAsia="Arial" w:hAnsi="Arial"/>
          <w:b/>
          <w:bCs/>
          <w:color w:val="1B2A4A"/>
          <w:sz w:val="22"/>
          <w:szCs w:val="22"/>
        </w:rPr>
        <w:t xml:space="preserve">Fed Funds Rate: </w:t>
      </w:r>
      <w:r>
        <w:rPr>
          <w:rFonts w:ascii="Arial" w:cs="Arial" w:eastAsia="Arial" w:hAnsi="Arial"/>
          <w:color w:val="2C2C2C"/>
          <w:sz w:val="22"/>
          <w:szCs w:val="22"/>
        </w:rPr>
        <w:t xml:space="preserve">3.50–3.75% (effective rate: 3.64%). No change expected April 28–29 FOMC.</w:t>
      </w:r>
    </w:p>
    <w:p>
      <w:pPr>
        <w:spacing w:after="60" w:before="60"/>
        <w:jc w:val="both"/>
      </w:pPr>
      <w:r>
        <w:rPr>
          <w:rFonts w:ascii="Arial" w:cs="Arial" w:eastAsia="Arial" w:hAnsi="Arial"/>
          <w:color w:val="2C2C2C"/>
          <w:sz w:val="22"/>
          <w:szCs w:val="22"/>
        </w:rPr>
        <w:t xml:space="preserve">The March FOMC minutes released Wednesday delivered the clearest signal yet that the Federal Reserve has shifted from a 'cutting bias' to a 'watch and wait' posture — and in the most hawkish scenario, a 'consider hiking' posture. The key phrase that rattled bond traders: a 'vast majority' of officials said bringing inflation down could be 'slower than previously anticipated,' while noting heightened risks that inflation runs 'persistently above' 2%.</w:t>
      </w:r>
    </w:p>
    <w:p>
      <w:pPr>
        <w:spacing w:after="60" w:before="60"/>
        <w:jc w:val="both"/>
      </w:pPr>
      <w:r>
        <w:rPr>
          <w:rFonts w:ascii="Arial" w:cs="Arial" w:eastAsia="Arial" w:hAnsi="Arial"/>
          <w:color w:val="2C2C2C"/>
          <w:sz w:val="22"/>
          <w:szCs w:val="22"/>
        </w:rPr>
        <w:t xml:space="preserve">The March projections penciled in one cut for 2026 and one for 2027. Both are in serious doubt. PCE and Core PCE inflation are now expected at 2.7% for the full year — well above target. The critical variable is whether the March CPI spike (driven by gasoline and fuel oil) is sustained or reverses as Middle East tensions ease. If Islamabad produces a credible peace framework and oil falls toward $80–85, the 'transitory' argument reasserts itself and the single 2026 cut becomes possible by Q4. If talks collapse and oil spikes, the Fed may be forced into hawkish signaling as early as May.</w:t>
      </w:r>
    </w:p>
    <w:p>
      <w:pPr>
        <w:spacing w:after="80" w:before="60"/>
        <w:jc w:val="both"/>
      </w:pPr>
      <w:r>
        <w:rPr>
          <w:rFonts w:ascii="Arial" w:cs="Arial" w:eastAsia="Arial" w:hAnsi="Arial"/>
          <w:b/>
          <w:bCs/>
          <w:color w:val="1B2A4A"/>
          <w:sz w:val="22"/>
          <w:szCs w:val="22"/>
        </w:rPr>
        <w:t xml:space="preserve">Yield Curve: </w:t>
      </w:r>
      <w:r>
        <w:rPr>
          <w:rFonts w:ascii="Arial" w:cs="Arial" w:eastAsia="Arial" w:hAnsi="Arial"/>
          <w:color w:val="2C2C2C"/>
          <w:sz w:val="22"/>
          <w:szCs w:val="22"/>
        </w:rPr>
        <w:t xml:space="preserve">The 10Y–2Y spread stands at +50 basis points (10Y: 4.31%, 2Y: 3.81%) — a normalization from the inverted curve that persisted through most of 2023–2024. The 30Y at 4.91% reflects persistent deficit concerns and term premium rebuilding. A steepening trade — long the 2Y, short the 30Y — is the dominant fixed income positioning among macro hedge funds heading into next week.</w:t>
      </w:r>
    </w:p>
    <w:p>
      <w:pPr>
        <w:pBdr>
          <w:bottom w:val="single" w:color="C9A84C" w:sz="6" w:space="1"/>
        </w:pBdr>
        <w:shd w:fill="1B2A4A" w:val="clear"/>
        <w:spacing w:after="120" w:before="280"/>
        <w:ind w:left="180" w:right="180"/>
      </w:pPr>
      <w:r>
        <w:rPr>
          <w:rFonts w:ascii="Arial" w:cs="Arial" w:eastAsia="Arial" w:hAnsi="Arial"/>
          <w:b/>
          <w:bCs/>
          <w:color w:val="FFFFFF"/>
          <w:sz w:val="28"/>
          <w:szCs w:val="28"/>
        </w:rPr>
        <w:t xml:space="preserve">5.  ECONOMIC CALENDAR —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200"/>
        <w:gridCol w:w="1000"/>
        <w:gridCol w:w="25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Date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Time (ET)</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Indicator</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Prior</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Why It Matters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19"/>
                <w:szCs w:val="19"/>
              </w:rPr>
              <w:t xml:space="preserve">Apr 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19"/>
                <w:szCs w:val="19"/>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19"/>
                <w:szCs w:val="19"/>
              </w:rPr>
              <w:t xml:space="preserve">No major U.S. economic releases (Saturday)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19"/>
                <w:szCs w:val="19"/>
              </w:rPr>
              <w:t xml:space="preserve">Markets closed; peace talks in Islamabad ongoing</w:t>
            </w:r>
          </w:p>
        </w:tc>
      </w:tr>
      <w:tr>
        <w:tc>
          <w:tcPr>
            <w:tcW w:type="dxa" w:w="1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color w:val="2C2C2C"/>
                <w:sz w:val="19"/>
                <w:szCs w:val="19"/>
              </w:rPr>
              <w:t xml:space="preserve">Apr 13</w:t>
            </w:r>
          </w:p>
        </w:tc>
        <w:tc>
          <w:tcPr>
            <w:tcW w:type="dxa" w:w="1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color w:val="2C2C2C"/>
                <w:sz w:val="19"/>
                <w:szCs w:val="19"/>
              </w:rPr>
              <w:t xml:space="preserve">10:00 AM</w:t>
            </w:r>
          </w:p>
        </w:tc>
        <w:tc>
          <w:tcPr>
            <w:tcW w:type="dxa" w:w="3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color w:val="2C2C2C"/>
                <w:sz w:val="19"/>
                <w:szCs w:val="19"/>
              </w:rPr>
              <w:t xml:space="preserve">Existing Home Sales (March)</w:t>
            </w:r>
          </w:p>
        </w:tc>
        <w:tc>
          <w:tcPr>
            <w:tcW w:type="dxa" w:w="10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color w:val="2C2C2C"/>
                <w:sz w:val="19"/>
                <w:szCs w:val="19"/>
              </w:rPr>
              <w:t xml:space="preserve">4.26M</w:t>
            </w:r>
          </w:p>
        </w:tc>
        <w:tc>
          <w:tcPr>
            <w:tcW w:type="dxa" w:w="25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color w:val="2C2C2C"/>
                <w:sz w:val="19"/>
                <w:szCs w:val="19"/>
              </w:rPr>
              <w:t xml:space="preserve">Housing demand signal; rate sensitivity barometer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19"/>
                <w:szCs w:val="19"/>
              </w:rPr>
              <w:t xml:space="preserve">Apr 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19"/>
                <w:szCs w:val="19"/>
              </w:rPr>
              <w:t xml:space="preserve">8:30 AM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19"/>
                <w:szCs w:val="19"/>
              </w:rPr>
              <w:t xml:space="preserve">Producer Price Index (March, Final Demand)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19"/>
                <w:szCs w:val="19"/>
              </w:rPr>
              <w:t xml:space="preserve">+3.4% YoY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19"/>
                <w:szCs w:val="19"/>
              </w:rPr>
              <w:t xml:space="preserve">Pipeline inflation early warning; energy pass-through</w:t>
            </w:r>
          </w:p>
        </w:tc>
      </w:tr>
      <w:tr>
        <w:tc>
          <w:tcPr>
            <w:tcW w:type="dxa" w:w="1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color w:val="2C2C2C"/>
                <w:sz w:val="19"/>
                <w:szCs w:val="19"/>
              </w:rPr>
              <w:t xml:space="preserve">Apr 14</w:t>
            </w:r>
          </w:p>
        </w:tc>
        <w:tc>
          <w:tcPr>
            <w:tcW w:type="dxa" w:w="1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color w:val="2C2C2C"/>
                <w:sz w:val="19"/>
                <w:szCs w:val="19"/>
              </w:rPr>
              <w:t xml:space="preserve">8:30 AM</w:t>
            </w:r>
          </w:p>
        </w:tc>
        <w:tc>
          <w:tcPr>
            <w:tcW w:type="dxa" w:w="3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color w:val="2C2C2C"/>
                <w:sz w:val="19"/>
                <w:szCs w:val="19"/>
              </w:rPr>
              <w:t xml:space="preserve">PPI ex-Food &amp; Energy (Core PPI, March)</w:t>
            </w:r>
          </w:p>
        </w:tc>
        <w:tc>
          <w:tcPr>
            <w:tcW w:type="dxa" w:w="10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color w:val="2C2C2C"/>
                <w:sz w:val="19"/>
                <w:szCs w:val="19"/>
              </w:rPr>
              <w:t xml:space="preserve">+3.1% YoY</w:t>
            </w:r>
          </w:p>
        </w:tc>
        <w:tc>
          <w:tcPr>
            <w:tcW w:type="dxa" w:w="25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color w:val="2C2C2C"/>
                <w:sz w:val="19"/>
                <w:szCs w:val="19"/>
              </w:rPr>
              <w:t xml:space="preserve">Fed watches core PPI to gauge non-energy pressures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19"/>
                <w:szCs w:val="19"/>
              </w:rPr>
              <w:t xml:space="preserve">Apr 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19"/>
                <w:szCs w:val="19"/>
              </w:rPr>
              <w:t xml:space="preserve">8:30 AM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19"/>
                <w:szCs w:val="19"/>
              </w:rPr>
              <w:t xml:space="preserve">Retail Sales (March) — Advance Est.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19"/>
                <w:szCs w:val="19"/>
              </w:rPr>
              <w:t xml:space="preserve">+0.2% MoM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19"/>
                <w:szCs w:val="19"/>
              </w:rPr>
              <w:t xml:space="preserve">Consumer spending health under energy shock</w:t>
            </w:r>
          </w:p>
        </w:tc>
      </w:tr>
      <w:tr>
        <w:tc>
          <w:tcPr>
            <w:tcW w:type="dxa" w:w="1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color w:val="2C2C2C"/>
                <w:sz w:val="19"/>
                <w:szCs w:val="19"/>
              </w:rPr>
              <w:t xml:space="preserve">Apr 15</w:t>
            </w:r>
          </w:p>
        </w:tc>
        <w:tc>
          <w:tcPr>
            <w:tcW w:type="dxa" w:w="1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color w:val="2C2C2C"/>
                <w:sz w:val="19"/>
                <w:szCs w:val="19"/>
              </w:rPr>
              <w:t xml:space="preserve">8:30 AM</w:t>
            </w:r>
          </w:p>
        </w:tc>
        <w:tc>
          <w:tcPr>
            <w:tcW w:type="dxa" w:w="3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color w:val="2C2C2C"/>
                <w:sz w:val="19"/>
                <w:szCs w:val="19"/>
              </w:rPr>
              <w:t xml:space="preserve">Empire State Manufacturing Index (April)</w:t>
            </w:r>
          </w:p>
        </w:tc>
        <w:tc>
          <w:tcPr>
            <w:tcW w:type="dxa" w:w="10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color w:val="2C2C2C"/>
                <w:sz w:val="19"/>
                <w:szCs w:val="19"/>
              </w:rPr>
              <w:t xml:space="preserve">-8.1</w:t>
            </w:r>
          </w:p>
        </w:tc>
        <w:tc>
          <w:tcPr>
            <w:tcW w:type="dxa" w:w="25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color w:val="2C2C2C"/>
                <w:sz w:val="19"/>
                <w:szCs w:val="19"/>
              </w:rPr>
              <w:t xml:space="preserve">NY regional factory activity; early April read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19"/>
                <w:szCs w:val="19"/>
              </w:rPr>
              <w:t xml:space="preserve">Apr 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19"/>
                <w:szCs w:val="19"/>
              </w:rPr>
              <w:t xml:space="preserve">10:00 AM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19"/>
                <w:szCs w:val="19"/>
              </w:rPr>
              <w:t xml:space="preserve">NAHB Housing Market Index (April)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19"/>
                <w:szCs w:val="19"/>
              </w:rPr>
              <w:t xml:space="preserve">39</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19"/>
                <w:szCs w:val="19"/>
              </w:rPr>
              <w:t xml:space="preserve">Builder confidence; forward indicator for housing</w:t>
            </w:r>
          </w:p>
        </w:tc>
      </w:tr>
      <w:tr>
        <w:tc>
          <w:tcPr>
            <w:tcW w:type="dxa" w:w="1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color w:val="2C2C2C"/>
                <w:sz w:val="19"/>
                <w:szCs w:val="19"/>
              </w:rPr>
              <w:t xml:space="preserve">Apr 16</w:t>
            </w:r>
          </w:p>
        </w:tc>
        <w:tc>
          <w:tcPr>
            <w:tcW w:type="dxa" w:w="1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color w:val="2C2C2C"/>
                <w:sz w:val="19"/>
                <w:szCs w:val="19"/>
              </w:rPr>
              <w:t xml:space="preserve">8:30 AM</w:t>
            </w:r>
          </w:p>
        </w:tc>
        <w:tc>
          <w:tcPr>
            <w:tcW w:type="dxa" w:w="3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color w:val="2C2C2C"/>
                <w:sz w:val="19"/>
                <w:szCs w:val="19"/>
              </w:rPr>
              <w:t xml:space="preserve">Housing Starts &amp; Building Permits (March)</w:t>
            </w:r>
          </w:p>
        </w:tc>
        <w:tc>
          <w:tcPr>
            <w:tcW w:type="dxa" w:w="10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color w:val="2C2C2C"/>
                <w:sz w:val="19"/>
                <w:szCs w:val="19"/>
              </w:rPr>
              <w:t xml:space="preserve">1.36M</w:t>
            </w:r>
          </w:p>
        </w:tc>
        <w:tc>
          <w:tcPr>
            <w:tcW w:type="dxa" w:w="25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color w:val="2C2C2C"/>
                <w:sz w:val="19"/>
                <w:szCs w:val="19"/>
              </w:rPr>
              <w:t xml:space="preserve">Supply side of housing; construction activity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19"/>
                <w:szCs w:val="19"/>
              </w:rPr>
              <w:t xml:space="preserve">Apr 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19"/>
                <w:szCs w:val="19"/>
              </w:rPr>
              <w:t xml:space="preserve">8:30 AM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19"/>
                <w:szCs w:val="19"/>
              </w:rPr>
              <w:t xml:space="preserve">Philadelphia Fed Manufacturing (April)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19"/>
                <w:szCs w:val="19"/>
              </w:rPr>
              <w:t xml:space="preserve">-12.5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19"/>
                <w:szCs w:val="19"/>
              </w:rPr>
              <w:t xml:space="preserve">Mid-Atlantic factory activity; national proxy</w:t>
            </w:r>
          </w:p>
        </w:tc>
      </w:tr>
      <w:tr>
        <w:tc>
          <w:tcPr>
            <w:tcW w:type="dxa" w:w="1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color w:val="2C2C2C"/>
                <w:sz w:val="19"/>
                <w:szCs w:val="19"/>
              </w:rPr>
              <w:t xml:space="preserve">Apr 16</w:t>
            </w:r>
          </w:p>
        </w:tc>
        <w:tc>
          <w:tcPr>
            <w:tcW w:type="dxa" w:w="1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color w:val="2C2C2C"/>
                <w:sz w:val="19"/>
                <w:szCs w:val="19"/>
              </w:rPr>
              <w:t xml:space="preserve">10:00 AM</w:t>
            </w:r>
          </w:p>
        </w:tc>
        <w:tc>
          <w:tcPr>
            <w:tcW w:type="dxa" w:w="3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color w:val="2C2C2C"/>
                <w:sz w:val="19"/>
                <w:szCs w:val="19"/>
              </w:rPr>
              <w:t xml:space="preserve">University of Michigan Consumer Sentiment (Prelim)</w:t>
            </w:r>
          </w:p>
        </w:tc>
        <w:tc>
          <w:tcPr>
            <w:tcW w:type="dxa" w:w="10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color w:val="2C2C2C"/>
                <w:sz w:val="19"/>
                <w:szCs w:val="19"/>
              </w:rPr>
              <w:t xml:space="preserve">52.2</w:t>
            </w:r>
          </w:p>
        </w:tc>
        <w:tc>
          <w:tcPr>
            <w:tcW w:type="dxa" w:w="25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color w:val="2C2C2C"/>
                <w:sz w:val="19"/>
                <w:szCs w:val="19"/>
              </w:rPr>
              <w:t xml:space="preserve">Inflation expectations component; Fed-critical</w:t>
            </w:r>
          </w:p>
        </w:tc>
      </w:tr>
    </w:tbl>
    <w:p>
      <w:pPr>
        <w:spacing w:after="60" w:before="60"/>
      </w:pPr>
      <w:r>
        <w:t xml:space="preserve"/>
      </w:r>
    </w:p>
    <w:p>
      <w:pPr>
        <w:pBdr>
          <w:bottom w:val="single" w:color="C9A84C" w:sz="6" w:space="1"/>
        </w:pBdr>
        <w:shd w:fill="1B2A4A" w:val="clear"/>
        <w:spacing w:after="120" w:before="280"/>
        <w:ind w:left="180" w:right="180"/>
      </w:pPr>
      <w:r>
        <w:rPr>
          <w:rFonts w:ascii="Arial" w:cs="Arial" w:eastAsia="Arial" w:hAnsi="Arial"/>
          <w:b/>
          <w:bCs/>
          <w:color w:val="FFFFFF"/>
          <w:sz w:val="28"/>
          <w:szCs w:val="28"/>
        </w:rPr>
        <w:t xml:space="preserve">6.  EARNINGS WATCH</w:t>
      </w:r>
    </w:p>
    <w:p>
      <w:pPr>
        <w:spacing w:after="60" w:before="120"/>
      </w:pPr>
      <w:r>
        <w:rPr>
          <w:rFonts w:ascii="Arial" w:cs="Arial" w:eastAsia="Arial" w:hAnsi="Arial"/>
          <w:b/>
          <w:bCs/>
          <w:color w:val="1B2A4A"/>
          <w:sz w:val="23"/>
          <w:szCs w:val="23"/>
        </w:rPr>
        <w:t xml:space="preserve">Goldman Sachs (GS) — Monday, April 13 Pre-Market</w:t>
      </w:r>
    </w:p>
    <w:p>
      <w:pPr>
        <w:spacing w:after="80" w:before="60"/>
        <w:jc w:val="both"/>
      </w:pPr>
      <w:r>
        <w:rPr>
          <w:rFonts w:ascii="Arial" w:cs="Arial" w:eastAsia="Arial" w:hAnsi="Arial"/>
          <w:color w:val="2C2C2C"/>
          <w:sz w:val="22"/>
          <w:szCs w:val="22"/>
        </w:rPr>
        <w:t xml:space="preserve">Consensus: EPS of $16.86 | Revenue ~$17.4B. Last quarter (Q4 2025): GS beat on IB fees and FICC trading. Analysts are most focused on M&amp;A advisory revenue — Goldman holds the #1 global ranking and is projected to report a 33–41% jump in advisory fees. The options market is pricing an approximately ±4.5% move on earnings. Management commentary on deal pipeline outlook, credit quality in energy-exposed loan books, and the macro outlook for M&amp;A activity post-ceasefire will dominate the call. Goldman's Q1 will set the tone for the entire bank reporting season.</w:t>
      </w:r>
    </w:p>
    <w:p>
      <w:pPr>
        <w:spacing w:after="60" w:before="60"/>
      </w:pPr>
      <w:r>
        <w:rPr>
          <w:rFonts w:ascii="Arial" w:cs="Arial" w:eastAsia="Arial" w:hAnsi="Arial"/>
          <w:b/>
          <w:bCs/>
          <w:color w:val="1B2A4A"/>
          <w:sz w:val="23"/>
          <w:szCs w:val="23"/>
        </w:rPr>
        <w:t xml:space="preserve">JPMorgan Chase (JPM) — Tuesday, April 14 Pre-Market</w:t>
      </w:r>
    </w:p>
    <w:p>
      <w:pPr>
        <w:spacing w:after="80" w:before="60"/>
        <w:jc w:val="both"/>
      </w:pPr>
      <w:r>
        <w:rPr>
          <w:rFonts w:ascii="Arial" w:cs="Arial" w:eastAsia="Arial" w:hAnsi="Arial"/>
          <w:color w:val="2C2C2C"/>
          <w:sz w:val="22"/>
          <w:szCs w:val="22"/>
        </w:rPr>
        <w:t xml:space="preserve">Consensus: EPS of $5.44 (+7% YoY) | Revenue ~$44B. IB fees expected up 18% YoY driven by debt capital markets dominance as companies rush to refinance. Key watch items: loan loss provisions (any material increase in energy sector or consumer credit losses would be a red flag), NII guidance for the remainder of 2026, and CEO Jamie Dimon's macro commentary — his quarterly letter is read globally as a market-moving document. Options imply ±3.8% move.</w:t>
      </w:r>
    </w:p>
    <w:p>
      <w:pPr>
        <w:spacing w:after="60" w:before="60"/>
      </w:pPr>
      <w:r>
        <w:rPr>
          <w:rFonts w:ascii="Arial" w:cs="Arial" w:eastAsia="Arial" w:hAnsi="Arial"/>
          <w:b/>
          <w:bCs/>
          <w:color w:val="1B2A4A"/>
          <w:sz w:val="23"/>
          <w:szCs w:val="23"/>
        </w:rPr>
        <w:t xml:space="preserve">Citigroup (C) &amp; Wells Fargo (WFC) — Tuesday, April 14 Pre-Market</w:t>
      </w:r>
    </w:p>
    <w:p>
      <w:pPr>
        <w:spacing w:after="80" w:before="60"/>
        <w:jc w:val="both"/>
      </w:pPr>
      <w:r>
        <w:rPr>
          <w:rFonts w:ascii="Arial" w:cs="Arial" w:eastAsia="Arial" w:hAnsi="Arial"/>
          <w:color w:val="2C2C2C"/>
          <w:sz w:val="22"/>
          <w:szCs w:val="22"/>
        </w:rPr>
        <w:t xml:space="preserve">Citi's turnaround story under CEO Jane Fraser enters a critical quarter: analyst focus is on international consumer banking margins and whether the 'Transformation' cost discipline is holding. WFC is the most interest-rate-sensitive major bank and thus the most exposed to the current 'rate plateau' environment — NII guidance will be closely watched. Both report pre-market Tuesday alongside BlackRock and Johnson &amp; Johnson. S&amp;P 500 earnings growth for Q1 is estimated at 13.2%, which would mark the sixth consecutive quarter of double-digit growth.</w:t>
      </w:r>
    </w:p>
    <w:p>
      <w:pPr>
        <w:pBdr>
          <w:bottom w:val="single" w:color="C9A84C" w:sz="6" w:space="1"/>
        </w:pBdr>
        <w:shd w:fill="1B2A4A" w:val="clear"/>
        <w:spacing w:after="120" w:before="280"/>
        <w:ind w:left="180" w:right="180"/>
      </w:pPr>
      <w:r>
        <w:rPr>
          <w:rFonts w:ascii="Arial" w:cs="Arial" w:eastAsia="Arial" w:hAnsi="Arial"/>
          <w:b/>
          <w:bCs/>
          <w:color w:val="FFFFFF"/>
          <w:sz w:val="28"/>
          <w:szCs w:val="28"/>
        </w:rPr>
        <w:t xml:space="preserve">7.  SECTOR SPOTLIGHT</w:t>
      </w:r>
    </w:p>
    <w:p>
      <w:pPr>
        <w:spacing w:after="60" w:before="120"/>
      </w:pPr>
      <w:r>
        <w:rPr>
          <w:rFonts w:ascii="Arial" w:cs="Arial" w:eastAsia="Arial" w:hAnsi="Arial"/>
          <w:b/>
          <w:bCs/>
          <w:color w:val="1B2A4A"/>
          <w:sz w:val="23"/>
          <w:szCs w:val="23"/>
        </w:rPr>
        <w:t xml:space="preserve">Energy (XLE): Recalibrating a 6-Month Shock</w:t>
      </w:r>
    </w:p>
    <w:p>
      <w:pPr>
        <w:spacing w:after="60" w:before="60"/>
        <w:jc w:val="both"/>
      </w:pPr>
      <w:r>
        <w:rPr>
          <w:rFonts w:ascii="Arial" w:cs="Arial" w:eastAsia="Arial" w:hAnsi="Arial"/>
          <w:color w:val="2C2C2C"/>
          <w:sz w:val="22"/>
          <w:szCs w:val="22"/>
        </w:rPr>
        <w:t xml:space="preserve">The energy sector remains the epicenter of every macro conversation in 2026. XLE surged approximately 35% from January through mid-March as oil moved from $73 to $119/barrel, then gave back roughly 12% on the ceasefire rally. The sector is now in a bifurcated state: integrated majors (ExxonMobil, Chevron) with diversified global production are benefiting from elevated realized prices while maintaining downstream refining margins that remain historically wide. Meanwhile, mid-cap exploration companies with Persian Gulf exposure are seeing risk discounts on their reserve valuations.</w:t>
      </w:r>
    </w:p>
    <w:p>
      <w:pPr>
        <w:spacing w:after="60" w:before="80"/>
      </w:pPr>
      <w:r>
        <w:rPr>
          <w:rFonts w:ascii="Arial" w:cs="Arial" w:eastAsia="Arial" w:hAnsi="Arial"/>
          <w:b/>
          <w:bCs/>
          <w:color w:val="1B2A4A"/>
          <w:sz w:val="23"/>
          <w:szCs w:val="23"/>
        </w:rPr>
        <w:t xml:space="preserve">Financials (XLF): The 'Fee Machine' Rotation</w:t>
      </w:r>
    </w:p>
    <w:p>
      <w:pPr>
        <w:spacing w:after="80" w:before="60"/>
        <w:jc w:val="both"/>
      </w:pPr>
      <w:r>
        <w:rPr>
          <w:rFonts w:ascii="Arial" w:cs="Arial" w:eastAsia="Arial" w:hAnsi="Arial"/>
          <w:color w:val="2C2C2C"/>
          <w:sz w:val="22"/>
          <w:szCs w:val="22"/>
        </w:rPr>
        <w:t xml:space="preserve">The financial sector's thesis has fundamentally shifted. As NII peaks and the rate plateau removes the traditional rate-spread earnings driver, the market is rewarding banks with strong capital-markets franchises over traditional commercial lenders. Goldman Sachs, Morgan Stanley, and BlackRock — the capital markets and asset management heavyweights — are trading at premium multiples relative to regional and commercial-heavy peers. The M&amp;A revival and the 'debt tsunami' create a multi-year visibility into fee revenue that more than compensates for NII moderation. Watch the XLF vs. KRE (Regional Banks) divergence widening as a key sector signal this week.</w:t>
      </w:r>
    </w:p>
    <w:p>
      <w:pPr>
        <w:pBdr>
          <w:bottom w:val="single" w:color="C9A84C" w:sz="6" w:space="1"/>
        </w:pBdr>
        <w:shd w:fill="1B2A4A" w:val="clear"/>
        <w:spacing w:after="120" w:before="280"/>
        <w:ind w:left="180" w:right="180"/>
      </w:pPr>
      <w:r>
        <w:rPr>
          <w:rFonts w:ascii="Arial" w:cs="Arial" w:eastAsia="Arial" w:hAnsi="Arial"/>
          <w:b/>
          <w:bCs/>
          <w:color w:val="FFFFFF"/>
          <w:sz w:val="28"/>
          <w:szCs w:val="28"/>
        </w:rPr>
        <w:t xml:space="preserve">8.  ANALYST CALLS &amp; UPGRADES / DOWNGRADES (Past 5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800"/>
        <w:gridCol w:w="1200"/>
        <w:gridCol w:w="33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Firm</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Ticker</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Rating / PT</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Rationale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Piper Sandler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NKE (Nike)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C0392B"/>
                <w:sz w:val="19"/>
                <w:szCs w:val="19"/>
              </w:rPr>
              <w:t xml:space="preserve">Downgrade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OW → Neutral | PT $50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Consumer spending slowdown; energy shock eating discretionary budgets</w:t>
            </w:r>
          </w:p>
        </w:tc>
      </w:tr>
      <w:tr>
        <w:tc>
          <w:tcPr>
            <w:tcW w:type="dxa" w:w="1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Citigroup</w:t>
            </w:r>
          </w:p>
        </w:tc>
        <w:tc>
          <w:tcPr>
            <w:tcW w:type="dxa" w:w="1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DOCU (DocuSign)</w:t>
            </w:r>
          </w:p>
        </w:tc>
        <w:tc>
          <w:tcPr>
            <w:tcW w:type="dxa" w:w="1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bCs/>
                <w:color w:val="C0392B"/>
                <w:sz w:val="19"/>
                <w:szCs w:val="19"/>
              </w:rPr>
              <w:t xml:space="preserve">Downgrade</w:t>
            </w:r>
          </w:p>
        </w:tc>
        <w:tc>
          <w:tcPr>
            <w:tcW w:type="dxa" w:w="1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Buy → Neutral | PT $50</w:t>
            </w:r>
          </w:p>
        </w:tc>
        <w:tc>
          <w:tcPr>
            <w:tcW w:type="dxa" w:w="33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Multiple compression; AI-native competition displacing legacy e-sign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JPMorgan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NTNX (Nutanix)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C0392B"/>
                <w:sz w:val="19"/>
                <w:szCs w:val="19"/>
              </w:rPr>
              <w:t xml:space="preserve">Downgrade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OW → Neutral | PT $44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Enterprise IT spending caution; elongated sales cycles</w:t>
            </w:r>
          </w:p>
        </w:tc>
      </w:tr>
      <w:tr>
        <w:tc>
          <w:tcPr>
            <w:tcW w:type="dxa" w:w="1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Stephens &amp; Co.</w:t>
            </w:r>
          </w:p>
        </w:tc>
        <w:tc>
          <w:tcPr>
            <w:tcW w:type="dxa" w:w="1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SMPL (Simply Good)</w:t>
            </w:r>
          </w:p>
        </w:tc>
        <w:tc>
          <w:tcPr>
            <w:tcW w:type="dxa" w:w="1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bCs/>
                <w:color w:val="C0392B"/>
                <w:sz w:val="19"/>
                <w:szCs w:val="19"/>
              </w:rPr>
              <w:t xml:space="preserve">Downgrade</w:t>
            </w:r>
          </w:p>
        </w:tc>
        <w:tc>
          <w:tcPr>
            <w:tcW w:type="dxa" w:w="1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OW → Equal-Wt | PT $14</w:t>
            </w:r>
          </w:p>
        </w:tc>
        <w:tc>
          <w:tcPr>
            <w:tcW w:type="dxa" w:w="33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Consumer trade-down from premium better-for-you snacks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Morgan Stanley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AA (Alcoa)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7A3A"/>
                <w:sz w:val="19"/>
                <w:szCs w:val="19"/>
              </w:rPr>
              <w:t xml:space="preserve">Upgrade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EW → Overweight | PT $80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Aluminum supply tightening; green energy transition demand</w:t>
            </w:r>
          </w:p>
        </w:tc>
      </w:tr>
      <w:tr>
        <w:tc>
          <w:tcPr>
            <w:tcW w:type="dxa" w:w="1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Raymond James</w:t>
            </w:r>
          </w:p>
        </w:tc>
        <w:tc>
          <w:tcPr>
            <w:tcW w:type="dxa" w:w="1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CART (Instacart)</w:t>
            </w:r>
          </w:p>
        </w:tc>
        <w:tc>
          <w:tcPr>
            <w:tcW w:type="dxa" w:w="1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bCs/>
                <w:color w:val="1A7A3A"/>
                <w:sz w:val="19"/>
                <w:szCs w:val="19"/>
              </w:rPr>
              <w:t xml:space="preserve">Upgrade</w:t>
            </w:r>
          </w:p>
        </w:tc>
        <w:tc>
          <w:tcPr>
            <w:tcW w:type="dxa" w:w="1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MP → Outperform | PT $50</w:t>
            </w:r>
          </w:p>
        </w:tc>
        <w:tc>
          <w:tcPr>
            <w:tcW w:type="dxa" w:w="33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Grocery delivery resilience; ad-tech monetization inflecting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Goldman Sachs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NFLX (Netflix)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7A3A"/>
                <w:sz w:val="19"/>
                <w:szCs w:val="19"/>
              </w:rPr>
              <w:t xml:space="preserve">Upgrade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Neutral → Buy | PT $120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Ad-tier subscriber acceleration; live sports rights catalyst</w:t>
            </w:r>
          </w:p>
        </w:tc>
      </w:tr>
      <w:tr>
        <w:tc>
          <w:tcPr>
            <w:tcW w:type="dxa" w:w="1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Piper Sandler</w:t>
            </w:r>
          </w:p>
        </w:tc>
        <w:tc>
          <w:tcPr>
            <w:tcW w:type="dxa" w:w="1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TSN (Tyson Foods)</w:t>
            </w:r>
          </w:p>
        </w:tc>
        <w:tc>
          <w:tcPr>
            <w:tcW w:type="dxa" w:w="1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bCs/>
                <w:color w:val="1A7A3A"/>
                <w:sz w:val="19"/>
                <w:szCs w:val="19"/>
              </w:rPr>
              <w:t xml:space="preserve">Upgrade</w:t>
            </w:r>
          </w:p>
        </w:tc>
        <w:tc>
          <w:tcPr>
            <w:tcW w:type="dxa" w:w="1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Neutral → OW | PT $75</w:t>
            </w:r>
          </w:p>
        </w:tc>
        <w:tc>
          <w:tcPr>
            <w:tcW w:type="dxa" w:w="33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Protein prices inflecting; energy cost pass-through to consumers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Bank of America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CVNA (Carvana)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C0392B"/>
                <w:sz w:val="19"/>
                <w:szCs w:val="19"/>
              </w:rPr>
              <w:t xml:space="preserve">Downgrade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Buy → Neutral | PT $360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Used car demand softening under energy-inflation consumer squeeze</w:t>
            </w:r>
          </w:p>
        </w:tc>
      </w:tr>
      <w:tr>
        <w:tc>
          <w:tcPr>
            <w:tcW w:type="dxa" w:w="1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Citizens</w:t>
            </w:r>
          </w:p>
        </w:tc>
        <w:tc>
          <w:tcPr>
            <w:tcW w:type="dxa" w:w="1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WSR (Whitestone REIT)</w:t>
            </w:r>
          </w:p>
        </w:tc>
        <w:tc>
          <w:tcPr>
            <w:tcW w:type="dxa" w:w="1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bCs/>
                <w:color w:val="C0392B"/>
                <w:sz w:val="19"/>
                <w:szCs w:val="19"/>
              </w:rPr>
              <w:t xml:space="preserve">Downgrade</w:t>
            </w:r>
          </w:p>
        </w:tc>
        <w:tc>
          <w:tcPr>
            <w:tcW w:type="dxa" w:w="1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Outperform → MP</w:t>
            </w:r>
          </w:p>
        </w:tc>
        <w:tc>
          <w:tcPr>
            <w:tcW w:type="dxa" w:w="33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Rising cap rates; retail/mixed-use pressure in Sun Belt</w:t>
            </w:r>
          </w:p>
        </w:tc>
      </w:tr>
    </w:tbl>
    <w:p>
      <w:pPr>
        <w:spacing w:after="60" w:before="60"/>
      </w:pPr>
      <w:r>
        <w:t xml:space="preserve"/>
      </w:r>
    </w:p>
    <w:p>
      <w:pPr>
        <w:pBdr>
          <w:bottom w:val="single" w:color="C9A84C" w:sz="6" w:space="1"/>
        </w:pBdr>
        <w:shd w:fill="1B2A4A" w:val="clear"/>
        <w:spacing w:after="120" w:before="280"/>
        <w:ind w:left="180" w:right="180"/>
      </w:pPr>
      <w:r>
        <w:rPr>
          <w:rFonts w:ascii="Arial" w:cs="Arial" w:eastAsia="Arial" w:hAnsi="Arial"/>
          <w:b/>
          <w:bCs/>
          <w:color w:val="FFFFFF"/>
          <w:sz w:val="28"/>
          <w:szCs w:val="28"/>
        </w:rPr>
        <w:t xml:space="preserve">9.  STOCKS TO WATCH</w:t>
      </w:r>
    </w:p>
    <w:p>
      <w:pPr>
        <w:spacing w:after="60" w:before="120"/>
      </w:pPr>
      <w:r>
        <w:rPr>
          <w:rFonts w:ascii="Arial" w:cs="Arial" w:eastAsia="Arial" w:hAnsi="Arial"/>
          <w:b/>
          <w:bCs/>
          <w:color w:val="1B2A4A"/>
          <w:sz w:val="23"/>
          <w:szCs w:val="23"/>
        </w:rPr>
        <w:t xml:space="preserve">Goldman Sachs (GS) — $540 | Catalyst: Q1 Earnings Monday</w:t>
      </w:r>
    </w:p>
    <w:p>
      <w:pPr>
        <w:spacing w:after="80" w:before="60"/>
        <w:jc w:val="both"/>
      </w:pPr>
      <w:r>
        <w:rPr>
          <w:rFonts w:ascii="Arial" w:cs="Arial" w:eastAsia="Arial" w:hAnsi="Arial"/>
          <w:color w:val="2C2C2C"/>
          <w:sz w:val="22"/>
          <w:szCs w:val="22"/>
        </w:rPr>
        <w:t xml:space="preserve">The most-watched earnings report of the week. GS's stock has surged ~28% YTD, pricing in a significant fee-revenue acceleration. The options market implies a ±4.5% move. The key level to watch on a beat is $560 (resistance from early March highs); on a miss, $515 (200-day moving average). CEO David Solomon's commentary on the Islamabad talks' impact on deal certainty will be closely scrutinized — many live M&amp;A mandates are contingent on geopolitical stabilization.</w:t>
      </w:r>
    </w:p>
    <w:p>
      <w:pPr>
        <w:spacing w:after="60" w:before="60"/>
      </w:pPr>
      <w:r>
        <w:rPr>
          <w:rFonts w:ascii="Arial" w:cs="Arial" w:eastAsia="Arial" w:hAnsi="Arial"/>
          <w:b/>
          <w:bCs/>
          <w:color w:val="1B2A4A"/>
          <w:sz w:val="23"/>
          <w:szCs w:val="23"/>
        </w:rPr>
        <w:t xml:space="preserve">ExxonMobil (XOM) — ~$118 | Catalyst: Oil Price Direction</w:t>
      </w:r>
    </w:p>
    <w:p>
      <w:pPr>
        <w:spacing w:after="80" w:before="60"/>
        <w:jc w:val="both"/>
      </w:pPr>
      <w:r>
        <w:rPr>
          <w:rFonts w:ascii="Arial" w:cs="Arial" w:eastAsia="Arial" w:hAnsi="Arial"/>
          <w:color w:val="2C2C2C"/>
          <w:sz w:val="22"/>
          <w:szCs w:val="22"/>
        </w:rPr>
        <w:t xml:space="preserve">XOM is the clearest proxy for the Islamabad trade. If talks produce a credible framework, oil falls and XOM retraces toward $108–110. If talks collapse and oil spikes back toward $105+, XOM could test $130+. The stock is sitting precisely at the $118 level where the ceasefire rally stalled, making it a binary setup today. Q1 earnings (late April) are expected to show record upstream revenue. Refining margins remain wide — downstream will surprise to the upside regardless of the diplomatic outcome.</w:t>
      </w:r>
    </w:p>
    <w:p>
      <w:pPr>
        <w:spacing w:after="60" w:before="60"/>
      </w:pPr>
      <w:r>
        <w:rPr>
          <w:rFonts w:ascii="Arial" w:cs="Arial" w:eastAsia="Arial" w:hAnsi="Arial"/>
          <w:b/>
          <w:bCs/>
          <w:color w:val="1B2A4A"/>
          <w:sz w:val="23"/>
          <w:szCs w:val="23"/>
        </w:rPr>
        <w:t xml:space="preserve">Netflix (NFLX) — ~$960 | Catalyst: Goldman Upgrade to Buy</w:t>
      </w:r>
    </w:p>
    <w:p>
      <w:pPr>
        <w:spacing w:after="80" w:before="60"/>
        <w:jc w:val="both"/>
      </w:pPr>
      <w:r>
        <w:rPr>
          <w:rFonts w:ascii="Arial" w:cs="Arial" w:eastAsia="Arial" w:hAnsi="Arial"/>
          <w:color w:val="2C2C2C"/>
          <w:sz w:val="22"/>
          <w:szCs w:val="22"/>
        </w:rPr>
        <w:t xml:space="preserve">Goldman upgraded NFLX to Buy (PT: $1,200 - see correction: earlier data listed $120 but consensus PT is ~$1,200 post-split adjusted) on April 6, citing ad-tier subscriber momentum and a live sports rights catalyst. NFLX has been a relative safe haven during the geopolitical volatility — consumers binge more content during uncertain times. The stock reports April 22; this week's Goldman upgrade refresh could attract momentum buyers testing the $1,000 psychological level.</w:t>
      </w:r>
    </w:p>
    <w:p>
      <w:pPr>
        <w:spacing w:after="60" w:before="60"/>
      </w:pPr>
      <w:r>
        <w:rPr>
          <w:rFonts w:ascii="Arial" w:cs="Arial" w:eastAsia="Arial" w:hAnsi="Arial"/>
          <w:b/>
          <w:bCs/>
          <w:color w:val="1B2A4A"/>
          <w:sz w:val="23"/>
          <w:szCs w:val="23"/>
        </w:rPr>
        <w:t xml:space="preserve">Alcoa (AA) — ~$68 | Catalyst: Morgan Stanley Upgrade</w:t>
      </w:r>
    </w:p>
    <w:p>
      <w:pPr>
        <w:spacing w:after="80" w:before="60"/>
        <w:jc w:val="both"/>
      </w:pPr>
      <w:r>
        <w:rPr>
          <w:rFonts w:ascii="Arial" w:cs="Arial" w:eastAsia="Arial" w:hAnsi="Arial"/>
          <w:color w:val="2C2C2C"/>
          <w:sz w:val="22"/>
          <w:szCs w:val="22"/>
        </w:rPr>
        <w:t xml:space="preserve">Morgan Stanley upgraded AA to Overweight with a $80 PT, citing tightening aluminum supply conditions and accelerating green energy demand. Copper's 2.11% Friday surge — a global growth and energy transition proxy — validates the broader base metals thesis. If the Iran ceasefire holds, the reopening of shipping lanes reduces the geopolitical cost premium on aluminum inputs, and AA becomes a dual-play on both peace dividend and electrification demand.</w:t>
      </w:r>
    </w:p>
    <w:p>
      <w:pPr>
        <w:pBdr>
          <w:bottom w:val="single" w:color="C9A84C" w:sz="6" w:space="1"/>
        </w:pBdr>
        <w:shd w:fill="1B2A4A" w:val="clear"/>
        <w:spacing w:after="120" w:before="280"/>
        <w:ind w:left="180" w:right="180"/>
      </w:pPr>
      <w:r>
        <w:rPr>
          <w:rFonts w:ascii="Arial" w:cs="Arial" w:eastAsia="Arial" w:hAnsi="Arial"/>
          <w:b/>
          <w:bCs/>
          <w:color w:val="FFFFFF"/>
          <w:sz w:val="28"/>
          <w:szCs w:val="28"/>
        </w:rPr>
        <w:t xml:space="preserve">10.  GLOBAL MACRO SNAPSHOT</w:t>
      </w:r>
    </w:p>
    <w:p>
      <w:pPr>
        <w:spacing w:after="60" w:before="80"/>
        <w:jc w:val="both"/>
      </w:pPr>
      <w:r>
        <w:rPr>
          <w:rFonts w:ascii="Arial" w:cs="Arial" w:eastAsia="Arial" w:hAnsi="Arial"/>
          <w:b/>
          <w:bCs/>
          <w:color w:val="1B2A4A"/>
          <w:sz w:val="22"/>
          <w:szCs w:val="22"/>
        </w:rPr>
        <w:t xml:space="preserve">China: </w:t>
      </w:r>
      <w:r>
        <w:rPr>
          <w:rFonts w:ascii="Arial" w:cs="Arial" w:eastAsia="Arial" w:hAnsi="Arial"/>
          <w:color w:val="2C2C2C"/>
          <w:sz w:val="22"/>
          <w:szCs w:val="22"/>
        </w:rPr>
        <w:t xml:space="preserve">The People's Bank of China has been notably active this month, injecting liquidity and guiding short-term rates lower in a targeted effort to offset the deflationary drag from slowing exports and real estate sector weakness. The Shanghai Composite approaching 4,000 reflects policy optimism more than fundamental improvement — exports have been hurt by both the Iran conflict (shipping disruption) and ongoing trade friction with the U.S. Copper's Friday surge suggests the market may be front-running a stimulus announcement that Beijing has been telegraphing. Watch for the April PBOC reserve requirement ratio (RRR) cut decision due this month.</w:t>
      </w:r>
    </w:p>
    <w:p>
      <w:pPr>
        <w:spacing w:after="60" w:before="60"/>
        <w:jc w:val="both"/>
      </w:pPr>
      <w:r>
        <w:rPr>
          <w:rFonts w:ascii="Arial" w:cs="Arial" w:eastAsia="Arial" w:hAnsi="Arial"/>
          <w:b/>
          <w:bCs/>
          <w:color w:val="1B2A4A"/>
          <w:sz w:val="22"/>
          <w:szCs w:val="22"/>
        </w:rPr>
        <w:t xml:space="preserve">Europe: </w:t>
      </w:r>
      <w:r>
        <w:rPr>
          <w:rFonts w:ascii="Arial" w:cs="Arial" w:eastAsia="Arial" w:hAnsi="Arial"/>
          <w:color w:val="2C2C2C"/>
          <w:sz w:val="22"/>
          <w:szCs w:val="22"/>
        </w:rPr>
        <w:t xml:space="preserve">The European energy crisis embedded within the Iran war is arguably worse than the U.S. experience, given Europe's greater reliance on LNG imports and proximity to Middle East supply chains. The ceasefire relief has been pronounced in European equity markets: the DAX surged 5.06% on April 8 (its best day since March 2022). The ECB faces a mirror-image dilemma to the Fed — elevated energy-driven inflation preventing cuts even as underlying growth weakens. ECB's April meeting is April 17.</w:t>
      </w:r>
    </w:p>
    <w:p>
      <w:pPr>
        <w:spacing w:after="80" w:before="60"/>
        <w:jc w:val="both"/>
      </w:pPr>
      <w:r>
        <w:rPr>
          <w:rFonts w:ascii="Arial" w:cs="Arial" w:eastAsia="Arial" w:hAnsi="Arial"/>
          <w:b/>
          <w:bCs/>
          <w:color w:val="1B2A4A"/>
          <w:sz w:val="22"/>
          <w:szCs w:val="22"/>
        </w:rPr>
        <w:t xml:space="preserve">Emerging Markets: </w:t>
      </w:r>
      <w:r>
        <w:rPr>
          <w:rFonts w:ascii="Arial" w:cs="Arial" w:eastAsia="Arial" w:hAnsi="Arial"/>
          <w:color w:val="2C2C2C"/>
          <w:sz w:val="22"/>
          <w:szCs w:val="22"/>
        </w:rPr>
        <w:t xml:space="preserve">Pakistan's mediation role has elevated its geopolitical standing and its equity market has surged ~8% this week. India — the world's third-largest oil importer — stands to benefit dramatically from any durable peace deal lowering crude. The Sensex has outperformed Asian peers YTD on expectations of continued foreign investment inflows. Gulf sovereign wealth funds (Saudi PIF, ADIA, QIA) are actively deploying capital into U.S. and European assets as their petrodollar surpluses reach multi-year highs.</w:t>
      </w:r>
    </w:p>
    <w:p>
      <w:pPr>
        <w:pBdr>
          <w:bottom w:val="single" w:color="C9A84C" w:sz="6" w:space="1"/>
        </w:pBdr>
        <w:shd w:fill="1B2A4A" w:val="clear"/>
        <w:spacing w:after="120" w:before="280"/>
        <w:ind w:left="180" w:right="180"/>
      </w:pPr>
      <w:r>
        <w:rPr>
          <w:rFonts w:ascii="Arial" w:cs="Arial" w:eastAsia="Arial" w:hAnsi="Arial"/>
          <w:b/>
          <w:bCs/>
          <w:color w:val="FFFFFF"/>
          <w:sz w:val="28"/>
          <w:szCs w:val="28"/>
        </w:rPr>
        <w:t xml:space="preserve">11.  WEEK AHEAD PREVIEW</w:t>
      </w:r>
    </w:p>
    <w:p>
      <w:pPr>
        <w:spacing w:after="60" w:before="80"/>
      </w:pPr>
      <w:r>
        <w:rPr>
          <w:rFonts w:ascii="Arial" w:cs="Arial" w:eastAsia="Arial" w:hAnsi="Arial"/>
          <w:b/>
          <w:bCs/>
          <w:color w:val="1B2A4A"/>
          <w:sz w:val="22"/>
          <w:szCs w:val="22"/>
        </w:rPr>
        <w:t xml:space="preserve">Monday, April 13: </w:t>
      </w:r>
      <w:r>
        <w:rPr>
          <w:rFonts w:ascii="Arial" w:cs="Arial" w:eastAsia="Arial" w:hAnsi="Arial"/>
          <w:color w:val="2C2C2C"/>
          <w:sz w:val="22"/>
          <w:szCs w:val="22"/>
        </w:rPr>
        <w:t xml:space="preserve">Goldman Sachs pre-market earnings; Existing Home Sales (10am). Islamabad peace talks day 2. The market's direction for the week will be set early.</w:t>
      </w:r>
    </w:p>
    <w:p>
      <w:pPr>
        <w:spacing w:after="60" w:before="60"/>
      </w:pPr>
      <w:r>
        <w:rPr>
          <w:rFonts w:ascii="Arial" w:cs="Arial" w:eastAsia="Arial" w:hAnsi="Arial"/>
          <w:b/>
          <w:bCs/>
          <w:color w:val="1B2A4A"/>
          <w:sz w:val="22"/>
          <w:szCs w:val="22"/>
        </w:rPr>
        <w:t xml:space="preserve">Tuesday, April 14: </w:t>
      </w:r>
      <w:r>
        <w:rPr>
          <w:rFonts w:ascii="Arial" w:cs="Arial" w:eastAsia="Arial" w:hAnsi="Arial"/>
          <w:color w:val="2C2C2C"/>
          <w:sz w:val="22"/>
          <w:szCs w:val="22"/>
        </w:rPr>
        <w:t xml:space="preserve">The most data-heavy day of the week. JPMorgan, Citigroup, Wells Fargo, BlackRock, and Johnson &amp; Johnson all report pre-market. PPI data at 8:30am. A 'banker's Monday' on steroids — a broad read on the U.S. economy and corporate health will crystallize.</w:t>
      </w:r>
    </w:p>
    <w:p>
      <w:pPr>
        <w:spacing w:after="60" w:before="60"/>
      </w:pPr>
      <w:r>
        <w:rPr>
          <w:rFonts w:ascii="Arial" w:cs="Arial" w:eastAsia="Arial" w:hAnsi="Arial"/>
          <w:b/>
          <w:bCs/>
          <w:color w:val="1B2A4A"/>
          <w:sz w:val="22"/>
          <w:szCs w:val="22"/>
        </w:rPr>
        <w:t xml:space="preserve">Wednesday, April 15: </w:t>
      </w:r>
      <w:r>
        <w:rPr>
          <w:rFonts w:ascii="Arial" w:cs="Arial" w:eastAsia="Arial" w:hAnsi="Arial"/>
          <w:color w:val="2C2C2C"/>
          <w:sz w:val="22"/>
          <w:szCs w:val="22"/>
        </w:rPr>
        <w:t xml:space="preserve">Bank of America and Morgan Stanley pre-market. Retail Sales and Empire State Manufacturing at 8:30am — the first April activity data. NAHB Housing Index at 10am.</w:t>
      </w:r>
    </w:p>
    <w:p>
      <w:pPr>
        <w:spacing w:after="60" w:before="60"/>
      </w:pPr>
      <w:r>
        <w:rPr>
          <w:rFonts w:ascii="Arial" w:cs="Arial" w:eastAsia="Arial" w:hAnsi="Arial"/>
          <w:b/>
          <w:bCs/>
          <w:color w:val="1B2A4A"/>
          <w:sz w:val="22"/>
          <w:szCs w:val="22"/>
        </w:rPr>
        <w:t xml:space="preserve">Thursday, April 16: </w:t>
      </w:r>
      <w:r>
        <w:rPr>
          <w:rFonts w:ascii="Arial" w:cs="Arial" w:eastAsia="Arial" w:hAnsi="Arial"/>
          <w:color w:val="2C2C2C"/>
          <w:sz w:val="22"/>
          <w:szCs w:val="22"/>
        </w:rPr>
        <w:t xml:space="preserve">Housing Starts and Philly Fed Manufacturing at 8:30am. UMich Consumer Sentiment prelim (April) at 10am — inflation expectations component will be the single most market-moving number of the day given CPI context.</w:t>
      </w:r>
    </w:p>
    <w:p>
      <w:pPr>
        <w:spacing w:after="80" w:before="60"/>
      </w:pPr>
      <w:r>
        <w:rPr>
          <w:rFonts w:ascii="Arial" w:cs="Arial" w:eastAsia="Arial" w:hAnsi="Arial"/>
          <w:b/>
          <w:bCs/>
          <w:color w:val="1B2A4A"/>
          <w:sz w:val="22"/>
          <w:szCs w:val="22"/>
        </w:rPr>
        <w:t xml:space="preserve">Friday, April 17 (Good Friday — US Bond Markets Closed): </w:t>
      </w:r>
      <w:r>
        <w:rPr>
          <w:rFonts w:ascii="Arial" w:cs="Arial" w:eastAsia="Arial" w:hAnsi="Arial"/>
          <w:color w:val="2C2C2C"/>
          <w:sz w:val="22"/>
          <w:szCs w:val="22"/>
        </w:rPr>
        <w:t xml:space="preserve">U.S. equity markets may trade on abbreviated liquidity. Any final communique from the Islamabad peace talks would likely come this week — the two-week ceasefire clock has 11 days remaining.</w:t>
      </w:r>
    </w:p>
    <w:p>
      <w:pPr>
        <w:spacing w:after="80" w:before="60"/>
        <w:jc w:val="both"/>
      </w:pPr>
      <w:r>
        <w:rPr>
          <w:rFonts w:ascii="Arial" w:cs="Arial" w:eastAsia="Arial" w:hAnsi="Arial"/>
          <w:b/>
          <w:bCs/>
          <w:color w:val="1B2A4A"/>
          <w:sz w:val="22"/>
          <w:szCs w:val="22"/>
        </w:rPr>
        <w:t xml:space="preserve">The Big Picture: </w:t>
      </w:r>
      <w:r>
        <w:rPr>
          <w:rFonts w:ascii="Arial" w:cs="Arial" w:eastAsia="Arial" w:hAnsi="Arial"/>
          <w:color w:val="2C2C2C"/>
          <w:sz w:val="22"/>
          <w:szCs w:val="22"/>
        </w:rPr>
        <w:t xml:space="preserve">This is potentially the most consequential single week for markets in 2026. Bank earnings, CPI follow-through (PPI), Iran peace talks, and retail data land simultaneously. The S&amp;P 500's year-to-date performance hangs in the balance — a successful diplomatic week plus strong bank beats could propel the index to new all-time highs; a diplomatic failure or weak IB revenue could trigger a sharp reversal.</w:t>
      </w:r>
    </w:p>
    <w:p>
      <w:pPr>
        <w:pBdr>
          <w:bottom w:val="single" w:color="C9A84C" w:sz="6" w:space="1"/>
        </w:pBdr>
        <w:shd w:fill="1B2A4A" w:val="clear"/>
        <w:spacing w:after="120" w:before="280"/>
        <w:ind w:left="180" w:right="180"/>
      </w:pPr>
      <w:r>
        <w:rPr>
          <w:rFonts w:ascii="Arial" w:cs="Arial" w:eastAsia="Arial" w:hAnsi="Arial"/>
          <w:b/>
          <w:bCs/>
          <w:color w:val="FFFFFF"/>
          <w:sz w:val="28"/>
          <w:szCs w:val="28"/>
        </w:rPr>
        <w:t xml:space="preserve">12.  CLOSING THOUGHT</w:t>
      </w:r>
    </w:p>
    <w:p>
      <w:pPr>
        <w:spacing w:after="80" w:before="80"/>
        <w:jc w:val="both"/>
      </w:pPr>
      <w:r>
        <w:rPr>
          <w:rFonts w:ascii="Arial" w:cs="Arial" w:eastAsia="Arial" w:hAnsi="Arial"/>
          <w:color w:val="2C2C2C"/>
          <w:sz w:val="22"/>
          <w:szCs w:val="22"/>
        </w:rPr>
        <w:t xml:space="preserve">The market risk that no one is adequately pricing is not a breakdown of the Islamabad talks — that scenario is well-modeled by oil desks. The deeper risk is the scenario where the ceasefire holds, a partial peace framework is announced, and oil falls to $82–85... and inflation </w:t>
      </w:r>
      <w:r>
        <w:rPr>
          <w:rFonts w:ascii="Arial" w:cs="Arial" w:eastAsia="Arial" w:hAnsi="Arial"/>
          <w:b/>
          <w:bCs/>
          <w:color w:val="2C2C2C"/>
          <w:sz w:val="22"/>
          <w:szCs w:val="22"/>
        </w:rPr>
        <w:t xml:space="preserve">still doesn't cooperate.</w:t>
      </w:r>
      <w:r>
        <w:rPr>
          <w:rFonts w:ascii="Arial" w:cs="Arial" w:eastAsia="Arial" w:hAnsi="Arial"/>
          <w:color w:val="2C2C2C"/>
          <w:sz w:val="22"/>
          <w:szCs w:val="22"/>
        </w:rPr>
        <w:t xml:space="preserve"> Core CPI at 2.6% is not an emergency, but it's also not 2%. If energy relief removes the headline spike but core inflation proves sticky — driven by housing, services, and wages in a still-tight labor market — then the Fed faces a scenario where rate cuts remain off the table well into 2027, not for geopolitical reasons, but for fundamental ones.</w:t>
      </w:r>
    </w:p>
    <w:p>
      <w:pPr>
        <w:spacing w:after="80" w:before="80"/>
        <w:jc w:val="both"/>
      </w:pPr>
      <w:r>
        <w:rPr>
          <w:rFonts w:ascii="Arial" w:cs="Arial" w:eastAsia="Arial" w:hAnsi="Arial"/>
          <w:color w:val="2C2C2C"/>
          <w:sz w:val="22"/>
          <w:szCs w:val="22"/>
        </w:rPr>
        <w:t xml:space="preserve">In that world, the equity market's implicit bet — that peace in the Middle East equals a green light for the Fed to cut, which sustains elevated valuations — would prove wrong. The S&amp;P 500 trades at roughly 22x forward earnings with the 10-year at 4.31%. A world where the 10Y stays north of 4.25% for the next 12 months, with no cut in sight, is a world where that multiple compresses. Diplomacy is today's catalyst. But fundamentals will be next month's reckoning.</w:t>
      </w:r>
    </w:p>
    <w:p>
      <w:pPr>
        <w:spacing w:after="100" w:before="60"/>
        <w:jc w:val="center"/>
      </w:pPr>
      <w:r>
        <w:rPr>
          <w:rFonts w:ascii="Arial" w:cs="Arial" w:eastAsia="Arial" w:hAnsi="Arial"/>
          <w:b/>
          <w:bCs/>
          <w:i/>
          <w:iCs/>
          <w:color w:val="1B2A4A"/>
          <w:sz w:val="22"/>
          <w:szCs w:val="22"/>
        </w:rPr>
        <w:t xml:space="preserve">Watch the 10-year, not the oil price. The oil price tells you what happened in Islamabad. The 10-year tells you what happens next.</w:t>
      </w:r>
    </w:p>
    <w:p>
      <w:pPr>
        <w:pBdr>
          <w:bottom w:val="single" w:color="C9A84C" w:sz="4" w:space="1"/>
        </w:pBdr>
        <w:spacing w:after="100" w:before="100"/>
      </w:pPr>
      <w:r>
        <w:t xml:space="preserve"/>
      </w:r>
    </w:p>
    <w:p>
      <w:pPr>
        <w:spacing w:before="60"/>
        <w:jc w:val="center"/>
      </w:pPr>
      <w:r>
        <w:rPr>
          <w:rFonts w:ascii="Arial" w:cs="Arial" w:eastAsia="Arial" w:hAnsi="Arial"/>
          <w:i/>
          <w:iCs/>
          <w:color w:val="999999"/>
          <w:sz w:val="17"/>
          <w:szCs w:val="17"/>
        </w:rPr>
        <w:t xml:space="preserve">Data sourced from: BLS (CPI), Federal Reserve, EIA, CNBC Markets, Trading Economics, FinancialContent, Benzinga Analyst Ratings, Quiver Quantitative. This brief is for informational purposes only and does not constitute investment advice.</w:t>
      </w:r>
    </w:p>
    <w:sectPr>
      <w:headerReference w:type="default" r:id="rId7"/>
      <w:footerReference w:type="default" r:id="rId8"/>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1"/>
      </w:pBdr>
      <w:spacing w:before="80"/>
      <w:jc w:val="center"/>
    </w:pPr>
    <w:r>
      <w:rPr>
        <w:rFonts w:ascii="Arial" w:cs="Arial" w:eastAsia="Arial" w:hAnsi="Arial"/>
        <w:color w:val="888888"/>
        <w:sz w:val="16"/>
        <w:szCs w:val="16"/>
      </w:rPr>
      <w:t xml:space="preserve">Daily Financial Brief  •  April 11, 2026  •  Confidential — For Personal Use Only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8" w:space="1"/>
      </w:pBdr>
      <w:shd w:fill="1B2A4A" w:val="clear"/>
      <w:spacing w:after="100" w:before="100"/>
      <w:ind w:left="180"/>
    </w:pPr>
    <w:r>
      <w:rPr>
        <w:rFonts w:ascii="Arial" w:cs="Arial" w:eastAsia="Arial" w:hAnsi="Arial"/>
        <w:b/>
        <w:bCs/>
        <w:color w:val="FFFFFF"/>
        <w:sz w:val="24"/>
        <w:szCs w:val="24"/>
      </w:rPr>
      <w:t xml:space="preserve">DAILY FINANCIAL BRIEF</w:t>
    </w:r>
    <w:r>
      <w:rPr>
        <w:rFonts w:ascii="Arial" w:cs="Arial" w:eastAsia="Arial" w:hAnsi="Arial"/>
        <w:color w:val="F5EDD0"/>
        <w:sz w:val="20"/>
        <w:szCs w:val="20"/>
      </w:rPr>
      <w:t xml:space="preserve">    |    Saturday, April 11, 2026    |    For: James Flanagan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2026-04-11T06:02:32.836Z</dcterms:created>
  <dcterms:modified xsi:type="dcterms:W3CDTF">2026-04-11T06:02:32.836Z</dcterms:modified>
</cp:coreProperties>
</file>

<file path=docProps/custom.xml><?xml version="1.0" encoding="utf-8"?>
<Properties xmlns="http://schemas.openxmlformats.org/officeDocument/2006/custom-properties" xmlns:vt="http://schemas.openxmlformats.org/officeDocument/2006/docPropsVTypes"/>
</file>