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A84B" w:sz="12" w:space="4"/>
        </w:pBdr>
        <w:spacing w:after="120" w:before="240"/>
      </w:pPr>
      <w:r>
        <w:rPr>
          <w:rFonts w:ascii="Arial" w:cs="Arial" w:eastAsia="Arial" w:hAnsi="Arial"/>
          <w:b/>
          <w:bCs/>
          <w:color w:val="1B3A6B"/>
          <w:sz w:val="28"/>
          <w:szCs w:val="28"/>
        </w:rPr>
        <w:t xml:space="preserve">1. THE MORNING SETUP</w:t>
      </w:r>
    </w:p>
    <w:p>
      <w:pPr>
        <w:pBdr>
          <w:left w:val="single" w:color="1B3A6B" w:sz="18" w:space="8"/>
        </w:pBdr>
        <w:shd w:fill="EBF0F8" w:val="clear"/>
        <w:spacing w:after="80" w:before="100"/>
      </w:pPr>
      <w:r>
        <w:rPr>
          <w:rFonts w:ascii="Arial" w:cs="Arial" w:eastAsia="Arial" w:hAnsi="Arial"/>
          <w:b/>
          <w:bCs/>
          <w:color w:val="1B3A6B"/>
          <w:sz w:val="21"/>
          <w:szCs w:val="21"/>
        </w:rPr>
        <w:t xml:space="preserve">  Markets enter the new trading week with one foot on the gas and one eye on the Middle East. </w:t>
      </w:r>
      <w:r>
        <w:rPr>
          <w:rFonts w:ascii="Arial" w:cs="Arial" w:eastAsia="Arial" w:hAnsi="Arial"/>
          <w:color w:val="2C2C2C"/>
          <w:sz w:val="20"/>
          <w:szCs w:val="20"/>
        </w:rPr>
        <w:t xml:space="preserve">The S&amp;P 500 closed out a remarkable seven-day winning streak Friday -- its best weekly run since November -- as a fragile U.S.-Iran ceasefire brought oil prices crashing down from multi-year highs and reignited risk appetite across asset classes. Yet the relief may prove temporary: the Strait of Hormuz remains only partially reopened, oil still trades nearly 35% above pre-conflict levels, and a hot March CPI print (+3.3% YoY, +0.9% MoM) released Friday morning served as a sobering reminder that the inflation fight is far from over. The Dow surrendered 269 points on Friday alone as euphoria faded, leaving investors to reckon with a complex tableau: a Fed locked in 'wait and see' mode ahead of its April 28-29 meeting, a Q1 earnings season that kicks off in earnest this week with the major banks, and geopolitical risk that remains one diplomatic miscalculation away from rekindling. All eyes this morning turn to Goldman Sachs, JPMorgan, Wells Fargo, and Citigroup -- who collectively hold the power to either validate or complicate the market's fragile optimism.</w:t>
      </w:r>
    </w:p>
    <w:p>
      <w:pPr>
        <w:pBdr>
          <w:bottom w:val="single" w:color="DDDDDD" w:sz="4" w:space="1"/>
        </w:pBdr>
        <w:spacing w:after="160" w:before="160"/>
      </w:pPr>
      <w:r>
        <w:t xml:space="preserve"/>
      </w:r>
    </w:p>
    <w:p>
      <w:pPr>
        <w:pBdr>
          <w:bottom w:val="single" w:color="C8A84B" w:sz="12" w:space="4"/>
        </w:pBdr>
        <w:spacing w:after="120" w:before="240"/>
      </w:pPr>
      <w:r>
        <w:rPr>
          <w:rFonts w:ascii="Arial" w:cs="Arial" w:eastAsia="Arial" w:hAnsi="Arial"/>
          <w:b/>
          <w:bCs/>
          <w:color w:val="1B3A6B"/>
          <w:sz w:val="28"/>
          <w:szCs w:val="28"/>
        </w:rPr>
        <w:t xml:space="preserve">2. MARKETS AT A GLANCE</w:t>
      </w:r>
    </w:p>
    <w:p>
      <w:pPr>
        <w:spacing w:after="60" w:before="60"/>
      </w:pPr>
      <w:r>
        <w:rPr>
          <w:rFonts w:ascii="Arial" w:cs="Arial" w:eastAsia="Arial" w:hAnsi="Arial"/>
          <w:b w:val="false"/>
          <w:bCs w:val="false"/>
          <w:color w:val="555555"/>
          <w:sz w:val="17"/>
          <w:szCs w:val="17"/>
        </w:rPr>
        <w:t xml:space="preserve">All data as of Friday, April 11, 2026 close. *Approximate estimate for Sunday reference.</w:t>
      </w:r>
    </w:p>
    <w:p>
      <w:pPr>
        <w:spacing w:after="60" w:before="60"/>
      </w:pPr>
      <w:r>
        <w:t xml:space="preserve"/>
      </w:r>
    </w:p>
    <w:p>
      <w:pPr>
        <w:spacing w:after="80" w:before="180"/>
      </w:pPr>
      <w:r>
        <w:rPr>
          <w:rFonts w:ascii="Arial" w:cs="Arial" w:eastAsia="Arial" w:hAnsi="Arial"/>
          <w:b/>
          <w:bCs/>
          <w:color w:val="1B3A6B"/>
          <w:sz w:val="24"/>
          <w:szCs w:val="24"/>
        </w:rPr>
        <w:t xml:space="preserve">U.S. Equities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780"/>
        <w:gridCol w:w="178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INDEX</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LAST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1-DAY</w:t>
            </w:r>
          </w:p>
        </w:tc>
        <w:tc>
          <w:tcPr>
            <w:tcW w:type="dxa" w:w="17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WEEK</w:t>
            </w:r>
          </w:p>
        </w:tc>
        <w:tc>
          <w:tcPr>
            <w:tcW w:type="dxa" w:w="17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YTD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S&amp;P 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5,282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-0.31%</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+3.1%</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-1.0%</w:t>
            </w:r>
          </w:p>
        </w:tc>
      </w:tr>
      <w:tr>
        <w:tc>
          <w:tcPr>
            <w:tcW w:type="dxa" w:w="26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Nasdaq 100</w:t>
            </w:r>
          </w:p>
        </w:tc>
        <w:tc>
          <w:tcPr>
            <w:tcW w:type="dxa" w:w="16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18,421</w:t>
            </w:r>
          </w:p>
        </w:tc>
        <w:tc>
          <w:tcPr>
            <w:tcW w:type="dxa" w:w="16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-0.22%</w:t>
            </w:r>
          </w:p>
        </w:tc>
        <w:tc>
          <w:tcPr>
            <w:tcW w:type="dxa" w:w="17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+4.2%</w:t>
            </w:r>
          </w:p>
        </w:tc>
        <w:tc>
          <w:tcPr>
            <w:tcW w:type="dxa" w:w="17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-3.8%</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Dow Jones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47,917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-0.56%</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+2.9%</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+0.2%</w:t>
            </w:r>
          </w:p>
        </w:tc>
      </w:tr>
      <w:tr>
        <w:tc>
          <w:tcPr>
            <w:tcW w:type="dxa" w:w="26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Russell 2000</w:t>
            </w:r>
          </w:p>
        </w:tc>
        <w:tc>
          <w:tcPr>
            <w:tcW w:type="dxa" w:w="16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2,048</w:t>
            </w:r>
          </w:p>
        </w:tc>
        <w:tc>
          <w:tcPr>
            <w:tcW w:type="dxa" w:w="16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-0.44%</w:t>
            </w:r>
          </w:p>
        </w:tc>
        <w:tc>
          <w:tcPr>
            <w:tcW w:type="dxa" w:w="17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+2.7%</w:t>
            </w:r>
          </w:p>
        </w:tc>
        <w:tc>
          <w:tcPr>
            <w:tcW w:type="dxa" w:w="17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-6.2%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VIX (Fear Gauge)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22.4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+1.8%</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-18.4%</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+34%</w:t>
            </w:r>
          </w:p>
        </w:tc>
      </w:tr>
    </w:tbl>
    <w:p>
      <w:pPr>
        <w:spacing w:after="60" w:before="60"/>
      </w:pPr>
      <w:r>
        <w:t xml:space="preserve"/>
      </w:r>
    </w:p>
    <w:p>
      <w:pPr>
        <w:spacing w:after="80" w:before="180"/>
      </w:pPr>
      <w:r>
        <w:rPr>
          <w:rFonts w:ascii="Arial" w:cs="Arial" w:eastAsia="Arial" w:hAnsi="Arial"/>
          <w:b/>
          <w:bCs/>
          <w:color w:val="1B3A6B"/>
          <w:sz w:val="24"/>
          <w:szCs w:val="24"/>
        </w:rPr>
        <w:t xml:space="preserve">Asia-Pacific Closes (Friday)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80"/>
        <w:gridCol w:w="228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INDEX</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LEVEL</w:t>
            </w:r>
          </w:p>
        </w:tc>
        <w:tc>
          <w:tcPr>
            <w:tcW w:type="dxa" w:w="2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1-DAY CHG</w:t>
            </w:r>
          </w:p>
        </w:tc>
        <w:tc>
          <w:tcPr>
            <w:tcW w:type="dxa" w:w="2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WEEK CHG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Nikkei 225 (Japan)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36,581</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-0.4%</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+2.1%</w:t>
            </w:r>
          </w:p>
        </w:tc>
      </w:tr>
      <w:tr>
        <w:tc>
          <w:tcPr>
            <w:tcW w:type="dxa" w:w="2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Hang Seng (Hong Kong)</w:t>
            </w:r>
          </w:p>
        </w:tc>
        <w:tc>
          <w:tcPr>
            <w:tcW w:type="dxa" w:w="2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21,943</w:t>
            </w:r>
          </w:p>
        </w:tc>
        <w:tc>
          <w:tcPr>
            <w:tcW w:type="dxa" w:w="22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+0.6%</w:t>
            </w:r>
          </w:p>
        </w:tc>
        <w:tc>
          <w:tcPr>
            <w:tcW w:type="dxa" w:w="22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+1.8%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Shanghai Composite (China)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3,312</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+0.3%</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+0.9%</w:t>
            </w:r>
          </w:p>
        </w:tc>
      </w:tr>
      <w:tr>
        <w:tc>
          <w:tcPr>
            <w:tcW w:type="dxa" w:w="2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Kospi (South Korea)</w:t>
            </w:r>
          </w:p>
        </w:tc>
        <w:tc>
          <w:tcPr>
            <w:tcW w:type="dxa" w:w="2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2,489</w:t>
            </w:r>
          </w:p>
        </w:tc>
        <w:tc>
          <w:tcPr>
            <w:tcW w:type="dxa" w:w="22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-0.2%</w:t>
            </w:r>
          </w:p>
        </w:tc>
        <w:tc>
          <w:tcPr>
            <w:tcW w:type="dxa" w:w="22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+1.4%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ASX 200 (Australia)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7,721</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+0.5%</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+1.6%</w:t>
            </w:r>
          </w:p>
        </w:tc>
      </w:tr>
    </w:tbl>
    <w:p>
      <w:pPr>
        <w:spacing w:after="60" w:before="60"/>
      </w:pPr>
      <w:r>
        <w:t xml:space="preserve"/>
      </w:r>
    </w:p>
    <w:p>
      <w:pPr>
        <w:spacing w:after="80" w:before="180"/>
      </w:pPr>
      <w:r>
        <w:rPr>
          <w:rFonts w:ascii="Arial" w:cs="Arial" w:eastAsia="Arial" w:hAnsi="Arial"/>
          <w:b/>
          <w:bCs/>
          <w:color w:val="1B3A6B"/>
          <w:sz w:val="24"/>
          <w:szCs w:val="24"/>
        </w:rPr>
        <w:t xml:space="preserve">Europe (Friday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80"/>
        <w:gridCol w:w="228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INDEX</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LEVEL</w:t>
            </w:r>
          </w:p>
        </w:tc>
        <w:tc>
          <w:tcPr>
            <w:tcW w:type="dxa" w:w="2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1-DAY CHG</w:t>
            </w:r>
          </w:p>
        </w:tc>
        <w:tc>
          <w:tcPr>
            <w:tcW w:type="dxa" w:w="2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WEEK CHG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FTSE 100 (UK)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8,492</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-0.3%</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+1.9%</w:t>
            </w:r>
          </w:p>
        </w:tc>
      </w:tr>
      <w:tr>
        <w:tc>
          <w:tcPr>
            <w:tcW w:type="dxa" w:w="2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DAX (Germany)</w:t>
            </w:r>
          </w:p>
        </w:tc>
        <w:tc>
          <w:tcPr>
            <w:tcW w:type="dxa" w:w="2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21,834</w:t>
            </w:r>
          </w:p>
        </w:tc>
        <w:tc>
          <w:tcPr>
            <w:tcW w:type="dxa" w:w="22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-0.5%</w:t>
            </w:r>
          </w:p>
        </w:tc>
        <w:tc>
          <w:tcPr>
            <w:tcW w:type="dxa" w:w="22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+2.4%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CAC 40 (France)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7,618</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-0.4%</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+2.1%</w:t>
            </w:r>
          </w:p>
        </w:tc>
      </w:tr>
      <w:tr>
        <w:tc>
          <w:tcPr>
            <w:tcW w:type="dxa" w:w="2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Euro Stoxx 50</w:t>
            </w:r>
          </w:p>
        </w:tc>
        <w:tc>
          <w:tcPr>
            <w:tcW w:type="dxa" w:w="2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5,021</w:t>
            </w:r>
          </w:p>
        </w:tc>
        <w:tc>
          <w:tcPr>
            <w:tcW w:type="dxa" w:w="22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-0.4%</w:t>
            </w:r>
          </w:p>
        </w:tc>
        <w:tc>
          <w:tcPr>
            <w:tcW w:type="dxa" w:w="22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+2.2%</w:t>
            </w:r>
          </w:p>
        </w:tc>
      </w:tr>
    </w:tbl>
    <w:p>
      <w:pPr>
        <w:spacing w:after="60" w:before="60"/>
      </w:pPr>
      <w:r>
        <w:t xml:space="preserve"/>
      </w:r>
    </w:p>
    <w:p>
      <w:pPr>
        <w:spacing w:after="80" w:before="180"/>
      </w:pPr>
      <w:r>
        <w:rPr>
          <w:rFonts w:ascii="Arial" w:cs="Arial" w:eastAsia="Arial" w:hAnsi="Arial"/>
          <w:b/>
          <w:bCs/>
          <w:color w:val="1B3A6B"/>
          <w:sz w:val="24"/>
          <w:szCs w:val="24"/>
        </w:rPr>
        <w:t xml:space="preserve">Fixed Income &amp; FX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400"/>
        <w:gridCol w:w="2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INSTRUMENT</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LEVEL</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CHG</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DIRECTION</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NOTE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US 2Y Treasury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3.81%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-2 bps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Falling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Rate cuts remain priced in</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US 5Y Treasury</w:t>
            </w:r>
          </w:p>
        </w:tc>
        <w:tc>
          <w:tcPr>
            <w:tcW w:type="dxa" w:w="1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4.08%</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+1 bp</w:t>
            </w:r>
          </w:p>
        </w:tc>
        <w:tc>
          <w:tcPr>
            <w:tcW w:type="dxa" w:w="1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Steady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US 10Y Treasury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4.31%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+3 bps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Rising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Curve un-inverted; inflation premium</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US 30Y Treasury</w:t>
            </w:r>
          </w:p>
        </w:tc>
        <w:tc>
          <w:tcPr>
            <w:tcW w:type="dxa" w:w="1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4.58%</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+4 bps</w:t>
            </w:r>
          </w:p>
        </w:tc>
        <w:tc>
          <w:tcPr>
            <w:tcW w:type="dxa" w:w="1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Rising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Long end pricing sticky inflation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DXY (US Dollar Index)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98.9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Weak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Below 99 key support level</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EUR/USD</w:t>
            </w:r>
          </w:p>
        </w:tc>
        <w:tc>
          <w:tcPr>
            <w:tcW w:type="dxa" w:w="1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1.0921</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+0.1%</w:t>
            </w:r>
          </w:p>
        </w:tc>
        <w:tc>
          <w:tcPr>
            <w:tcW w:type="dxa" w:w="1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USD weak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ECB rate cut path clearer than Fed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GBP/USD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1.3045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Firming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UK inflation resilient</w:t>
            </w:r>
          </w:p>
        </w:tc>
      </w:tr>
      <w:tr>
        <w:tc>
          <w:tcPr>
            <w:tcW w:type="dxa" w:w="2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USD/JPY</w:t>
            </w:r>
          </w:p>
        </w:tc>
        <w:tc>
          <w:tcPr>
            <w:tcW w:type="dxa" w:w="1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148.3</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-0.3%</w:t>
            </w:r>
          </w:p>
        </w:tc>
        <w:tc>
          <w:tcPr>
            <w:tcW w:type="dxa" w:w="14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Yen gaining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Safe-haven flows; BOJ normalization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USD/CNY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7.241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Stable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PBOC anchoring near 7.24</w:t>
            </w:r>
          </w:p>
        </w:tc>
      </w:tr>
    </w:tbl>
    <w:p>
      <w:pPr>
        <w:spacing w:after="60" w:before="60"/>
      </w:pPr>
      <w:r>
        <w:t xml:space="preserve"/>
      </w:r>
    </w:p>
    <w:p>
      <w:pPr>
        <w:spacing w:after="80" w:before="180"/>
      </w:pPr>
      <w:r>
        <w:rPr>
          <w:rFonts w:ascii="Arial" w:cs="Arial" w:eastAsia="Arial" w:hAnsi="Arial"/>
          <w:b/>
          <w:bCs/>
          <w:color w:val="1B3A6B"/>
          <w:sz w:val="24"/>
          <w:szCs w:val="24"/>
        </w:rPr>
        <w:t xml:space="preserve">Commodities &amp; Crypto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80"/>
        <w:gridCol w:w="228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ASSET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PRICE</w:t>
            </w:r>
          </w:p>
        </w:tc>
        <w:tc>
          <w:tcPr>
            <w:tcW w:type="dxa" w:w="2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1-DAY CHG</w:t>
            </w:r>
          </w:p>
        </w:tc>
        <w:tc>
          <w:tcPr>
            <w:tcW w:type="dxa" w:w="22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YTD CHG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WTI Crude Oil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$95.50 / bbl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-1.3%</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+37%</w:t>
            </w:r>
          </w:p>
        </w:tc>
      </w:tr>
      <w:tr>
        <w:tc>
          <w:tcPr>
            <w:tcW w:type="dxa" w:w="2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Brent Crude</w:t>
            </w:r>
          </w:p>
        </w:tc>
        <w:tc>
          <w:tcPr>
            <w:tcW w:type="dxa" w:w="2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$96.10 / bbl</w:t>
            </w:r>
          </w:p>
        </w:tc>
        <w:tc>
          <w:tcPr>
            <w:tcW w:type="dxa" w:w="22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-0.8%</w:t>
            </w:r>
          </w:p>
        </w:tc>
        <w:tc>
          <w:tcPr>
            <w:tcW w:type="dxa" w:w="22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+35%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Natural Gas (Henry Hub)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$4.21 / MMBtu</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+0.5%</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+22%</w:t>
            </w:r>
          </w:p>
        </w:tc>
      </w:tr>
      <w:tr>
        <w:tc>
          <w:tcPr>
            <w:tcW w:type="dxa" w:w="2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Gold (Spot)</w:t>
            </w:r>
          </w:p>
        </w:tc>
        <w:tc>
          <w:tcPr>
            <w:tcW w:type="dxa" w:w="2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$4,712 / oz</w:t>
            </w:r>
          </w:p>
        </w:tc>
        <w:tc>
          <w:tcPr>
            <w:tcW w:type="dxa" w:w="22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+0.4%</w:t>
            </w:r>
          </w:p>
        </w:tc>
        <w:tc>
          <w:tcPr>
            <w:tcW w:type="dxa" w:w="22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+28%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Silver (Spot)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$34.80 / oz</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+0.6%</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+18%</w:t>
            </w:r>
          </w:p>
        </w:tc>
      </w:tr>
      <w:tr>
        <w:tc>
          <w:tcPr>
            <w:tcW w:type="dxa" w:w="2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Copper (LME)</w:t>
            </w:r>
          </w:p>
        </w:tc>
        <w:tc>
          <w:tcPr>
            <w:tcW w:type="dxa" w:w="2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$4.62 / lb</w:t>
            </w:r>
          </w:p>
        </w:tc>
        <w:tc>
          <w:tcPr>
            <w:tcW w:type="dxa" w:w="22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+0.3%</w:t>
            </w:r>
          </w:p>
        </w:tc>
        <w:tc>
          <w:tcPr>
            <w:tcW w:type="dxa" w:w="22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Bitcoin (BTC)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$72,140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+0.5%</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-8.4%</w:t>
            </w:r>
          </w:p>
        </w:tc>
      </w:tr>
      <w:tr>
        <w:tc>
          <w:tcPr>
            <w:tcW w:type="dxa" w:w="2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Ethereum (ETH)</w:t>
            </w:r>
          </w:p>
        </w:tc>
        <w:tc>
          <w:tcPr>
            <w:tcW w:type="dxa" w:w="20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$2,198</w:t>
            </w:r>
          </w:p>
        </w:tc>
        <w:tc>
          <w:tcPr>
            <w:tcW w:type="dxa" w:w="22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1E7F35"/>
                <w:sz w:val="18"/>
                <w:szCs w:val="18"/>
              </w:rPr>
              <w:t xml:space="preserve">+0.3%</w:t>
            </w:r>
          </w:p>
        </w:tc>
        <w:tc>
          <w:tcPr>
            <w:tcW w:type="dxa" w:w="22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C0392B"/>
                <w:sz w:val="18"/>
                <w:szCs w:val="18"/>
              </w:rPr>
              <w:t xml:space="preserve">-22%</w:t>
            </w:r>
          </w:p>
        </w:tc>
      </w:tr>
    </w:tbl>
    <w:p>
      <w:pPr>
        <w:pBdr>
          <w:bottom w:val="single" w:color="DDDDDD" w:sz="4" w:space="1"/>
        </w:pBdr>
        <w:spacing w:after="160" w:before="160"/>
      </w:pPr>
      <w:r>
        <w:t xml:space="preserve"/>
      </w:r>
    </w:p>
    <w:p>
      <w:pPr>
        <w:pBdr>
          <w:bottom w:val="single" w:color="C8A84B" w:sz="12" w:space="4"/>
        </w:pBdr>
        <w:spacing w:after="120" w:before="240"/>
      </w:pPr>
      <w:r>
        <w:rPr>
          <w:rFonts w:ascii="Arial" w:cs="Arial" w:eastAsia="Arial" w:hAnsi="Arial"/>
          <w:b/>
          <w:bCs/>
          <w:color w:val="1B3A6B"/>
          <w:sz w:val="28"/>
          <w:szCs w:val="28"/>
        </w:rPr>
        <w:t xml:space="preserve">3. TOP STORIES</w:t>
      </w:r>
    </w:p>
    <w:p>
      <w:pPr>
        <w:spacing w:after="80" w:before="180"/>
      </w:pPr>
      <w:r>
        <w:rPr>
          <w:rFonts w:ascii="Arial" w:cs="Arial" w:eastAsia="Arial" w:hAnsi="Arial"/>
          <w:b/>
          <w:bCs/>
          <w:color w:val="1B3A6B"/>
          <w:sz w:val="24"/>
          <w:szCs w:val="24"/>
        </w:rPr>
        <w:t xml:space="preserve">The Ceasefire That Isn't Quite a Ceasefire</w:t>
      </w:r>
    </w:p>
    <w:p>
      <w:pPr>
        <w:spacing w:after="60" w:before="60"/>
      </w:pPr>
      <w:r>
        <w:rPr>
          <w:rFonts w:ascii="Arial" w:cs="Arial" w:eastAsia="Arial" w:hAnsi="Arial"/>
          <w:b w:val="false"/>
          <w:bCs w:val="false"/>
          <w:color w:val="2C2C2C"/>
          <w:sz w:val="20"/>
          <w:szCs w:val="20"/>
        </w:rPr>
        <w:t xml:space="preserve">Iran and the United States agreed to a two-week ceasefire last week -- but markets ended the week with a distinctly cautious tone after Iran reportedly re-closed the Strait of Hormuz within 24 hours of agreeing to safe passage, citing Israel's continued operations in Lebanon as a violation of the truce's terms. The situation remains extraordinarily fluid. The ceasefire, brokered by Pakistan with help from Qatar, had sent oil prices plunging more than 16% on a single day -- WTI dropped from above $112/barrel to around $94, the largest one-day decline since 2020 -- and ignited a multi-day stock market rally. The Dow posted its best single session in over a year.</w:t>
      </w:r>
    </w:p>
    <w:p>
      <w:pPr>
        <w:spacing w:after="60" w:before="60"/>
      </w:pPr>
      <w:r>
        <w:rPr>
          <w:rFonts w:ascii="Arial" w:cs="Arial" w:eastAsia="Arial" w:hAnsi="Arial"/>
          <w:b w:val="false"/>
          <w:bCs w:val="false"/>
          <w:color w:val="2C2C2C"/>
          <w:sz w:val="20"/>
          <w:szCs w:val="20"/>
        </w:rPr>
        <w:t xml:space="preserve">The deeper problem is structural: even if the Strait reopens fully, energy markets have been permanently repriced by the crisis. Global inventories were drawn down aggressively during the blockade, and governments from Europe to Japan are actively rebuilding strategic reserves. JPMorgan's commodity desk has flagged that the oil risk premium may not fully unwind unless a lasting diplomatic framework emerges -- a prospect that feels distant given the involvement of multiple actors (Iran, the U.S., Israel, Hezbollah proxies, and regional Arab states). For markets, the calculus is: a ceasefire is priced in, but a re-escalation is not. That asymmetry makes energy-exposed names and broader risk assets vulnerable to event-driven dislocations.</w:t>
      </w:r>
    </w:p>
    <w:p>
      <w:pPr>
        <w:spacing w:after="60" w:before="60"/>
      </w:pPr>
      <w:r>
        <w:rPr>
          <w:rFonts w:ascii="Arial" w:cs="Arial" w:eastAsia="Arial" w:hAnsi="Arial"/>
          <w:b w:val="false"/>
          <w:bCs w:val="false"/>
          <w:color w:val="1B3A6B"/>
          <w:sz w:val="20"/>
          <w:szCs w:val="20"/>
        </w:rPr>
        <w:t xml:space="preserve">What to Watch: Saturday's talks in Pakistan between U.S. and Iranian delegations. If a second-phase agreement is announced, expect a leg lower in oil and a rally in risk assets. If talks collapse, the Strait risk premium returns with force -- and so does the inflation fear trade.</w:t>
      </w:r>
    </w:p>
    <w:p>
      <w:pPr>
        <w:spacing w:after="60" w:before="60"/>
      </w:pPr>
      <w:r>
        <w:t xml:space="preserve"/>
      </w:r>
    </w:p>
    <w:p>
      <w:pPr>
        <w:spacing w:after="80" w:before="180"/>
      </w:pPr>
      <w:r>
        <w:rPr>
          <w:rFonts w:ascii="Arial" w:cs="Arial" w:eastAsia="Arial" w:hAnsi="Arial"/>
          <w:b/>
          <w:bCs/>
          <w:color w:val="1B3A6B"/>
          <w:sz w:val="24"/>
          <w:szCs w:val="24"/>
        </w:rPr>
        <w:t xml:space="preserve">March CPI: The Inflation Genie Is Not Back in the Bottle</w:t>
      </w:r>
    </w:p>
    <w:p>
      <w:pPr>
        <w:spacing w:after="60" w:before="60"/>
      </w:pPr>
      <w:r>
        <w:rPr>
          <w:rFonts w:ascii="Arial" w:cs="Arial" w:eastAsia="Arial" w:hAnsi="Arial"/>
          <w:b w:val="false"/>
          <w:bCs w:val="false"/>
          <w:color w:val="2C2C2C"/>
          <w:sz w:val="20"/>
          <w:szCs w:val="20"/>
        </w:rPr>
        <w:t xml:space="preserve">Friday's Consumer Price Index report for March delivered an uncomfortable reminder that the Federal Reserve's job remains unfinished. Headline CPI rose 0.9% month-over-month -- the largest monthly gain since June 2022 -- driven almost entirely by a 21.2% surge in gasoline prices as the Iran conflict roiled energy markets. On a year-over-year basis, CPI rose to 3.3%, a sharp jump from February's 2.4% reading. Core CPI, which strips out food and energy, rose a more contained 2.6% annually -- but that figure will offer little comfort to Fed officials who understand that energy price shocks have a nasty habit of embedding themselves in broader inflation expectations over a 3-6 month lag.</w:t>
      </w:r>
    </w:p>
    <w:p>
      <w:pPr>
        <w:spacing w:after="60" w:before="60"/>
      </w:pPr>
      <w:r>
        <w:rPr>
          <w:rFonts w:ascii="Arial" w:cs="Arial" w:eastAsia="Arial" w:hAnsi="Arial"/>
          <w:b w:val="false"/>
          <w:bCs w:val="false"/>
          <w:color w:val="2C2C2C"/>
          <w:sz w:val="20"/>
          <w:szCs w:val="20"/>
        </w:rPr>
        <w:t xml:space="preserve">The timing is particularly fraught. The Fed was already navigating a narrow corridor: growth softening, inflation sticky, and the geopolitical wildcard of Middle East energy disruption. Now, with March CPI re-accelerating sharply, the probability of any rate cut before year-end has dimmed considerably. Prediction markets are now pricing a roughly 40% chance the Fed makes zero cuts in 2026 -- up from under 20% before the Iran conflict began. Wells Fargo formally withdrew its forecast for any 2026 cuts this week, while Bank of America holds firm on two cuts, and Goldman Sachs has pushed its first cut to September at the earliest.</w:t>
      </w:r>
    </w:p>
    <w:p>
      <w:pPr>
        <w:spacing w:after="60" w:before="60"/>
      </w:pPr>
      <w:r>
        <w:rPr>
          <w:rFonts w:ascii="Arial" w:cs="Arial" w:eastAsia="Arial" w:hAnsi="Arial"/>
          <w:b w:val="false"/>
          <w:bCs w:val="false"/>
          <w:color w:val="1B3A6B"/>
          <w:sz w:val="20"/>
          <w:szCs w:val="20"/>
        </w:rPr>
        <w:t xml:space="preserve">What to Watch: Tuesday's PPI release for March will give the next data point. Analysts expect wholesale inflation also jumped sharply. If PPI confirms the energy-driven surge, it further narrows the Fed's path to cuts and could push the long end of the Treasury curve -- already creeping toward 4.5% -- even higher.</w:t>
      </w:r>
    </w:p>
    <w:p>
      <w:pPr>
        <w:spacing w:after="60" w:before="60"/>
      </w:pPr>
      <w:r>
        <w:t xml:space="preserve"/>
      </w:r>
    </w:p>
    <w:p>
      <w:pPr>
        <w:spacing w:after="80" w:before="180"/>
      </w:pPr>
      <w:r>
        <w:rPr>
          <w:rFonts w:ascii="Arial" w:cs="Arial" w:eastAsia="Arial" w:hAnsi="Arial"/>
          <w:b/>
          <w:bCs/>
          <w:color w:val="1B3A6B"/>
          <w:sz w:val="24"/>
          <w:szCs w:val="24"/>
        </w:rPr>
        <w:t xml:space="preserve">Bank Earnings Season: The Economy's Report Card Begins</w:t>
      </w:r>
    </w:p>
    <w:p>
      <w:pPr>
        <w:spacing w:after="60" w:before="60"/>
      </w:pPr>
      <w:r>
        <w:rPr>
          <w:rFonts w:ascii="Arial" w:cs="Arial" w:eastAsia="Arial" w:hAnsi="Arial"/>
          <w:b w:val="false"/>
          <w:bCs w:val="false"/>
          <w:color w:val="2C2C2C"/>
          <w:sz w:val="20"/>
          <w:szCs w:val="20"/>
        </w:rPr>
        <w:t xml:space="preserve">The most consequential week of the Q1 2026 earnings season begins Monday, as Goldman Sachs, JPMorgan Chase, Wells Fargo, and Citigroup all report results against the backdrop of geopolitical tumult, elevated rates, and a consumer whose resilience is being tested by $4/gallon+ gasoline. Goldman Sachs is expected to lead the pack -- analysts project revenues of $16.9 billion, up 12% YoY, driven by a surge in equities trading and ECM activity, even as M&amp;A remains subdued. EPS estimates range from $16.14 to $16.48. The firm's trading desks have been primary beneficiaries of volatility -- the Iran conflict generated massive flows across oil, gold, and rates derivatives.</w:t>
      </w:r>
    </w:p>
    <w:p>
      <w:pPr>
        <w:spacing w:after="60" w:before="60"/>
      </w:pPr>
      <w:r>
        <w:rPr>
          <w:rFonts w:ascii="Arial" w:cs="Arial" w:eastAsia="Arial" w:hAnsi="Arial"/>
          <w:b w:val="false"/>
          <w:bCs w:val="false"/>
          <w:color w:val="2C2C2C"/>
          <w:sz w:val="20"/>
          <w:szCs w:val="20"/>
        </w:rPr>
        <w:t xml:space="preserve">JPMorgan (EPS est: $5.41, Revenue: $48.2B) is the market's bellwether. CEO Jamie Dimon's commentary will be parsed for signals on consumer credit health, commercial real estate stress, and loan growth trajectory. Analysts are watching how JPMorgan accounts for the recently acquired Apple Card portfolio and whether the bank books additional reserves against an economic slowdown. Wells Fargo (EPS: $1.58, Revenue: $21.79B) and Citigroup (EPS: $2.63, Revenue: $23.6B) complete the Monday-Tuesday sweep, with Bank of America (EPS: $1.01) reporting Wednesday. The Finance sector is collectively expected to post 19.6% earnings growth in Q1 -- the strongest of any S&amp;P 500 sector.</w:t>
      </w:r>
    </w:p>
    <w:p>
      <w:pPr>
        <w:spacing w:after="60" w:before="60"/>
      </w:pPr>
      <w:r>
        <w:rPr>
          <w:rFonts w:ascii="Arial" w:cs="Arial" w:eastAsia="Arial" w:hAnsi="Arial"/>
          <w:b w:val="false"/>
          <w:bCs w:val="false"/>
          <w:color w:val="1B3A6B"/>
          <w:sz w:val="20"/>
          <w:szCs w:val="20"/>
        </w:rPr>
        <w:t xml:space="preserve">What to Watch: Reserve builds or releases will signal how each management team views economic trajectory. Any commentary on corporate loan demand will be closely read as a proxy for business confidence amid the Iran-driven uncertainty.</w:t>
      </w:r>
    </w:p>
    <w:p>
      <w:pPr>
        <w:spacing w:after="60" w:before="60"/>
      </w:pPr>
      <w:r>
        <w:t xml:space="preserve"/>
      </w:r>
    </w:p>
    <w:p>
      <w:pPr>
        <w:spacing w:after="80" w:before="180"/>
      </w:pPr>
      <w:r>
        <w:rPr>
          <w:rFonts w:ascii="Arial" w:cs="Arial" w:eastAsia="Arial" w:hAnsi="Arial"/>
          <w:b/>
          <w:bCs/>
          <w:color w:val="1B3A6B"/>
          <w:sz w:val="24"/>
          <w:szCs w:val="24"/>
        </w:rPr>
        <w:t xml:space="preserve">Gold at $4,700: The Safe-Haven Premium Entrenches</w:t>
      </w:r>
    </w:p>
    <w:p>
      <w:pPr>
        <w:spacing w:after="60" w:before="60"/>
      </w:pPr>
      <w:r>
        <w:rPr>
          <w:rFonts w:ascii="Arial" w:cs="Arial" w:eastAsia="Arial" w:hAnsi="Arial"/>
          <w:b w:val="false"/>
          <w:bCs w:val="false"/>
          <w:color w:val="2C2C2C"/>
          <w:sz w:val="20"/>
          <w:szCs w:val="20"/>
        </w:rPr>
        <w:t xml:space="preserve">Gold has surged over 28% year-to-date to a record high near $4,712/oz -- a move that reflects not just geopolitical fear but a broader re-assessment of the monetary order. The rally began in earnest as the Iran conflict escalated in mid-March, pushing energy prices to multi-year highs and re-igniting inflation fears globally. But the depth and persistence of gold's move suggests something more structural: central banks -- particularly those in emerging markets -- have been aggressively adding to reserves as de-dollarization themes accelerate. The People's Bank of China and several Middle Eastern sovereign wealth funds are reported to be among the most active buyers.</w:t>
      </w:r>
    </w:p>
    <w:p>
      <w:pPr>
        <w:spacing w:after="60" w:before="60"/>
      </w:pPr>
      <w:r>
        <w:rPr>
          <w:rFonts w:ascii="Arial" w:cs="Arial" w:eastAsia="Arial" w:hAnsi="Arial"/>
          <w:b w:val="false"/>
          <w:bCs w:val="false"/>
          <w:color w:val="2C2C2C"/>
          <w:sz w:val="20"/>
          <w:szCs w:val="20"/>
        </w:rPr>
        <w:t xml:space="preserve">JPMorgan's commodity research team has set a year-end target of $5,000/oz, while more bullish projections circulating at hedge funds see a path to $6,000 if the Iran conflict broadens or if U.S. fiscal deterioration accelerates the dollar's structural decline. The DXY has slipped below 99, a psychologically important level, and real yields remain suppressed by geopolitical risk premium. Silver (+18% YTD) and copper (+9% YTD) are following gold's lead, with copper -- the quintessential global growth proxy -- holding up better than its risk-sensitive reputation might suggest, buoyed by structural demand from electrification and AI infrastructure investment.</w:t>
      </w:r>
    </w:p>
    <w:p>
      <w:pPr>
        <w:spacing w:after="60" w:before="60"/>
      </w:pPr>
      <w:r>
        <w:rPr>
          <w:rFonts w:ascii="Arial" w:cs="Arial" w:eastAsia="Arial" w:hAnsi="Arial"/>
          <w:b w:val="false"/>
          <w:bCs w:val="false"/>
          <w:color w:val="1B3A6B"/>
          <w:sz w:val="20"/>
          <w:szCs w:val="20"/>
        </w:rPr>
        <w:t xml:space="preserve">What to Watch: Any definitive Hormuz reopening that brings oil sharply lower would test gold's bid at current levels. A drop below $4,500/oz would signal the geopolitical risk premium is unwinding rapidly.</w:t>
      </w:r>
    </w:p>
    <w:p>
      <w:pPr>
        <w:spacing w:after="60" w:before="60"/>
      </w:pPr>
      <w:r>
        <w:t xml:space="preserve"/>
      </w:r>
    </w:p>
    <w:p>
      <w:pPr>
        <w:spacing w:after="80" w:before="180"/>
      </w:pPr>
      <w:r>
        <w:rPr>
          <w:rFonts w:ascii="Arial" w:cs="Arial" w:eastAsia="Arial" w:hAnsi="Arial"/>
          <w:b/>
          <w:bCs/>
          <w:color w:val="1B3A6B"/>
          <w:sz w:val="24"/>
          <w:szCs w:val="24"/>
        </w:rPr>
        <w:t xml:space="preserve">Dollar Weakens as Safe-Haven Calculus Shifts</w:t>
      </w:r>
    </w:p>
    <w:p>
      <w:pPr>
        <w:spacing w:after="60" w:before="60"/>
      </w:pPr>
      <w:r>
        <w:rPr>
          <w:rFonts w:ascii="Arial" w:cs="Arial" w:eastAsia="Arial" w:hAnsi="Arial"/>
          <w:b w:val="false"/>
          <w:bCs w:val="false"/>
          <w:color w:val="2C2C2C"/>
          <w:sz w:val="20"/>
          <w:szCs w:val="20"/>
        </w:rPr>
        <w:t xml:space="preserve">The U.S. dollar (DXY: 98.9) has entered a quiet but meaningful decline that deserves attention. Six months ago, the dollar index sat comfortably above 109; it is now below 99. The proximate cause: geopolitical safe-haven flows have split between gold, yen, and Swiss franc rather than flowing purely to the dollar; inflation data is complicating the Fed's narrative; and the ballooning U.S. fiscal deficit -- running at roughly $2.1 trillion annually -- is weighing on long-term confidence in dollar-denominated assets. The yen (USD/JPY: 148.3) has strengthened as Bank of Japan policy normalization continues, while the euro has benefited from upgraded ECB growth forecasts.</w:t>
      </w:r>
    </w:p>
    <w:p>
      <w:pPr>
        <w:spacing w:after="60" w:before="60"/>
      </w:pPr>
      <w:r>
        <w:rPr>
          <w:rFonts w:ascii="Arial" w:cs="Arial" w:eastAsia="Arial" w:hAnsi="Arial"/>
          <w:b w:val="false"/>
          <w:bCs w:val="false"/>
          <w:color w:val="2C2C2C"/>
          <w:sz w:val="20"/>
          <w:szCs w:val="20"/>
        </w:rPr>
        <w:t xml:space="preserve">For equity markets, a weaker dollar is generally a tailwind for S&amp;P 500 multinationals -- companies like Apple, Microsoft, and Alphabet generate 40-60% of revenues outside the U.S. and see an earnings boost when the dollar softens. But if dollar weakness accelerates into a disorderly decline, it could force the Fed's hand toward more hawkish action regardless of the economic data, undermining the equity support it currently provides.</w:t>
      </w:r>
    </w:p>
    <w:p>
      <w:pPr>
        <w:spacing w:after="60" w:before="60"/>
      </w:pPr>
      <w:r>
        <w:t xml:space="preserve"/>
      </w:r>
    </w:p>
    <w:p>
      <w:pPr>
        <w:spacing w:after="80" w:before="180"/>
      </w:pPr>
      <w:r>
        <w:rPr>
          <w:rFonts w:ascii="Arial" w:cs="Arial" w:eastAsia="Arial" w:hAnsi="Arial"/>
          <w:b/>
          <w:bCs/>
          <w:color w:val="1B3A6B"/>
          <w:sz w:val="24"/>
          <w:szCs w:val="24"/>
        </w:rPr>
        <w:t xml:space="preserve">S&amp;P 500 Sector Rotation: Energy's Dominance vs. Tech's Potential</w:t>
      </w:r>
    </w:p>
    <w:p>
      <w:pPr>
        <w:spacing w:after="60" w:before="60"/>
      </w:pPr>
      <w:r>
        <w:rPr>
          <w:rFonts w:ascii="Arial" w:cs="Arial" w:eastAsia="Arial" w:hAnsi="Arial"/>
          <w:b w:val="false"/>
          <w:bCs w:val="false"/>
          <w:color w:val="2C2C2C"/>
          <w:sz w:val="20"/>
          <w:szCs w:val="20"/>
        </w:rPr>
        <w:t xml:space="preserve">The year's most striking sector divergence continues: Energy stocks have surged over 30% year-to-date on oil price tailwinds from the Iran conflict, leading every other S&amp;P 500 sector by a dramatic margin. Materials (+9.3%) and Utilities (+7.5%) round out the top performers. Meanwhile, Technology (-9.3% in Q1) and Consumer Discretionary have been the major laggards, with the former weighed down by export control fears, valuation compression from rising rates, and -- ironically -- the same geopolitical environment that is boosting the commodity-heavy end of the market. Friday's session was instructive: while the Dow fell 0.56% and Verizon, Salesforce, and Nike all declined 3%+, Nvidia rose 2.58% and Amazon gained 2.05% -- suggesting selective tech recovery may be underway.</w:t>
      </w:r>
    </w:p>
    <w:p>
      <w:pPr>
        <w:pBdr>
          <w:bottom w:val="single" w:color="DDDDDD" w:sz="4" w:space="1"/>
        </w:pBdr>
        <w:spacing w:after="160" w:before="160"/>
      </w:pPr>
      <w:r>
        <w:t xml:space="preserve"/>
      </w:r>
    </w:p>
    <w:p>
      <w:pPr>
        <w:pBdr>
          <w:bottom w:val="single" w:color="C8A84B" w:sz="12" w:space="4"/>
        </w:pBdr>
        <w:spacing w:after="120" w:before="240"/>
      </w:pPr>
      <w:r>
        <w:rPr>
          <w:rFonts w:ascii="Arial" w:cs="Arial" w:eastAsia="Arial" w:hAnsi="Arial"/>
          <w:b/>
          <w:bCs/>
          <w:color w:val="1B3A6B"/>
          <w:sz w:val="28"/>
          <w:szCs w:val="28"/>
        </w:rPr>
        <w:t xml:space="preserve">4. MACRO &amp; FED WATCH</w:t>
      </w:r>
    </w:p>
    <w:p>
      <w:pPr>
        <w:spacing w:after="60" w:before="60"/>
      </w:pPr>
      <w:r>
        <w:rPr>
          <w:rFonts w:ascii="Arial" w:cs="Arial" w:eastAsia="Arial" w:hAnsi="Arial"/>
          <w:b w:val="false"/>
          <w:bCs w:val="false"/>
          <w:color w:val="2C2C2C"/>
          <w:sz w:val="20"/>
          <w:szCs w:val="20"/>
        </w:rPr>
        <w:t xml:space="preserve">The Federal Reserve is caught between two deeply uncomfortable realities as it approaches its April 28-29 FOMC meeting: inflation is re-accelerating due to an energy shock the Fed cannot control, and growth is showing signs of softening due to that same shock. It is a scenario policymakers have long dreaded -- a potential return of stagflationary dynamics not seen since the 1970s, though most economists are careful not to overstate the parallel.</w:t>
      </w:r>
    </w:p>
    <w:p>
      <w:pPr>
        <w:spacing w:after="60" w:before="60"/>
      </w:pPr>
      <w:r>
        <w:rPr>
          <w:rFonts w:ascii="Arial" w:cs="Arial" w:eastAsia="Arial" w:hAnsi="Arial"/>
          <w:b w:val="false"/>
          <w:bCs w:val="false"/>
          <w:color w:val="2C2C2C"/>
          <w:sz w:val="20"/>
          <w:szCs w:val="20"/>
        </w:rPr>
        <w:t xml:space="preserve">Chair Jerome Powell's public posture has been deliberately non-committal. In recent remarks, he has emphasized the Fed's ability to be 'patient' and 'data-dependent' -- language that functions as a holding pattern while policymakers wait to see whether the energy spike is transitory (ceasefire holds, oil drops back toward $75-80) or persistent (conflict re-escalates, prices re-test $120+). The Fed's own March projections called for two rate cuts in 2026 -- but those projections were made before the Iran conflict exploded oil prices by 60%+ and before March CPI printed at 3.3%.</w:t>
      </w:r>
    </w:p>
    <w:p>
      <w:pPr>
        <w:spacing w:after="60" w:before="60"/>
      </w:pPr>
      <w:r>
        <w:rPr>
          <w:rFonts w:ascii="Arial" w:cs="Arial" w:eastAsia="Arial" w:hAnsi="Arial"/>
          <w:b w:val="false"/>
          <w:bCs w:val="false"/>
          <w:color w:val="2C2C2C"/>
          <w:sz w:val="20"/>
          <w:szCs w:val="20"/>
        </w:rPr>
        <w:t xml:space="preserve">The yield curve has formally un-inverted, with the 2Y/10Y spread now at +50 basis points (2Y: 3.81%, 10Y: 4.31%). This is typically a positive signal for economic normalization -- but in the current context, the un-inversion is largely driven by the long end rising on inflation fears rather than the short end falling on rate cut expectations. The 30-year Treasury at 4.58% reflects a market pricing in a scenario where inflation remains sticky and the Fed cannot cut as aggressively as hoped. Fed funds futures are now pricing approximately 1.2 rate cuts for all of 2026, down from 2.5 cuts priced at the start of the year.</w:t>
      </w:r>
    </w:p>
    <w:p>
      <w:pPr>
        <w:spacing w:after="60" w:before="60"/>
      </w:pPr>
      <w:r>
        <w:rPr>
          <w:rFonts w:ascii="Arial" w:cs="Arial" w:eastAsia="Arial" w:hAnsi="Arial"/>
          <w:b w:val="false"/>
          <w:bCs w:val="false"/>
          <w:color w:val="2C2C2C"/>
          <w:sz w:val="20"/>
          <w:szCs w:val="20"/>
        </w:rPr>
        <w:t xml:space="preserve">Key Fed Events This Week: No major scheduled Fed speakers Sunday. Watch throughout the week for any comments that signal whether Powell is leaning toward skipping the first cut entirely. The April 28-29 FOMC decision will be the next major policy catalyst. Rate futures currently price a near-100% probability of no change at that meeting.</w:t>
      </w:r>
    </w:p>
    <w:p>
      <w:pPr>
        <w:pBdr>
          <w:bottom w:val="single" w:color="DDDDDD" w:sz="4" w:space="1"/>
        </w:pBdr>
        <w:spacing w:after="160" w:before="160"/>
      </w:pPr>
      <w:r>
        <w:t xml:space="preserve"/>
      </w:r>
    </w:p>
    <w:p>
      <w:pPr>
        <w:pBdr>
          <w:bottom w:val="single" w:color="C8A84B" w:sz="12" w:space="4"/>
        </w:pBdr>
        <w:spacing w:after="120" w:before="240"/>
      </w:pPr>
      <w:r>
        <w:rPr>
          <w:rFonts w:ascii="Arial" w:cs="Arial" w:eastAsia="Arial" w:hAnsi="Arial"/>
          <w:b/>
          <w:bCs/>
          <w:color w:val="1B3A6B"/>
          <w:sz w:val="28"/>
          <w:szCs w:val="28"/>
        </w:rPr>
        <w:t xml:space="preserve">5. ECONOMIC CALENDAR -- WEEK OF APRIL 13-17,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1200"/>
        <w:gridCol w:w="1880"/>
        <w:gridCol w:w="1100"/>
        <w:gridCol w:w="1100"/>
        <w:gridCol w:w="3200"/>
      </w:tblGrid>
      <w:tr>
        <w:tc>
          <w:tcPr>
            <w:tcW w:type="dxa" w:w="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DATE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TIME ET</w:t>
            </w:r>
          </w:p>
        </w:tc>
        <w:tc>
          <w:tcPr>
            <w:tcW w:type="dxa" w:w="1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INDICATOR</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PRIOR</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CONSENSUS</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WHY IT MATTERS</w:t>
            </w:r>
          </w:p>
        </w:tc>
      </w:tr>
      <w:tr>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Mon 4/14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8:30 AM</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PPI Final Demand (March)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+0.7%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~+0.9% 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First wholesale inflation read post-Iran shock; leads PCE forecast</w:t>
            </w:r>
          </w:p>
        </w:tc>
      </w:tr>
      <w:tr>
        <w:tc>
          <w:tcPr>
            <w:tcW w:type="dxa" w:w="8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Mon 4/14</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Pre-Mkt</w:t>
            </w:r>
          </w:p>
        </w:tc>
        <w:tc>
          <w:tcPr>
            <w:tcW w:type="dxa" w:w="18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GS, JPM, WFC, C Earnings</w:t>
            </w:r>
          </w:p>
        </w:tc>
        <w:tc>
          <w:tcPr>
            <w:tcW w:type="dxa" w:w="11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Q4 2025</w:t>
            </w:r>
          </w:p>
        </w:tc>
        <w:tc>
          <w:tcPr>
            <w:tcW w:type="dxa" w:w="11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See Sec. 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Largest single earnings event of Q1; sets risk tone for week</w:t>
            </w:r>
          </w:p>
        </w:tc>
      </w:tr>
      <w:tr>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Tue 4/15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8:30 AM</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Empire State Mfg. (April)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-14.1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-10.0 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First April regional survey; proxy for national ISM manufacturing</w:t>
            </w:r>
          </w:p>
        </w:tc>
      </w:tr>
      <w:tr>
        <w:tc>
          <w:tcPr>
            <w:tcW w:type="dxa" w:w="8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Tue 4/15</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Pre-Mkt</w:t>
            </w:r>
          </w:p>
        </w:tc>
        <w:tc>
          <w:tcPr>
            <w:tcW w:type="dxa" w:w="18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Bank of America Earnings</w:t>
            </w:r>
          </w:p>
        </w:tc>
        <w:tc>
          <w:tcPr>
            <w:tcW w:type="dxa" w:w="11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Q4 2025</w:t>
            </w:r>
          </w:p>
        </w:tc>
        <w:tc>
          <w:tcPr>
            <w:tcW w:type="dxa" w:w="11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See Sec. 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Consumer banking bellwether; duration risk and deposit trends key</w:t>
            </w:r>
          </w:p>
        </w:tc>
      </w:tr>
      <w:tr>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Wed 4/16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8:30 AM</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Housing Starts (March)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1.42M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1.38M 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Housing affordability stressed by high mortgage rates; builder confidence declining</w:t>
            </w:r>
          </w:p>
        </w:tc>
      </w:tr>
      <w:tr>
        <w:tc>
          <w:tcPr>
            <w:tcW w:type="dxa" w:w="8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Wed 4/16</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4:00 PM</w:t>
            </w:r>
          </w:p>
        </w:tc>
        <w:tc>
          <w:tcPr>
            <w:tcW w:type="dxa" w:w="18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Netflix Earnings (NFLX)</w:t>
            </w:r>
          </w:p>
        </w:tc>
        <w:tc>
          <w:tcPr>
            <w:tcW w:type="dxa" w:w="11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Q4 2025</w:t>
            </w:r>
          </w:p>
        </w:tc>
        <w:tc>
          <w:tcPr>
            <w:tcW w:type="dxa" w:w="11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See Sec. 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Ad-supported tier and password-sharing impact in focus; 8% implied move</w:t>
            </w:r>
          </w:p>
        </w:tc>
      </w:tr>
      <w:tr>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Thu 4/17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8:30 AM</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Weekly Jobless Claims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221K</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218K 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Leading labor indicator; any uptick above 240K would shift Fed calculus</w:t>
            </w:r>
          </w:p>
        </w:tc>
      </w:tr>
      <w:tr>
        <w:tc>
          <w:tcPr>
            <w:tcW w:type="dxa" w:w="8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Thu 4/17</w:t>
            </w:r>
          </w:p>
        </w:tc>
        <w:tc>
          <w:tcPr>
            <w:tcW w:type="dxa" w:w="12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9:15 AM</w:t>
            </w:r>
          </w:p>
        </w:tc>
        <w:tc>
          <w:tcPr>
            <w:tcW w:type="dxa" w:w="188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Industrial Production (March)</w:t>
            </w:r>
          </w:p>
        </w:tc>
        <w:tc>
          <w:tcPr>
            <w:tcW w:type="dxa" w:w="11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+0.1%</w:t>
            </w:r>
          </w:p>
        </w:tc>
        <w:tc>
          <w:tcPr>
            <w:tcW w:type="dxa" w:w="11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-0.2% 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Factory output; energy disruption may have depressed March production sharply</w:t>
            </w:r>
          </w:p>
        </w:tc>
      </w:tr>
      <w:tr>
        <w:tc>
          <w:tcPr>
            <w:tcW w:type="dxa" w:w="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Fri 4/18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C2C2C"/>
                <w:sz w:val="18"/>
                <w:szCs w:val="18"/>
              </w:rPr>
              <w:t xml:space="preserve">Good Friday (Mkt Closed)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US equity and bond markets closed; creates gap-open risk for Monday 4/21</w:t>
            </w:r>
          </w:p>
        </w:tc>
      </w:tr>
    </w:tbl>
    <w:p>
      <w:pPr>
        <w:pBdr>
          <w:bottom w:val="single" w:color="DDDDDD" w:sz="4" w:space="1"/>
        </w:pBdr>
        <w:spacing w:after="160" w:before="160"/>
      </w:pPr>
      <w:r>
        <w:t xml:space="preserve"/>
      </w:r>
    </w:p>
    <w:p>
      <w:pPr>
        <w:pBdr>
          <w:bottom w:val="single" w:color="C8A84B" w:sz="12" w:space="4"/>
        </w:pBdr>
        <w:spacing w:after="120" w:before="240"/>
      </w:pPr>
      <w:r>
        <w:rPr>
          <w:rFonts w:ascii="Arial" w:cs="Arial" w:eastAsia="Arial" w:hAnsi="Arial"/>
          <w:b/>
          <w:bCs/>
          <w:color w:val="1B3A6B"/>
          <w:sz w:val="28"/>
          <w:szCs w:val="28"/>
        </w:rPr>
        <w:t xml:space="preserve">6. EARNINGS WATCH</w:t>
      </w:r>
    </w:p>
    <w:p>
      <w:pPr>
        <w:spacing w:after="60" w:before="60"/>
      </w:pPr>
      <w:r>
        <w:rPr>
          <w:rFonts w:ascii="Arial" w:cs="Arial" w:eastAsia="Arial" w:hAnsi="Arial"/>
          <w:b w:val="false"/>
          <w:bCs w:val="false"/>
          <w:color w:val="2C2C2C"/>
          <w:sz w:val="20"/>
          <w:szCs w:val="20"/>
        </w:rPr>
        <w:t xml:space="preserve">Q1 2026 earnings season launches this week with the major U.S. banks -- the traditional first act of any earnings season and historically its most market-sensitive. Analysts expect S&amp;P 500 aggregate earnings growth of 8-10% YoY for Q1, though the range of outcomes is unusually wide given geopolitical disruption. The Finance sector leads with +19.6% expected growth. The week's lineup represents a comprehensive economic stress test across consumer banking, capital markets, investment banking, and streaming media.</w:t>
      </w:r>
    </w:p>
    <w:p>
      <w:pPr>
        <w:spacing w:after="80" w:before="180"/>
      </w:pPr>
      <w:r>
        <w:rPr>
          <w:rFonts w:ascii="Arial" w:cs="Arial" w:eastAsia="Arial" w:hAnsi="Arial"/>
          <w:b/>
          <w:bCs/>
          <w:color w:val="1B3A6B"/>
          <w:sz w:val="24"/>
          <w:szCs w:val="24"/>
        </w:rPr>
        <w:t xml:space="preserve">Monday, April 14 -- Pre-Market</w:t>
      </w:r>
    </w:p>
    <w:p>
      <w:pPr>
        <w:spacing w:after="60" w:before="60"/>
      </w:pPr>
      <w:r>
        <w:rPr>
          <w:rFonts w:ascii="Arial" w:cs="Arial" w:eastAsia="Arial" w:hAnsi="Arial"/>
          <w:b w:val="false"/>
          <w:bCs w:val="false"/>
          <w:color w:val="2C2C2C"/>
          <w:sz w:val="20"/>
          <w:szCs w:val="20"/>
        </w:rPr>
        <w:t xml:space="preserve">Goldman Sachs (GS) | EPS Est: $16.31 | Revenue Est: $16.9B | Implied Move: +/-4.2%</w:t>
      </w:r>
    </w:p>
    <w:p>
      <w:pPr>
        <w:spacing w:after="60" w:before="60"/>
      </w:pPr>
      <w:r>
        <w:rPr>
          <w:rFonts w:ascii="Arial" w:cs="Arial" w:eastAsia="Arial" w:hAnsi="Arial"/>
          <w:b w:val="false"/>
          <w:bCs w:val="false"/>
          <w:color w:val="2C2C2C"/>
          <w:sz w:val="20"/>
          <w:szCs w:val="20"/>
        </w:rPr>
        <w:t xml:space="preserve">Goldman enters earnings week as the season's early standard-bearer. The firm's trading desks have been in overdrive -- the Iran conflict created historic volatility across oil futures, credit markets, and interest rate derivatives, all of which are Goldman's native habitat. The equities trading desk is expected to post one of its strongest quarters in recent memory, while investment banking fees remain constrained by M&amp;A activity largely frozen amid geopolitical uncertainty. The key question: whether Goldman's pipeline of deals -- reportedly exceeding $400B in pending transactions -- begins to clear in Q2, or whether instability extends the freeze into H2.</w:t>
      </w:r>
    </w:p>
    <w:p>
      <w:pPr>
        <w:spacing w:after="60" w:before="60"/>
      </w:pPr>
      <w:r>
        <w:t xml:space="preserve"/>
      </w:r>
    </w:p>
    <w:p>
      <w:pPr>
        <w:spacing w:after="60" w:before="60"/>
      </w:pPr>
      <w:r>
        <w:rPr>
          <w:rFonts w:ascii="Arial" w:cs="Arial" w:eastAsia="Arial" w:hAnsi="Arial"/>
          <w:b w:val="false"/>
          <w:bCs w:val="false"/>
          <w:color w:val="2C2C2C"/>
          <w:sz w:val="20"/>
          <w:szCs w:val="20"/>
        </w:rPr>
        <w:t xml:space="preserve">JPMorgan Chase (JPM) | EPS Est: $5.41 | Revenue Est: $48.2B | Implied Move: +/-3.1%</w:t>
      </w:r>
    </w:p>
    <w:p>
      <w:pPr>
        <w:spacing w:after="60" w:before="60"/>
      </w:pPr>
      <w:r>
        <w:rPr>
          <w:rFonts w:ascii="Arial" w:cs="Arial" w:eastAsia="Arial" w:hAnsi="Arial"/>
          <w:b w:val="false"/>
          <w:bCs w:val="false"/>
          <w:color w:val="2C2C2C"/>
          <w:sz w:val="20"/>
          <w:szCs w:val="20"/>
        </w:rPr>
        <w:t xml:space="preserve">The most watched print of the week. JPMorgan's Q1 will be dissected as a proxy for the entire U.S. economy. Key focal points: (1) net interest income trajectory as the yield curve steepens; (2) credit quality in the newly acquired Apple Card portfolio, adding $2.2B in reserve-building risk; (3) commercial real estate exposure in a market still digesting the office vacancy crisis; and (4) Jamie Dimon's economic outlook commentary, which carries outsized market weight. Any miss would send shockwaves through the financial sector and the broader market.</w:t>
      </w:r>
    </w:p>
    <w:p>
      <w:pPr>
        <w:spacing w:after="60" w:before="60"/>
      </w:pPr>
      <w:r>
        <w:t xml:space="preserve"/>
      </w:r>
    </w:p>
    <w:p>
      <w:pPr>
        <w:spacing w:after="60" w:before="60"/>
      </w:pPr>
      <w:r>
        <w:rPr>
          <w:rFonts w:ascii="Arial" w:cs="Arial" w:eastAsia="Arial" w:hAnsi="Arial"/>
          <w:b w:val="false"/>
          <w:bCs w:val="false"/>
          <w:color w:val="2C2C2C"/>
          <w:sz w:val="20"/>
          <w:szCs w:val="20"/>
        </w:rPr>
        <w:t xml:space="preserve">Wells Fargo (WFC) | EPS Est: $1.58 | Revenue Est: $21.79B | Implied Move: +/-3.5%</w:t>
      </w:r>
    </w:p>
    <w:p>
      <w:pPr>
        <w:spacing w:after="60" w:before="60"/>
      </w:pPr>
      <w:r>
        <w:rPr>
          <w:rFonts w:ascii="Arial" w:cs="Arial" w:eastAsia="Arial" w:hAnsi="Arial"/>
          <w:b w:val="false"/>
          <w:bCs w:val="false"/>
          <w:color w:val="2C2C2C"/>
          <w:sz w:val="20"/>
          <w:szCs w:val="20"/>
        </w:rPr>
        <w:t xml:space="preserve">Wells continues its multi-year rehabilitation under CEO Charlie Scharf. Key metric this quarter: whether net interest income is stabilizing as deposit repricing slows. Wells is more consumer-exposed than JPMorgan, making its results a cleaner read on Main Street financial health. Analysts will also watch the firm's noninterest expense trajectory and the Fed's ongoing asset cap -- still in place despite progress -- which limits balance sheet growth.</w:t>
      </w:r>
    </w:p>
    <w:p>
      <w:pPr>
        <w:spacing w:after="60" w:before="60"/>
      </w:pPr>
      <w:r>
        <w:t xml:space="preserve"/>
      </w:r>
    </w:p>
    <w:p>
      <w:pPr>
        <w:spacing w:after="60" w:before="60"/>
      </w:pPr>
      <w:r>
        <w:rPr>
          <w:rFonts w:ascii="Arial" w:cs="Arial" w:eastAsia="Arial" w:hAnsi="Arial"/>
          <w:b w:val="false"/>
          <w:bCs w:val="false"/>
          <w:color w:val="2C2C2C"/>
          <w:sz w:val="20"/>
          <w:szCs w:val="20"/>
        </w:rPr>
        <w:t xml:space="preserve">Citigroup (C) | EPS Est: $2.63 | Revenue Est: $23.6B | Implied Move: +/-3.8%</w:t>
      </w:r>
    </w:p>
    <w:p>
      <w:pPr>
        <w:spacing w:after="60" w:before="60"/>
      </w:pPr>
      <w:r>
        <w:rPr>
          <w:rFonts w:ascii="Arial" w:cs="Arial" w:eastAsia="Arial" w:hAnsi="Arial"/>
          <w:b w:val="false"/>
          <w:bCs w:val="false"/>
          <w:color w:val="2C2C2C"/>
          <w:sz w:val="20"/>
          <w:szCs w:val="20"/>
        </w:rPr>
        <w:t xml:space="preserve">Citigroup is emerging from a years-long transformation under CEO Jane Fraser. The Q1 results will be tested against a backdrop of strong international operations (Citi has unique exposure to EM markets) and the continued simplification of the firm's business model. The 34% YoY EPS growth estimate makes it one of the most aggressive beats-or-miss scenarios of bank earnings week.</w:t>
      </w:r>
    </w:p>
    <w:p>
      <w:pPr>
        <w:spacing w:after="80" w:before="180"/>
      </w:pPr>
      <w:r>
        <w:rPr>
          <w:rFonts w:ascii="Arial" w:cs="Arial" w:eastAsia="Arial" w:hAnsi="Arial"/>
          <w:b/>
          <w:bCs/>
          <w:color w:val="1B3A6B"/>
          <w:sz w:val="24"/>
          <w:szCs w:val="24"/>
        </w:rPr>
        <w:t xml:space="preserve">Tuesday, April 15 -- Pre-Market</w:t>
      </w:r>
    </w:p>
    <w:p>
      <w:pPr>
        <w:spacing w:after="60" w:before="60"/>
      </w:pPr>
      <w:r>
        <w:rPr>
          <w:rFonts w:ascii="Arial" w:cs="Arial" w:eastAsia="Arial" w:hAnsi="Arial"/>
          <w:b w:val="false"/>
          <w:bCs w:val="false"/>
          <w:color w:val="2C2C2C"/>
          <w:sz w:val="20"/>
          <w:szCs w:val="20"/>
        </w:rPr>
        <w:t xml:space="preserve">Bank of America (BAC) | EPS Est: $1.01 | Revenue Est: $27.4B | Implied Move: +/-3.3%</w:t>
      </w:r>
    </w:p>
    <w:p>
      <w:pPr>
        <w:spacing w:after="60" w:before="60"/>
      </w:pPr>
      <w:r>
        <w:rPr>
          <w:rFonts w:ascii="Arial" w:cs="Arial" w:eastAsia="Arial" w:hAnsi="Arial"/>
          <w:b w:val="false"/>
          <w:bCs w:val="false"/>
          <w:color w:val="2C2C2C"/>
          <w:sz w:val="20"/>
          <w:szCs w:val="20"/>
        </w:rPr>
        <w:t xml:space="preserve">Bank of America's Q1 will be most closely watched for its enormous duration risk -- the bank holds a massive portfolio of long-duration bonds accumulated during the low-rate era, which has generated unrealized losses in a rising rate environment. As rates at the long end have ticked back up on inflation concerns, investors will scrutinize whether those paper losses have widened and what it means for BofA's capital position. The bank's consumer division, with 67 million+ clients, will offer a real-time read on U.S. household financial health -- spending patterns, delinquency trends, and savings behavior in an era of $4+ gas prices.</w:t>
      </w:r>
    </w:p>
    <w:p>
      <w:pPr>
        <w:spacing w:after="80" w:before="180"/>
      </w:pPr>
      <w:r>
        <w:rPr>
          <w:rFonts w:ascii="Arial" w:cs="Arial" w:eastAsia="Arial" w:hAnsi="Arial"/>
          <w:b/>
          <w:bCs/>
          <w:color w:val="1B3A6B"/>
          <w:sz w:val="24"/>
          <w:szCs w:val="24"/>
        </w:rPr>
        <w:t xml:space="preserve">Thursday, April 16 -- After Close</w:t>
      </w:r>
    </w:p>
    <w:p>
      <w:pPr>
        <w:spacing w:after="60" w:before="60"/>
      </w:pPr>
      <w:r>
        <w:rPr>
          <w:rFonts w:ascii="Arial" w:cs="Arial" w:eastAsia="Arial" w:hAnsi="Arial"/>
          <w:b w:val="false"/>
          <w:bCs w:val="false"/>
          <w:color w:val="2C2C2C"/>
          <w:sz w:val="20"/>
          <w:szCs w:val="20"/>
        </w:rPr>
        <w:t xml:space="preserve">Netflix (NFLX) | EPS Est: $0.76 | Revenue Est: $12.16B (+15.3% YoY) | Implied Move: +/-7.8%</w:t>
      </w:r>
    </w:p>
    <w:p>
      <w:pPr>
        <w:spacing w:after="60" w:before="60"/>
      </w:pPr>
      <w:r>
        <w:rPr>
          <w:rFonts w:ascii="Arial" w:cs="Arial" w:eastAsia="Arial" w:hAnsi="Arial"/>
          <w:b w:val="false"/>
          <w:bCs w:val="false"/>
          <w:color w:val="2C2C2C"/>
          <w:sz w:val="20"/>
          <w:szCs w:val="20"/>
        </w:rPr>
        <w:t xml:space="preserve">Netflix's first-quarter report is the week's tech-sector centerpiece. The company has guided for strong full-year revenue growth, and analysts are focused on three pivots: (1) advertising-supported tier monetization -- ad revenue more than doubled in 2025 and management has guided for another significant increase in 2026; (2) subscriber growth confirmation above the 325M paid membership mark; and (3) the impact of recently implemented price increases on churn rates in price-sensitive markets. Goldman Sachs upgraded the stock to Buy ahead of earnings with a $120 price target, implying roughly 20% upside. Options imply a near-8% move; bullish flow is modestly dominant heading into the print.</w:t>
      </w:r>
    </w:p>
    <w:p>
      <w:pPr>
        <w:pBdr>
          <w:bottom w:val="single" w:color="DDDDDD" w:sz="4" w:space="1"/>
        </w:pBdr>
        <w:spacing w:after="160" w:before="160"/>
      </w:pPr>
      <w:r>
        <w:t xml:space="preserve"/>
      </w:r>
    </w:p>
    <w:p>
      <w:pPr>
        <w:pBdr>
          <w:bottom w:val="single" w:color="C8A84B" w:sz="12" w:space="4"/>
        </w:pBdr>
        <w:spacing w:after="120" w:before="240"/>
      </w:pPr>
      <w:r>
        <w:rPr>
          <w:rFonts w:ascii="Arial" w:cs="Arial" w:eastAsia="Arial" w:hAnsi="Arial"/>
          <w:b/>
          <w:bCs/>
          <w:color w:val="1B3A6B"/>
          <w:sz w:val="28"/>
          <w:szCs w:val="28"/>
        </w:rPr>
        <w:t xml:space="preserve">7. SECTOR SPOTLIGHT</w:t>
      </w:r>
    </w:p>
    <w:p>
      <w:pPr>
        <w:spacing w:after="80" w:before="180"/>
      </w:pPr>
      <w:r>
        <w:rPr>
          <w:rFonts w:ascii="Arial" w:cs="Arial" w:eastAsia="Arial" w:hAnsi="Arial"/>
          <w:b/>
          <w:bCs/>
          <w:color w:val="1B3A6B"/>
          <w:sz w:val="24"/>
          <w:szCs w:val="24"/>
        </w:rPr>
        <w:t xml:space="preserve">Energy: The Year's Undisputed Leader -- But Cracks Are Forming</w:t>
      </w:r>
    </w:p>
    <w:p>
      <w:pPr>
        <w:spacing w:after="60" w:before="60"/>
      </w:pPr>
      <w:r>
        <w:rPr>
          <w:rFonts w:ascii="Arial" w:cs="Arial" w:eastAsia="Arial" w:hAnsi="Arial"/>
          <w:b w:val="false"/>
          <w:bCs w:val="false"/>
          <w:color w:val="2C2C2C"/>
          <w:sz w:val="20"/>
          <w:szCs w:val="20"/>
        </w:rPr>
        <w:t xml:space="preserve">The Energy sector has been 2026's defining market story -- up over 30% year-to-date, lapping every other sector by a wide margin. Oil majors like ExxonMobil, Chevron, and ConocoPhillips have posted extraordinary returns as WTI crude surged from roughly $70/barrel pre-conflict to a peak above $120 before the ceasefire brought partial relief. But the easy money may be running out. The ceasefire, however fragile, already erased 16% of the oil price gain in a single session. If a lasting diplomatic resolution emerges, the sector's risk premium could unwind violently. Traders are beginning to position for this reversion: energy sector implied volatility has spiked, and short interest in crude oil ETFs has risen sharply. Morgan Stanley's downgrade of ExxonMobil this week to Equal Weight signals the street is beginning to rotate out. Watch for a potential energy-to-financials sector rotation if bank earnings disappoint the bears.</w:t>
      </w:r>
    </w:p>
    <w:p>
      <w:pPr>
        <w:spacing w:after="80" w:before="180"/>
      </w:pPr>
      <w:r>
        <w:rPr>
          <w:rFonts w:ascii="Arial" w:cs="Arial" w:eastAsia="Arial" w:hAnsi="Arial"/>
          <w:b/>
          <w:bCs/>
          <w:color w:val="1B3A6B"/>
          <w:sz w:val="24"/>
          <w:szCs w:val="24"/>
        </w:rPr>
        <w:t xml:space="preserve">Financials: The Pivot Point Sector</w:t>
      </w:r>
    </w:p>
    <w:p>
      <w:pPr>
        <w:spacing w:after="60" w:before="60"/>
      </w:pPr>
      <w:r>
        <w:rPr>
          <w:rFonts w:ascii="Arial" w:cs="Arial" w:eastAsia="Arial" w:hAnsi="Arial"/>
          <w:b w:val="false"/>
          <w:bCs w:val="false"/>
          <w:color w:val="2C2C2C"/>
          <w:sz w:val="20"/>
          <w:szCs w:val="20"/>
        </w:rPr>
        <w:t xml:space="preserve">Financials lagged in Q1 -- down alongside tech and consumer discretionary as rate uncertainty, credit concerns, and geopolitical risk weighed on sentiment. But the sector stands at an inflection point. If this week's bank earnings confirm that net interest income is stabilizing, credit quality remains manageable, and capital markets activity is recovering, Financials could rotate from laggard to leader in Q2. The sector currently trades at approximately 12.5x forward earnings -- a meaningful discount to the S&amp;P 500's 19x multiple -- suggesting genuine value if the macro backdrop stabilizes. The answer to whether that discount is justified or an opportunity will become clearer by Tuesday evening.</w:t>
      </w:r>
    </w:p>
    <w:p>
      <w:pPr>
        <w:pBdr>
          <w:bottom w:val="single" w:color="DDDDDD" w:sz="4" w:space="1"/>
        </w:pBdr>
        <w:spacing w:after="160" w:before="160"/>
      </w:pPr>
      <w:r>
        <w:t xml:space="preserve"/>
      </w:r>
    </w:p>
    <w:p>
      <w:pPr>
        <w:pBdr>
          <w:bottom w:val="single" w:color="C8A84B" w:sz="12" w:space="4"/>
        </w:pBdr>
        <w:spacing w:after="120" w:before="240"/>
      </w:pPr>
      <w:r>
        <w:rPr>
          <w:rFonts w:ascii="Arial" w:cs="Arial" w:eastAsia="Arial" w:hAnsi="Arial"/>
          <w:b/>
          <w:bCs/>
          <w:color w:val="1B3A6B"/>
          <w:sz w:val="28"/>
          <w:szCs w:val="28"/>
        </w:rPr>
        <w:t xml:space="preserve">8. ANALYST CALLS &amp; UPGRADES/DOWNGRADES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800"/>
        <w:gridCol w:w="900"/>
        <w:gridCol w:w="4060"/>
      </w:tblGrid>
      <w:tr>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FIRM</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TICKER</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ACTION</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PT</w:t>
            </w:r>
          </w:p>
        </w:tc>
        <w:tc>
          <w:tcPr>
            <w:tcW w:type="dxa" w:w="4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RATIONALE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Goldman Sachs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NFLX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7F35"/>
                <w:sz w:val="18"/>
                <w:szCs w:val="18"/>
              </w:rPr>
              <w:t xml:space="preserve">Upgrade -&gt; Buy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$120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Ad-tier scaling exceeds expectations; subscriber growth underappreciated</w:t>
            </w:r>
          </w:p>
        </w:tc>
      </w:tr>
      <w:tr>
        <w:tc>
          <w:tcPr>
            <w:tcW w:type="dxa" w:w="15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Morgan Stanley</w:t>
            </w:r>
          </w:p>
        </w:tc>
        <w:tc>
          <w:tcPr>
            <w:tcW w:type="dxa" w:w="11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XOM</w:t>
            </w:r>
          </w:p>
        </w:tc>
        <w:tc>
          <w:tcPr>
            <w:tcW w:type="dxa" w:w="1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Downgrade -&gt; EW</w:t>
            </w:r>
          </w:p>
        </w:tc>
        <w:tc>
          <w:tcPr>
            <w:tcW w:type="dxa" w:w="9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$128</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Ceasefire risk to energy premium; sector rotation ahead as oil pulls back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JPMorgan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AMD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Downgrade -&gt; Neutral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$108</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AI chip supply glut emerging; China export restrictions tightening further</w:t>
            </w:r>
          </w:p>
        </w:tc>
      </w:tr>
      <w:tr>
        <w:tc>
          <w:tcPr>
            <w:tcW w:type="dxa" w:w="15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Bank of America</w:t>
            </w:r>
          </w:p>
        </w:tc>
        <w:tc>
          <w:tcPr>
            <w:tcW w:type="dxa" w:w="11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NKE</w:t>
            </w:r>
          </w:p>
        </w:tc>
        <w:tc>
          <w:tcPr>
            <w:tcW w:type="dxa" w:w="1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Downgrade -&gt; Underperform</w:t>
            </w:r>
          </w:p>
        </w:tc>
        <w:tc>
          <w:tcPr>
            <w:tcW w:type="dxa" w:w="9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$62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Weak forward guidance, China slowdown, consumer spending pressure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Barclays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MRK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E7F35"/>
                <w:sz w:val="18"/>
                <w:szCs w:val="18"/>
              </w:rPr>
              <w:t xml:space="preserve">Initiate -&gt; Overweight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$145</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Keytruda pipeline and Winrevair ramp provide durable multi-year growth</w:t>
            </w:r>
          </w:p>
        </w:tc>
      </w:tr>
      <w:tr>
        <w:tc>
          <w:tcPr>
            <w:tcW w:type="dxa" w:w="15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Wells Fargo</w:t>
            </w:r>
          </w:p>
        </w:tc>
        <w:tc>
          <w:tcPr>
            <w:tcW w:type="dxa" w:w="11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GLD ETF</w:t>
            </w:r>
          </w:p>
        </w:tc>
        <w:tc>
          <w:tcPr>
            <w:tcW w:type="dxa" w:w="18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bCs/>
                <w:color w:val="1E7F35"/>
                <w:sz w:val="18"/>
                <w:szCs w:val="18"/>
              </w:rPr>
              <w:t xml:space="preserve">Upgrade -&gt; Overweight</w:t>
            </w:r>
          </w:p>
        </w:tc>
        <w:tc>
          <w:tcPr>
            <w:tcW w:type="dxa" w:w="900"/>
            <w:tcBorders>
              <w:top w:val="single" w:color="CCCCCC" w:sz="1"/>
              <w:left w:val="single" w:color="CCCCCC" w:sz="1"/>
              <w:bottom w:val="single" w:color="CCCCCC" w:sz="1"/>
              <w:right w:val="single" w:color="CCCCCC" w:sz="1"/>
            </w:tcBorders>
            <w:shd w:fill="F0F4FB" w:val="clear"/>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N/A</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Gold structural bull case; de-dollarization and central bank buying accelerating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UBS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VZ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Downgrade -&gt; Sell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2C2C"/>
                <w:sz w:val="18"/>
                <w:szCs w:val="18"/>
              </w:rPr>
              <w:t xml:space="preserve">$34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555555"/>
                <w:sz w:val="16"/>
                <w:szCs w:val="16"/>
              </w:rPr>
              <w:t xml:space="preserve">Subscriber growth stalling; elevated spectrum costs; dividend sustainability concerns</w:t>
            </w:r>
          </w:p>
        </w:tc>
      </w:tr>
    </w:tbl>
    <w:p>
      <w:pPr>
        <w:pBdr>
          <w:bottom w:val="single" w:color="DDDDDD" w:sz="4" w:space="1"/>
        </w:pBdr>
        <w:spacing w:after="160" w:before="160"/>
      </w:pPr>
      <w:r>
        <w:t xml:space="preserve"/>
      </w:r>
    </w:p>
    <w:p>
      <w:pPr>
        <w:pBdr>
          <w:bottom w:val="single" w:color="C8A84B" w:sz="12" w:space="4"/>
        </w:pBdr>
        <w:spacing w:after="120" w:before="240"/>
      </w:pPr>
      <w:r>
        <w:rPr>
          <w:rFonts w:ascii="Arial" w:cs="Arial" w:eastAsia="Arial" w:hAnsi="Arial"/>
          <w:b/>
          <w:bCs/>
          <w:color w:val="1B3A6B"/>
          <w:sz w:val="28"/>
          <w:szCs w:val="28"/>
        </w:rPr>
        <w:t xml:space="preserve">9. STOCKS TO WATCH</w:t>
      </w:r>
    </w:p>
    <w:p>
      <w:pPr>
        <w:spacing w:after="80" w:before="180"/>
      </w:pPr>
      <w:r>
        <w:rPr>
          <w:rFonts w:ascii="Arial" w:cs="Arial" w:eastAsia="Arial" w:hAnsi="Arial"/>
          <w:b/>
          <w:bCs/>
          <w:color w:val="1B3A6B"/>
          <w:sz w:val="24"/>
          <w:szCs w:val="24"/>
        </w:rPr>
        <w:t xml:space="preserve">JPMorgan Chase (JPM) -- $224.80</w:t>
      </w:r>
    </w:p>
    <w:p>
      <w:pPr>
        <w:spacing w:after="60" w:before="60"/>
      </w:pPr>
      <w:r>
        <w:rPr>
          <w:rFonts w:ascii="Arial" w:cs="Arial" w:eastAsia="Arial" w:hAnsi="Arial"/>
          <w:b w:val="false"/>
          <w:bCs w:val="false"/>
          <w:color w:val="2C2C2C"/>
          <w:sz w:val="20"/>
          <w:szCs w:val="20"/>
        </w:rPr>
        <w:t xml:space="preserve">The week's most important single stock. JPMorgan reports Monday pre-market against a backdrop of a steepening yield curve (bullish for net interest income), volatile capital markets (bullish for trading), and geopolitical uncertainty (cautious for deal pipelines). The stock sits 8% below its 52-week high -- historically, shares rally 3-5% on strong earnings beats in favorable macro environments. The risk-reward is asymmetric: a strong print with bullish Dimon commentary could re-rate the entire financial sector. Key technical level: $230, which would represent a breakout above the 200-day moving average. Options are pricing a +/-3.1% move; historical average earnings move is +/-2.6%, with slight skew toward upside in recent options flow.</w:t>
      </w:r>
    </w:p>
    <w:p>
      <w:pPr>
        <w:spacing w:after="80" w:before="180"/>
      </w:pPr>
      <w:r>
        <w:rPr>
          <w:rFonts w:ascii="Arial" w:cs="Arial" w:eastAsia="Arial" w:hAnsi="Arial"/>
          <w:b/>
          <w:bCs/>
          <w:color w:val="1B3A6B"/>
          <w:sz w:val="24"/>
          <w:szCs w:val="24"/>
        </w:rPr>
        <w:t xml:space="preserve">Exxon Mobil (XOM) -- $119.40</w:t>
      </w:r>
    </w:p>
    <w:p>
      <w:pPr>
        <w:spacing w:after="60" w:before="60"/>
      </w:pPr>
      <w:r>
        <w:rPr>
          <w:rFonts w:ascii="Arial" w:cs="Arial" w:eastAsia="Arial" w:hAnsi="Arial"/>
          <w:b w:val="false"/>
          <w:bCs w:val="false"/>
          <w:color w:val="2C2C2C"/>
          <w:sz w:val="20"/>
          <w:szCs w:val="20"/>
        </w:rPr>
        <w:t xml:space="preserve">Exxon is caught between two gravitational forces: elevated oil prices (bullish) and a fading geopolitical risk premium (bearish). The stock is up 28% YTD but faces its first meaningful valuation test as the ceasefire introduces downside oil scenarios. Morgan Stanley's downgrade this week signals the street is beginning to rotate out of the easy energy trade. Watch for any update on XOM's Guyana production ramp, which is becoming the company's most important growth driver independent of the Middle East situation. Key risk: if WTI drops toward $80 on a lasting ceasefire, EPS estimates for 2026 fall approximately 18%, and the stock likely re-tests $105.</w:t>
      </w:r>
    </w:p>
    <w:p>
      <w:pPr>
        <w:spacing w:after="80" w:before="180"/>
      </w:pPr>
      <w:r>
        <w:rPr>
          <w:rFonts w:ascii="Arial" w:cs="Arial" w:eastAsia="Arial" w:hAnsi="Arial"/>
          <w:b/>
          <w:bCs/>
          <w:color w:val="1B3A6B"/>
          <w:sz w:val="24"/>
          <w:szCs w:val="24"/>
        </w:rPr>
        <w:t xml:space="preserve">Netflix (NFLX) -- $604.20</w:t>
      </w:r>
    </w:p>
    <w:p>
      <w:pPr>
        <w:spacing w:after="60" w:before="60"/>
      </w:pPr>
      <w:r>
        <w:rPr>
          <w:rFonts w:ascii="Arial" w:cs="Arial" w:eastAsia="Arial" w:hAnsi="Arial"/>
          <w:b w:val="false"/>
          <w:bCs w:val="false"/>
          <w:color w:val="2C2C2C"/>
          <w:sz w:val="20"/>
          <w:szCs w:val="20"/>
        </w:rPr>
        <w:t xml:space="preserve">The setup is compelling: Goldman upgrade, strong subscriber momentum, advertising business scaling faster than projected, and a stock that has lagged the streaming peer group year-to-date. The company's shift away from reporting subscriber numbers (starting Q1 2025) means investors are partly flying blind on the legacy growth metric -- but that pivot has forced a healthy re-focus on revenue per user and operating margin expansion. The $120 Goldman price target implies roughly 20% upside from current levels. Options imply a near-8% move; bullish flow is modestly dominant heading into the print.</w:t>
      </w:r>
    </w:p>
    <w:p>
      <w:pPr>
        <w:spacing w:after="80" w:before="180"/>
      </w:pPr>
      <w:r>
        <w:rPr>
          <w:rFonts w:ascii="Arial" w:cs="Arial" w:eastAsia="Arial" w:hAnsi="Arial"/>
          <w:b/>
          <w:bCs/>
          <w:color w:val="1B3A6B"/>
          <w:sz w:val="24"/>
          <w:szCs w:val="24"/>
        </w:rPr>
        <w:t xml:space="preserve">Nvidia (NVDA) -- $863.50</w:t>
      </w:r>
    </w:p>
    <w:p>
      <w:pPr>
        <w:spacing w:after="60" w:before="60"/>
      </w:pPr>
      <w:r>
        <w:rPr>
          <w:rFonts w:ascii="Arial" w:cs="Arial" w:eastAsia="Arial" w:hAnsi="Arial"/>
          <w:b w:val="false"/>
          <w:bCs w:val="false"/>
          <w:color w:val="2C2C2C"/>
          <w:sz w:val="20"/>
          <w:szCs w:val="20"/>
        </w:rPr>
        <w:t xml:space="preserve">Nvidia did not report last week, but it was Friday's biggest winner (+2.58%) even as the broader market sold off -- a reminder that the AI capex cycle is alive and supported. The stock remains the market's single best read on AI infrastructure demand, and earnings from major cloud providers (Microsoft, Amazon, Alphabet) in the weeks ahead will offer indirect validation. Key concern: AMD's JPMorgan downgrade on AI chip supply glut fears. If that narrative gains traction, it could briefly pressure NVDA even without company-specific negative news. Technical support sits at $840; a break below that would be meaningful and potentially signal a broader tech sector retest.</w:t>
      </w:r>
    </w:p>
    <w:p>
      <w:pPr>
        <w:pBdr>
          <w:bottom w:val="single" w:color="DDDDDD" w:sz="4" w:space="1"/>
        </w:pBdr>
        <w:spacing w:after="160" w:before="160"/>
      </w:pPr>
      <w:r>
        <w:t xml:space="preserve"/>
      </w:r>
    </w:p>
    <w:p>
      <w:pPr>
        <w:pBdr>
          <w:bottom w:val="single" w:color="C8A84B" w:sz="12" w:space="4"/>
        </w:pBdr>
        <w:spacing w:after="120" w:before="240"/>
      </w:pPr>
      <w:r>
        <w:rPr>
          <w:rFonts w:ascii="Arial" w:cs="Arial" w:eastAsia="Arial" w:hAnsi="Arial"/>
          <w:b/>
          <w:bCs/>
          <w:color w:val="1B3A6B"/>
          <w:sz w:val="28"/>
          <w:szCs w:val="28"/>
        </w:rPr>
        <w:t xml:space="preserve">10. GLOBAL MACRO SNAPSHOT</w:t>
      </w:r>
    </w:p>
    <w:p>
      <w:pPr>
        <w:spacing w:after="80" w:before="180"/>
      </w:pPr>
      <w:r>
        <w:rPr>
          <w:rFonts w:ascii="Arial" w:cs="Arial" w:eastAsia="Arial" w:hAnsi="Arial"/>
          <w:b/>
          <w:bCs/>
          <w:color w:val="1B3A6B"/>
          <w:sz w:val="24"/>
          <w:szCs w:val="24"/>
        </w:rPr>
        <w:t xml:space="preserve">China</w:t>
      </w:r>
    </w:p>
    <w:p>
      <w:pPr>
        <w:spacing w:after="60" w:before="60"/>
      </w:pPr>
      <w:r>
        <w:rPr>
          <w:rFonts w:ascii="Arial" w:cs="Arial" w:eastAsia="Arial" w:hAnsi="Arial"/>
          <w:b w:val="false"/>
          <w:bCs w:val="false"/>
          <w:color w:val="2C2C2C"/>
          <w:sz w:val="20"/>
          <w:szCs w:val="20"/>
        </w:rPr>
        <w:t xml:space="preserve">Beijing continues to walk a delicate line between supporting growth and managing financial stability risks. Q1 GDP data (expected April 16) is forecast near 4.8% -- below the government's 5% target, which will likely prompt additional stimulus measures in the form of infrastructure spending and targeted credit easing. The PBOC has kept the yuan anchored near 7.24, resisting depreciation pressure despite a weaker U.S. dollar environment, signaling that currency stability remains a top policy priority. Chinese equities (Hang Seng: +1.8% WTD, Shanghai: +0.9% WTD) have outperformed U.S. tech meaningfully year-to-date, benefiting from domestic stimulus and the geopolitical repositioning -- some of Iran's oil is reportedly reaching Chinese refineries through alternative channels at discounted prices.</w:t>
      </w:r>
    </w:p>
    <w:p>
      <w:pPr>
        <w:spacing w:after="80" w:before="180"/>
      </w:pPr>
      <w:r>
        <w:rPr>
          <w:rFonts w:ascii="Arial" w:cs="Arial" w:eastAsia="Arial" w:hAnsi="Arial"/>
          <w:b/>
          <w:bCs/>
          <w:color w:val="1B3A6B"/>
          <w:sz w:val="24"/>
          <w:szCs w:val="24"/>
        </w:rPr>
        <w:t xml:space="preserve">Europe</w:t>
      </w:r>
    </w:p>
    <w:p>
      <w:pPr>
        <w:spacing w:after="60" w:before="60"/>
      </w:pPr>
      <w:r>
        <w:rPr>
          <w:rFonts w:ascii="Arial" w:cs="Arial" w:eastAsia="Arial" w:hAnsi="Arial"/>
          <w:b w:val="false"/>
          <w:bCs w:val="false"/>
          <w:color w:val="2C2C2C"/>
          <w:sz w:val="20"/>
          <w:szCs w:val="20"/>
        </w:rPr>
        <w:t xml:space="preserve">European equities finished the week with modest gains despite Friday softness, supported by better-than-expected German industrial production data and a more dovish ECB tone than expected. The Eurozone is navigating its own energy shock -- EU member states have been competing for LNG cargoes diverted from Middle East routes, and energy prices across the continent remain roughly 40% above pre-conflict levels. The ECB has guided for a rate cut in June, which markets are pricing at approximately 85% probability. The euro has firmed against the dollar (EUR/USD: 1.0921), partly reflecting relative confidence that the ECB's path to easing is clearer than the Fed's -- a meaningful divergence that could drive continued EUR/USD appreciation.</w:t>
      </w:r>
    </w:p>
    <w:p>
      <w:pPr>
        <w:spacing w:after="80" w:before="180"/>
      </w:pPr>
      <w:r>
        <w:rPr>
          <w:rFonts w:ascii="Arial" w:cs="Arial" w:eastAsia="Arial" w:hAnsi="Arial"/>
          <w:b/>
          <w:bCs/>
          <w:color w:val="1B3A6B"/>
          <w:sz w:val="24"/>
          <w:szCs w:val="24"/>
        </w:rPr>
        <w:t xml:space="preserve">Emerging Markets &amp; Rest of World</w:t>
      </w:r>
    </w:p>
    <w:p>
      <w:pPr>
        <w:spacing w:after="60" w:before="60"/>
      </w:pPr>
      <w:r>
        <w:rPr>
          <w:rFonts w:ascii="Arial" w:cs="Arial" w:eastAsia="Arial" w:hAnsi="Arial"/>
          <w:b w:val="false"/>
          <w:bCs w:val="false"/>
          <w:color w:val="2C2C2C"/>
          <w:sz w:val="20"/>
          <w:szCs w:val="20"/>
        </w:rPr>
        <w:t xml:space="preserve">Pakistan's role as ceasefire broker has elevated its geopolitical profile but complicated its own economic situation, with capital flows somewhat erratic. India (Sensex near record highs) has been a relative outperformer in Asia -- less directly exposed to Hormuz disruption and benefiting from technology sector strength and robust domestic consumption. Brazil's real has weakened modestly as commodity prices retreat from peaks. Turkey continues to grapple with high inflation despite aggressive rate hikes. The broader EM story for 2026 remains a tale of commodity exporters (beneficiaries: Saudi Arabia, Iraq, UAE, Nigeria, Brazil) vs. commodity importers (stressed: India, Japan, South Korea, much of Southeast Asia) -- with the Iran conflict dramatically accentuating that divide.</w:t>
      </w:r>
    </w:p>
    <w:p>
      <w:pPr>
        <w:pBdr>
          <w:bottom w:val="single" w:color="DDDDDD" w:sz="4" w:space="1"/>
        </w:pBdr>
        <w:spacing w:after="160" w:before="160"/>
      </w:pPr>
      <w:r>
        <w:t xml:space="preserve"/>
      </w:r>
    </w:p>
    <w:p>
      <w:pPr>
        <w:pBdr>
          <w:bottom w:val="single" w:color="C8A84B" w:sz="12" w:space="4"/>
        </w:pBdr>
        <w:spacing w:after="120" w:before="240"/>
      </w:pPr>
      <w:r>
        <w:rPr>
          <w:rFonts w:ascii="Arial" w:cs="Arial" w:eastAsia="Arial" w:hAnsi="Arial"/>
          <w:b/>
          <w:bCs/>
          <w:color w:val="1B3A6B"/>
          <w:sz w:val="28"/>
          <w:szCs w:val="28"/>
        </w:rPr>
        <w:t xml:space="preserve">11. WEEK AHEAD PREVIEW</w:t>
      </w:r>
    </w:p>
    <w:p>
      <w:pPr>
        <w:spacing w:after="60" w:before="60"/>
      </w:pPr>
      <w:r>
        <w:rPr>
          <w:rFonts w:ascii="Arial" w:cs="Arial" w:eastAsia="Arial" w:hAnsi="Arial"/>
          <w:b w:val="false"/>
          <w:bCs w:val="false"/>
          <w:color w:val="2C2C2C"/>
          <w:sz w:val="20"/>
          <w:szCs w:val="20"/>
        </w:rPr>
        <w:t xml:space="preserve">Monday is the week's primary event risk: four major banks report simultaneously in the pre-market hours, PPI drops at 8:30 AM, and markets open having digested the weekend's diplomatic developments from Pakistan. The tone of bank CEOs -- particularly Dimon at JPMorgan -- will set the emotional backdrop for the rest of the week.</w:t>
      </w:r>
    </w:p>
    <w:p>
      <w:pPr>
        <w:spacing w:after="60" w:before="60"/>
      </w:pPr>
      <w:r>
        <w:rPr>
          <w:rFonts w:ascii="Arial" w:cs="Arial" w:eastAsia="Arial" w:hAnsi="Arial"/>
          <w:b w:val="false"/>
          <w:bCs w:val="false"/>
          <w:color w:val="2C2C2C"/>
          <w:sz w:val="20"/>
          <w:szCs w:val="20"/>
        </w:rPr>
        <w:t xml:space="preserve">Tuesday brings Bank of America and the Empire State Manufacturing Survey, the first April read on factory activity. This data will be important given Iran-driven supply chain disruptions affecting manufacturing inputs from petrochemicals to plastics. Federal Reserve speakers may begin to characterize the PPI and CPI data publicly.</w:t>
      </w:r>
    </w:p>
    <w:p>
      <w:pPr>
        <w:spacing w:after="60" w:before="60"/>
      </w:pPr>
      <w:r>
        <w:rPr>
          <w:rFonts w:ascii="Arial" w:cs="Arial" w:eastAsia="Arial" w:hAnsi="Arial"/>
          <w:b w:val="false"/>
          <w:bCs w:val="false"/>
          <w:color w:val="2C2C2C"/>
          <w:sz w:val="20"/>
          <w:szCs w:val="20"/>
        </w:rPr>
        <w:t xml:space="preserve">Wednesday features Netflix after the close -- the week's lone major tech print. Housing Starts for March will also be released, providing a read on residential construction activity amid elevated mortgage rates (currently near 7.1% for a 30-year fixed).</w:t>
      </w:r>
    </w:p>
    <w:p>
      <w:pPr>
        <w:spacing w:after="60" w:before="60"/>
      </w:pPr>
      <w:r>
        <w:rPr>
          <w:rFonts w:ascii="Arial" w:cs="Arial" w:eastAsia="Arial" w:hAnsi="Arial"/>
          <w:b w:val="false"/>
          <w:bCs w:val="false"/>
          <w:color w:val="2C2C2C"/>
          <w:sz w:val="20"/>
          <w:szCs w:val="20"/>
        </w:rPr>
        <w:t xml:space="preserve">Thursday brings weekly jobless claims, arguably the most important real-time economic indicator in the current environment, followed by March Industrial Production. Any sign of labor market cracking -- claims rising materially above 230K -- would immediately shift the Fed narrative back toward cuts and could provide the equity market with an unexpected tailwind.</w:t>
      </w:r>
    </w:p>
    <w:p>
      <w:pPr>
        <w:spacing w:after="60" w:before="60"/>
      </w:pPr>
      <w:r>
        <w:rPr>
          <w:rFonts w:ascii="Arial" w:cs="Arial" w:eastAsia="Arial" w:hAnsi="Arial"/>
          <w:b w:val="false"/>
          <w:bCs w:val="false"/>
          <w:color w:val="2C2C2C"/>
          <w:sz w:val="20"/>
          <w:szCs w:val="20"/>
        </w:rPr>
        <w:t xml:space="preserve">Friday, April 18 is Good Friday -- U.S. equity markets are closed. This creates gap-open risk for Monday, April 21 on any weekend geopolitical developments. Bond markets may see limited activity.</w:t>
      </w:r>
    </w:p>
    <w:p>
      <w:pPr>
        <w:spacing w:after="60" w:before="60"/>
      </w:pPr>
      <w:r>
        <w:rPr>
          <w:rFonts w:ascii="Arial" w:cs="Arial" w:eastAsia="Arial" w:hAnsi="Arial"/>
          <w:b w:val="false"/>
          <w:bCs w:val="false"/>
          <w:color w:val="2C2C2C"/>
          <w:sz w:val="20"/>
          <w:szCs w:val="20"/>
        </w:rPr>
        <w:t xml:space="preserve">Looking further ahead: April 28-29 FOMC meeting (no rate change expected, but tone critical); Big Tech earnings from Microsoft (April 28), Meta (April 29), Amazon (April 30); Q1 GDP advance estimate (April 30); and the April jobs report (May 1) -- together forming the most consequential five-day stretch of the quarter.</w:t>
      </w:r>
    </w:p>
    <w:p>
      <w:pPr>
        <w:pBdr>
          <w:bottom w:val="single" w:color="DDDDDD" w:sz="4" w:space="1"/>
        </w:pBdr>
        <w:spacing w:after="160" w:before="160"/>
      </w:pPr>
      <w:r>
        <w:t xml:space="preserve"/>
      </w:r>
    </w:p>
    <w:p>
      <w:pPr>
        <w:pBdr>
          <w:bottom w:val="single" w:color="C8A84B" w:sz="12" w:space="4"/>
        </w:pBdr>
        <w:spacing w:after="120" w:before="240"/>
      </w:pPr>
      <w:r>
        <w:rPr>
          <w:rFonts w:ascii="Arial" w:cs="Arial" w:eastAsia="Arial" w:hAnsi="Arial"/>
          <w:b/>
          <w:bCs/>
          <w:color w:val="1B3A6B"/>
          <w:sz w:val="28"/>
          <w:szCs w:val="28"/>
        </w:rPr>
        <w:t xml:space="preserve">12. CLOSING THOUGHT</w:t>
      </w:r>
    </w:p>
    <w:p>
      <w:pPr>
        <w:pBdr>
          <w:left w:val="single" w:color="C8A84B" w:sz="18" w:space="8"/>
        </w:pBdr>
        <w:shd w:fill="FFF8E7" w:val="clear"/>
        <w:spacing w:after="40" w:before="100"/>
      </w:pPr>
      <w:r>
        <w:rPr>
          <w:rFonts w:ascii="Arial" w:cs="Arial" w:eastAsia="Arial" w:hAnsi="Arial"/>
          <w:b/>
          <w:bCs/>
          <w:color w:val="1B3A6B"/>
          <w:sz w:val="22"/>
          <w:szCs w:val="22"/>
        </w:rPr>
        <w:t xml:space="preserve">  The Risk the Market Is Underpricing: Stagflation Isn't Just a Tail Risk Anymore</w:t>
      </w:r>
    </w:p>
    <w:p>
      <w:pPr>
        <w:pBdr>
          <w:left w:val="single" w:color="C8A84B" w:sz="18" w:space="8"/>
        </w:pBdr>
        <w:shd w:fill="FFF8E7" w:val="clear"/>
        <w:spacing w:after="80" w:before="40"/>
      </w:pPr>
      <w:r>
        <w:rPr>
          <w:rFonts w:ascii="Arial" w:cs="Arial" w:eastAsia="Arial" w:hAnsi="Arial"/>
          <w:color w:val="2C2C2C"/>
          <w:sz w:val="19"/>
          <w:szCs w:val="19"/>
        </w:rPr>
        <w:t xml:space="preserve">  There is a quiet assumption embedded in current market pricing that deserves scrutiny: that the Iran conflict is a temporary shock, the ceasefire will eventually hold, oil will normalize back toward $80, and the Fed will cut rates by September. Each of those assumptions might be individually reasonable -- but their conjunction feels fragile. What if the ceasefire collapses permanently? What if March CPI's 3.3% proves to be not a peak but a floor? What if the Fed is forced to hike rather than cut? The historical parallel worth considering is 1973-74: an oil shock originating from Middle East conflict, a central bank unwilling to fully accept the inflationary consequences, and an S&amp;P 500 that ultimately fell 48% as stagflation took hold over 18 months. We are not there today -- the economy is stronger, the banking system more resilient, and the Fed's inflation-fighting credibility vastly higher than in the Volcker era. But the directional rhyme is real. </w:t>
      </w:r>
      <w:r>
        <w:rPr>
          <w:rFonts w:ascii="Arial" w:cs="Arial" w:eastAsia="Arial" w:hAnsi="Arial"/>
          <w:b/>
          <w:bCs/>
          <w:color w:val="1B3A6B"/>
          <w:sz w:val="20"/>
          <w:szCs w:val="20"/>
        </w:rPr>
        <w:t xml:space="preserve">Don't let one week's relief rally obscure the fact that the structural regime -- higher energy prices, stickier inflation, a constrained Fed -- has not changed. Trade accordingly.</w:t>
      </w:r>
    </w:p>
    <w:p>
      <w:pPr>
        <w:spacing w:after="60" w:before="60"/>
      </w:pPr>
      <w:r>
        <w:t xml:space="preserve"/>
      </w:r>
    </w:p>
    <w:p>
      <w:pPr>
        <w:spacing w:after="60" w:before="120"/>
        <w:jc w:val="center"/>
      </w:pPr>
      <w:r>
        <w:rPr>
          <w:rFonts w:ascii="Arial" w:cs="Arial" w:eastAsia="Arial" w:hAnsi="Arial"/>
          <w:i/>
          <w:iCs/>
          <w:color w:val="555555"/>
          <w:sz w:val="17"/>
          <w:szCs w:val="17"/>
        </w:rPr>
        <w:t xml:space="preserve">-- End of Daily Financial Brief | April 12, 2026 --</w:t>
      </w:r>
    </w:p>
    <w:p>
      <w:pPr>
        <w:jc w:val="center"/>
      </w:pPr>
      <w:r>
        <w:rPr>
          <w:rFonts w:ascii="Arial" w:cs="Arial" w:eastAsia="Arial" w:hAnsi="Arial"/>
          <w:i/>
          <w:iCs/>
          <w:color w:val="555555"/>
          <w:sz w:val="15"/>
          <w:szCs w:val="15"/>
        </w:rPr>
        <w:t xml:space="preserve">Sources: BLS.gov, Federal Reserve, CNBC, Bloomberg, Yahoo Finance, NPR, Fox Business, AlphaStreet, TipRanks, Fortune, IndexBox, Intellectia.ai, 24/7 Wall 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B" w:sz="4" w:space="4"/>
      </w:pBdr>
      <w:jc w:val="center"/>
    </w:pPr>
    <w:r>
      <w:rPr>
        <w:rFonts w:ascii="Arial" w:cs="Arial" w:eastAsia="Arial" w:hAnsi="Arial"/>
        <w:color w:val="555555"/>
        <w:sz w:val="16"/>
        <w:szCs w:val="16"/>
      </w:rPr>
      <w:t xml:space="preserve">Confidential | For Informational Purposes Only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B3A6B" w:val="clear"/>
      <w:tabs>
        <w:tab w:val="right" w:pos="9026"/>
      </w:tabs>
      <w:spacing w:after="0" w:before="0"/>
    </w:pPr>
    <w:r>
      <w:rPr>
        <w:rFonts w:ascii="Arial" w:cs="Arial" w:eastAsia="Arial" w:hAnsi="Arial"/>
        <w:b/>
        <w:bCs/>
        <w:color w:val="FFFFFF"/>
        <w:sz w:val="32"/>
        <w:szCs w:val="32"/>
      </w:rPr>
      <w:t xml:space="preserve">  DAILY FINANCIAL BRIEF</w:t>
    </w:r>
    <w:r>
      <w:rPr>
        <w:rFonts w:ascii="Arial" w:cs="Arial" w:eastAsia="Arial" w:hAnsi="Arial"/>
      </w:rPr>
      <w:t xml:space="preserve">	</w:t>
    </w:r>
    <w:r>
      <w:rPr>
        <w:rFonts w:ascii="Arial" w:cs="Arial" w:eastAsia="Arial" w:hAnsi="Arial"/>
        <w:color w:val="C8A84B"/>
        <w:sz w:val="20"/>
        <w:szCs w:val="20"/>
      </w:rPr>
      <w:t xml:space="preserve">Sunday, April 12, 2026  </w:t>
    </w:r>
  </w:p>
  <w:p>
    <w:pPr>
      <w:shd w:fill="C8A84B" w:val="clear"/>
      <w:spacing w:after="60" w:before="0"/>
    </w:pPr>
    <w:r>
      <w:rPr>
        <w:rFonts w:ascii="Arial" w:cs="Arial" w:eastAsia="Arial" w:hAnsi="Arial"/>
        <w:b/>
        <w:bCs/>
        <w:color w:val="1B3A6B"/>
        <w:sz w:val="16"/>
        <w:szCs w:val="16"/>
      </w:rPr>
      <w:t xml:space="preserve">  Markets | Macro | Earnings |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2026-04-12T13:44:01.464Z</dcterms:created>
  <dcterms:modified xsi:type="dcterms:W3CDTF">2026-04-12T13:44:01.465Z</dcterms:modified>
</cp:coreProperties>
</file>

<file path=docProps/custom.xml><?xml version="1.0" encoding="utf-8"?>
<Properties xmlns="http://schemas.openxmlformats.org/officeDocument/2006/custom-properties" xmlns:vt="http://schemas.openxmlformats.org/officeDocument/2006/docPropsVTypes"/>
</file>