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B3A6B"/>
          <w:sz w:val="48"/>
          <w:szCs w:val="48"/>
        </w:rPr>
        <w:t xml:space="preserve">DAILY FINANCIAL BRIEF</w:t>
      </w:r>
    </w:p>
    <w:p>
      <w:pPr>
        <w:spacing w:after="40" w:before="0"/>
        <w:jc w:val="center"/>
      </w:pPr>
      <w:r>
        <w:rPr>
          <w:rFonts w:ascii="Arial" w:cs="Arial" w:eastAsia="Arial" w:hAnsi="Arial"/>
          <w:color w:val="666666"/>
          <w:sz w:val="24"/>
          <w:szCs w:val="24"/>
        </w:rPr>
        <w:t xml:space="preserve">Monday, April 13, 2026  |  Published 9:30 AM ET</w:t>
      </w:r>
    </w:p>
    <w:p>
      <w:pPr>
        <w:pBdr>
          <w:bottom w:val="single" w:color="C9A84C" w:sz="12" w:space="2"/>
        </w:pBdr>
        <w:spacing w:after="200" w:before="4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1. THE MORNING SETUP</w:t>
      </w:r>
    </w:p>
    <w:p>
      <w:pPr>
        <w:spacing w:after="60" w:before="60"/>
      </w:pPr>
      <w:r>
        <w:rPr>
          <w:rFonts w:ascii="Arial" w:cs="Arial" w:eastAsia="Arial" w:hAnsi="Arial"/>
          <w:b w:val="false"/>
          <w:bCs w:val="false"/>
          <w:color w:val="333333"/>
          <w:sz w:val="22"/>
          <w:szCs w:val="22"/>
        </w:rPr>
        <w:t xml:space="preserve">The world woke up to a changed energy landscape. After 21 hours of marathon negotiations in Islamabad collapsed late Sunday without a deal, President Trump announced the U.S. Navy will blockade all maritime traffic entering and exiting Iranian ports, starting at 10 a.m. ET Monday. The decision — coming after Iran refused Washington's red lines on nuclear enrichment — has sent WTI crude surging above $104 and Brent past $102, their highest levels since the war began in late February. The Strait of Hormuz, through which roughly 20% of global oil supply flows, is now a flashpoint for what could become the most severe energy shock since 2022.</w:t>
      </w:r>
    </w:p>
    <w:p>
      <w:pPr>
        <w:spacing w:after="60" w:before="60"/>
      </w:pPr>
      <w:r>
        <w:rPr>
          <w:rFonts w:ascii="Arial" w:cs="Arial" w:eastAsia="Arial" w:hAnsi="Arial"/>
          <w:b w:val="false"/>
          <w:bCs w:val="false"/>
          <w:color w:val="333333"/>
          <w:sz w:val="22"/>
          <w:szCs w:val="22"/>
        </w:rPr>
        <w:t xml:space="preserve">For markets, the calculus is ugly and simple: higher oil equals higher inflation, a more hawkish Fed, and squeezed corporate margins at the exact moment Q1 earnings season kicks off. S&amp;P 500 futures are down nearly 0.5% heading into the open, Europe is broadly lower, and airline stocks are among the worst performers globally. Yet buried inside this grim setup is a critical counterpoint: Goldman Sachs delivered blowout Q1 results before the bell, with investment banking revenues up 48% and record equities trading — a reminder that even war has its winners on Wall Street. This week will define whether Q1 earnings can hold the market's floor against geopolitical gravity.</w:t>
      </w:r>
    </w:p>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2. MARKETS AT A GLANCE</w:t>
      </w:r>
    </w:p>
    <w:p>
      <w:pPr>
        <w:spacing w:after="60" w:before="60"/>
      </w:pPr>
      <w:r>
        <w:rPr>
          <w:rFonts w:ascii="Arial" w:cs="Arial" w:eastAsia="Arial" w:hAnsi="Arial"/>
          <w:b w:val="false"/>
          <w:bCs w:val="false"/>
          <w:color w:val="333333"/>
          <w:sz w:val="22"/>
          <w:szCs w:val="22"/>
        </w:rPr>
        <w:t xml:space="preserve">All data as of 9:30 AM ET, Monday April 13, 2026. Changes reflect 1-day performance unless noted.</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INSTRUMENT</w:t>
            </w:r>
          </w:p>
        </w:tc>
        <w:tc>
          <w:tcPr>
            <w:tcW w:type="dxa" w:w="205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LEVEL</w:t>
            </w:r>
          </w:p>
        </w:tc>
        <w:tc>
          <w:tcPr>
            <w:tcW w:type="dxa" w:w="205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1D CHG</w:t>
            </w:r>
          </w:p>
        </w:tc>
        <w:tc>
          <w:tcPr>
            <w:tcW w:type="dxa" w:w="20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w:t>
            </w:r>
          </w:p>
        </w:tc>
      </w:tr>
      <w:tr>
        <w:tc>
          <w:tcPr>
            <w:gridSpan w:val="4"/>
            <w:tcBorders>
              <w:top w:val="single" w:color="CCCCCC" w:sz="1"/>
              <w:left w:val="single" w:color="CCCCCC" w:sz="1"/>
              <w:bottom w:val="single" w:color="CCCCCC" w:sz="1"/>
              <w:right w:val="single" w:color="CCCCCC" w:sz="1"/>
            </w:tcBorders>
            <w:shd w:fill="2E5A9C" w:val="clear"/>
            <w:tcMar>
              <w:top w:type="dxa" w:w="70"/>
              <w:left w:type="dxa" w:w="120"/>
              <w:bottom w:type="dxa" w:w="70"/>
              <w:right w:type="dxa" w:w="120"/>
            </w:tcMar>
          </w:tcPr>
          <w:p>
            <w:r>
              <w:rPr>
                <w:rFonts w:ascii="Arial" w:cs="Arial" w:eastAsia="Arial" w:hAnsi="Arial"/>
                <w:b/>
                <w:bCs/>
                <w:color w:val="FFFFFF"/>
                <w:sz w:val="20"/>
                <w:szCs w:val="20"/>
              </w:rPr>
              <w:t xml:space="preserve">US EQUITY FUTURES (Premarket, 9:30 AM ET)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S&amp;P 500 Futures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6,823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-0.47%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Iran blockade fears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Nasdaq 100 Futures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25,166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-0.46%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Tech selling pressure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Dow Futures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~43,150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-0.88%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-423 pts; energy drag</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Russell 2000 Futures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~2,150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Small-caps underperform</w:t>
            </w:r>
          </w:p>
        </w:tc>
      </w:tr>
      <w:tr>
        <w:tc>
          <w:tcPr>
            <w:gridSpan w:val="4"/>
            <w:tcBorders>
              <w:top w:val="single" w:color="CCCCCC" w:sz="1"/>
              <w:left w:val="single" w:color="CCCCCC" w:sz="1"/>
              <w:bottom w:val="single" w:color="CCCCCC" w:sz="1"/>
              <w:right w:val="single" w:color="CCCCCC" w:sz="1"/>
            </w:tcBorders>
            <w:shd w:fill="2E5A9C" w:val="clear"/>
            <w:tcMar>
              <w:top w:type="dxa" w:w="70"/>
              <w:left w:type="dxa" w:w="120"/>
              <w:bottom w:type="dxa" w:w="70"/>
              <w:right w:type="dxa" w:w="120"/>
            </w:tcMar>
          </w:tcPr>
          <w:p>
            <w:r>
              <w:rPr>
                <w:rFonts w:ascii="Arial" w:cs="Arial" w:eastAsia="Arial" w:hAnsi="Arial"/>
                <w:b/>
                <w:bCs/>
                <w:color w:val="FFFFFF"/>
                <w:sz w:val="20"/>
                <w:szCs w:val="20"/>
              </w:rPr>
              <w:t xml:space="preserve">PRIOR CLOSE (Fri Apr 11 — S&amp;P up ~3% on the week after ceasefire hope)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S&amp;P 500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~6,855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+0.7% wk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Rally on Iran ceasefire hopes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Nasdaq 100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~25,280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+0.9% wk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Tech led recovery</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VIX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19.49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Moderate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Elevated vs. 2025 avg ~15</w:t>
            </w:r>
          </w:p>
        </w:tc>
      </w:tr>
      <w:tr>
        <w:tc>
          <w:tcPr>
            <w:gridSpan w:val="4"/>
            <w:tcBorders>
              <w:top w:val="single" w:color="CCCCCC" w:sz="1"/>
              <w:left w:val="single" w:color="CCCCCC" w:sz="1"/>
              <w:bottom w:val="single" w:color="CCCCCC" w:sz="1"/>
              <w:right w:val="single" w:color="CCCCCC" w:sz="1"/>
            </w:tcBorders>
            <w:shd w:fill="2E5A9C" w:val="clear"/>
            <w:tcMar>
              <w:top w:type="dxa" w:w="70"/>
              <w:left w:type="dxa" w:w="120"/>
              <w:bottom w:type="dxa" w:w="70"/>
              <w:right w:type="dxa" w:w="120"/>
            </w:tcMar>
          </w:tcPr>
          <w:p>
            <w:r>
              <w:rPr>
                <w:rFonts w:ascii="Arial" w:cs="Arial" w:eastAsia="Arial" w:hAnsi="Arial"/>
                <w:b/>
                <w:bCs/>
                <w:color w:val="FFFFFF"/>
                <w:sz w:val="20"/>
                <w:szCs w:val="20"/>
              </w:rPr>
              <w:t xml:space="preserve">EUROPE (April 13 Open — Markets react to talk collapse)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FTSE 100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~8,350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-0.42%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Airlines, energy drag</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DAX (Germany)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~21,800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-0.94%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Exporters hit on energy costs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CAC 40 (France)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~7,950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-1.02%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Worst European decliner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Euro Stoxx 600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~530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-0.70%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Broad-based selling</w:t>
            </w:r>
          </w:p>
        </w:tc>
      </w:tr>
      <w:tr>
        <w:tc>
          <w:tcPr>
            <w:gridSpan w:val="4"/>
            <w:tcBorders>
              <w:top w:val="single" w:color="CCCCCC" w:sz="1"/>
              <w:left w:val="single" w:color="CCCCCC" w:sz="1"/>
              <w:bottom w:val="single" w:color="CCCCCC" w:sz="1"/>
              <w:right w:val="single" w:color="CCCCCC" w:sz="1"/>
            </w:tcBorders>
            <w:shd w:fill="2E5A9C" w:val="clear"/>
            <w:tcMar>
              <w:top w:type="dxa" w:w="70"/>
              <w:left w:type="dxa" w:w="120"/>
              <w:bottom w:type="dxa" w:w="70"/>
              <w:right w:type="dxa" w:w="120"/>
            </w:tcMar>
          </w:tcPr>
          <w:p>
            <w:r>
              <w:rPr>
                <w:rFonts w:ascii="Arial" w:cs="Arial" w:eastAsia="Arial" w:hAnsi="Arial"/>
                <w:b/>
                <w:bCs/>
                <w:color w:val="FFFFFF"/>
                <w:sz w:val="20"/>
                <w:szCs w:val="20"/>
              </w:rPr>
              <w:t xml:space="preserve">US TREASURIES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2-Year Yield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3.81%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Flat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Markets price ~1 cut 2026</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10-Year Yield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4.31%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Rising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+50bps over 2Y; curve steepening</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30-Year Yield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~4.65%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Rising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Inflation premium expanding</w:t>
            </w:r>
          </w:p>
        </w:tc>
      </w:tr>
      <w:tr>
        <w:tc>
          <w:tcPr>
            <w:gridSpan w:val="4"/>
            <w:tcBorders>
              <w:top w:val="single" w:color="CCCCCC" w:sz="1"/>
              <w:left w:val="single" w:color="CCCCCC" w:sz="1"/>
              <w:bottom w:val="single" w:color="CCCCCC" w:sz="1"/>
              <w:right w:val="single" w:color="CCCCCC" w:sz="1"/>
            </w:tcBorders>
            <w:shd w:fill="2E5A9C" w:val="clear"/>
            <w:tcMar>
              <w:top w:type="dxa" w:w="70"/>
              <w:left w:type="dxa" w:w="120"/>
              <w:bottom w:type="dxa" w:w="70"/>
              <w:right w:type="dxa" w:w="120"/>
            </w:tcMar>
          </w:tcPr>
          <w:p>
            <w:r>
              <w:rPr>
                <w:rFonts w:ascii="Arial" w:cs="Arial" w:eastAsia="Arial" w:hAnsi="Arial"/>
                <w:b/>
                <w:bCs/>
                <w:color w:val="FFFFFF"/>
                <w:sz w:val="20"/>
                <w:szCs w:val="20"/>
              </w:rPr>
              <w:t xml:space="preserve">CURRENCIES &amp; CRYPTO</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DXY (Dollar Index)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~105.2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Flight-to-safety bid</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EUR/USD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1.0780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Euro pressure on energy costs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GBP/USD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1.2640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UK inflation watch</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USD/JPY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151.80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Yen weakens on risk-off</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Bitcoin (BTC)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~$87,500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Risk-off dampens crypto</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Ethereum (ETH)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~$3,900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 -1.5%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Following BTC lower</w:t>
            </w:r>
          </w:p>
        </w:tc>
      </w:tr>
      <w:tr>
        <w:tc>
          <w:tcPr>
            <w:gridSpan w:val="4"/>
            <w:tcBorders>
              <w:top w:val="single" w:color="CCCCCC" w:sz="1"/>
              <w:left w:val="single" w:color="CCCCCC" w:sz="1"/>
              <w:bottom w:val="single" w:color="CCCCCC" w:sz="1"/>
              <w:right w:val="single" w:color="CCCCCC" w:sz="1"/>
            </w:tcBorders>
            <w:shd w:fill="2E5A9C" w:val="clear"/>
            <w:tcMar>
              <w:top w:type="dxa" w:w="70"/>
              <w:left w:type="dxa" w:w="120"/>
              <w:bottom w:type="dxa" w:w="70"/>
              <w:right w:type="dxa" w:w="120"/>
            </w:tcMar>
          </w:tcPr>
          <w:p>
            <w:r>
              <w:rPr>
                <w:rFonts w:ascii="Arial" w:cs="Arial" w:eastAsia="Arial" w:hAnsi="Arial"/>
                <w:b/>
                <w:bCs/>
                <w:color w:val="FFFFFF"/>
                <w:sz w:val="20"/>
                <w:szCs w:val="20"/>
              </w:rPr>
              <w:t xml:space="preserve">COMMODITIES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WTI Crude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$104.80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1A7340"/>
                <w:sz w:val="20"/>
                <w:szCs w:val="20"/>
              </w:rPr>
              <w:t xml:space="preserve">▲ +7.8%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Hormuz blockade shock</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Brent Crude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$102.00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1A7340"/>
                <w:sz w:val="20"/>
                <w:szCs w:val="20"/>
              </w:rPr>
              <w:t xml:space="preserve">▲ +7.0%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Supply shock premium</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Natural Gas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$2.70/MMBtu</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1A7340"/>
                <w:sz w:val="20"/>
                <w:szCs w:val="20"/>
              </w:rPr>
              <w:t xml:space="preserve">▲ +2.0%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LNG rerouting premium</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Gold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$4,723.63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-0.59%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Real rates headwind</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Silver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~$48.50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Industrial demand cautious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color w:val="1B3A6B"/>
                <w:sz w:val="20"/>
                <w:szCs w:val="20"/>
              </w:rPr>
              <w:t xml:space="preserve">Copper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333333"/>
                <w:sz w:val="20"/>
                <w:szCs w:val="20"/>
              </w:rPr>
              <w:t xml:space="preserve">$5.73/lb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C0392B"/>
                <w:sz w:val="20"/>
                <w:szCs w:val="20"/>
              </w:rPr>
              <w:t xml:space="preserve">▼ -0.5%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LME inventories 8-yr high</w:t>
            </w:r>
          </w:p>
        </w:tc>
      </w:tr>
    </w:tbl>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3. TOP STORIES</w:t>
      </w:r>
    </w:p>
    <w:p>
      <w:pPr>
        <w:spacing w:after="80" w:before="240"/>
      </w:pPr>
      <w:r>
        <w:rPr>
          <w:rFonts w:ascii="Arial" w:cs="Arial" w:eastAsia="Arial" w:hAnsi="Arial"/>
          <w:b/>
          <w:bCs/>
          <w:color w:val="1B3A6B"/>
          <w:sz w:val="26"/>
          <w:szCs w:val="26"/>
        </w:rPr>
        <w:t xml:space="preserve">STORY 1: The Strait Gambit — U.S. Blockades Iranian Ports After Peace Talks Collapse</w:t>
      </w:r>
    </w:p>
    <w:p>
      <w:pPr>
        <w:spacing w:after="60" w:before="60"/>
      </w:pPr>
      <w:r>
        <w:rPr>
          <w:rFonts w:ascii="Arial" w:cs="Arial" w:eastAsia="Arial" w:hAnsi="Arial"/>
          <w:b w:val="false"/>
          <w:bCs w:val="false"/>
          <w:color w:val="333333"/>
          <w:sz w:val="22"/>
          <w:szCs w:val="22"/>
        </w:rPr>
        <w:t xml:space="preserve">After 21 hours of negotiations in Islamabad facilitated by Pakistani mediators, U.S. Vice President JD Vance announced Sunday evening that Iran had refused to accept Washington's core demands: the complete cessation of uranium enrichment, dismantling of major enrichment facilities, and removal of Iran's stockpile of highly enriched uranium. Iran's Parliament Speaker Mohammad-Baqer Qalibaf accused the U.S. of "failing to gain the trust" of the Iranian delegation. The talks, which had briefly raised hopes after a two-week ceasefire brokered in late March, have now collapsed entirely.</w:t>
      </w:r>
    </w:p>
    <w:p>
      <w:pPr>
        <w:spacing w:after="60" w:before="60"/>
      </w:pPr>
      <w:r>
        <w:rPr>
          <w:rFonts w:ascii="Arial" w:cs="Arial" w:eastAsia="Arial" w:hAnsi="Arial"/>
          <w:b w:val="false"/>
          <w:bCs w:val="false"/>
          <w:color w:val="333333"/>
          <w:sz w:val="22"/>
          <w:szCs w:val="22"/>
        </w:rPr>
        <w:t xml:space="preserve">The U.S. Central Command announced the blockade would begin at 10 a.m. ET Monday, targeting all maritime traffic into and out of Iranian ports — not merely the Strait of Hormuz but Iran's full maritime access. The strategic implications are staggering. Roughly 17-20 million barrels per day of oil normally transits through the Strait of Hormuz, serving the energy needs of Japan, South Korea, China, and India. WTI is now up more than 50% since the war began; Brent is up over 40% in the same period.</w:t>
      </w:r>
    </w:p>
    <w:p>
      <w:pPr>
        <w:spacing w:after="60" w:before="60"/>
      </w:pPr>
      <w:r>
        <w:rPr>
          <w:rFonts w:ascii="Arial" w:cs="Arial" w:eastAsia="Arial" w:hAnsi="Arial"/>
          <w:b w:val="false"/>
          <w:bCs w:val="false"/>
          <w:color w:val="333333"/>
          <w:sz w:val="22"/>
          <w:szCs w:val="22"/>
        </w:rPr>
        <w:t xml:space="preserve">Market implication: Energy equities are the lone bright spot in early trading. Airlines, shipping companies, and petrochemical manufacturers face a significant margin squeeze. Watch for emergency OPEC+ communication and whether Gulf states — particularly Saudi Arabia and the UAE — can meaningfully reroute supply. The Fed's inflation calculus has just gotten significantly more complicated. What to watch next: Congressional reaction, emergency IEA strategic reserve releases, and any communication from Riyadh.</w:t>
      </w:r>
    </w:p>
    <w:p>
      <w:pPr>
        <w:spacing w:after="80" w:before="240"/>
      </w:pPr>
      <w:r>
        <w:rPr>
          <w:rFonts w:ascii="Arial" w:cs="Arial" w:eastAsia="Arial" w:hAnsi="Arial"/>
          <w:b/>
          <w:bCs/>
          <w:color w:val="1B3A6B"/>
          <w:sz w:val="26"/>
          <w:szCs w:val="26"/>
        </w:rPr>
        <w:t xml:space="preserve">STORY 2: Goldman Sachs Blows Out Q1 Estimates — Banking Season Opens With a Bang</w:t>
      </w:r>
    </w:p>
    <w:p>
      <w:pPr>
        <w:spacing w:after="60" w:before="60"/>
      </w:pPr>
      <w:r>
        <w:rPr>
          <w:rFonts w:ascii="Arial" w:cs="Arial" w:eastAsia="Arial" w:hAnsi="Arial"/>
          <w:b w:val="false"/>
          <w:bCs w:val="false"/>
          <w:color w:val="333333"/>
          <w:sz w:val="22"/>
          <w:szCs w:val="22"/>
        </w:rPr>
        <w:t xml:space="preserve">Goldman Sachs reported first-quarter 2026 results that exceeded analyst expectations by a substantial margin: revenues of $17.23 billion (up 14% year-over-year), net earnings of $5.63 billion, and diluted EPS of $17.55 — compared to the consensus estimate of approximately $14.50. Return on equity hit 19.8%, which management characterized as a validation of their years-long strategic transformation away from consumer banking and toward institutional markets.</w:t>
      </w:r>
    </w:p>
    <w:p>
      <w:pPr>
        <w:spacing w:after="60" w:before="60"/>
      </w:pPr>
      <w:r>
        <w:rPr>
          <w:rFonts w:ascii="Arial" w:cs="Arial" w:eastAsia="Arial" w:hAnsi="Arial"/>
          <w:b w:val="false"/>
          <w:bCs w:val="false"/>
          <w:color w:val="333333"/>
          <w:sz w:val="22"/>
          <w:szCs w:val="22"/>
        </w:rPr>
        <w:t xml:space="preserve">The standout was the Global Banking &amp; Markets division, which generated $12.74 billion in net revenues. Investment banking fees surged 48%, reflecting a recovery in M&amp;A and equity issuance that began in Q4 2025 and accelerated as CEOs rushed to complete deals before potential tariff disruptions. Equities revenues hit a record, driven by volatility-related client activity. Asset &amp; Wealth Management contributed $4.08 billion, with the firm returning a massive $6.38 billion to shareholders — $5 billion in buybacks and $1.38 billion in dividends.</w:t>
      </w:r>
    </w:p>
    <w:p>
      <w:pPr>
        <w:spacing w:after="60" w:before="60"/>
      </w:pPr>
      <w:r>
        <w:rPr>
          <w:rFonts w:ascii="Arial" w:cs="Arial" w:eastAsia="Arial" w:hAnsi="Arial"/>
          <w:b w:val="false"/>
          <w:bCs w:val="false"/>
          <w:color w:val="333333"/>
          <w:sz w:val="22"/>
          <w:szCs w:val="22"/>
        </w:rPr>
        <w:t xml:space="preserve">Market implication: GS results set an optimistic tone for the broader financial sector, suggesting that capital markets activity — rather than traditional lending — is where the big money is right now. However, it also raises the bar for JPMorgan, Citigroup, and Wells Fargo reporting Tuesday. Will their investment banking numbers match Goldman's pace, or does this reflect a Goldman-specific franchise advantage? What to watch: NII guidance from JPM, which is the most sensitive bellwether for the rate environment.</w:t>
      </w:r>
    </w:p>
    <w:p>
      <w:pPr>
        <w:spacing w:after="80" w:before="240"/>
      </w:pPr>
      <w:r>
        <w:rPr>
          <w:rFonts w:ascii="Arial" w:cs="Arial" w:eastAsia="Arial" w:hAnsi="Arial"/>
          <w:b/>
          <w:bCs/>
          <w:color w:val="1B3A6B"/>
          <w:sz w:val="26"/>
          <w:szCs w:val="26"/>
        </w:rPr>
        <w:t xml:space="preserve">STORY 3: CPI Shock Complicates the Fed's Path — 3.3% Inflation Hits Five-Quarter High</w:t>
      </w:r>
    </w:p>
    <w:p>
      <w:pPr>
        <w:spacing w:after="60" w:before="60"/>
      </w:pPr>
      <w:r>
        <w:rPr>
          <w:rFonts w:ascii="Arial" w:cs="Arial" w:eastAsia="Arial" w:hAnsi="Arial"/>
          <w:b w:val="false"/>
          <w:bCs w:val="false"/>
          <w:color w:val="333333"/>
          <w:sz w:val="22"/>
          <w:szCs w:val="22"/>
        </w:rPr>
        <w:t xml:space="preserve">March's Consumer Price Index came in hotter than expected, rising 0.9% month-over-month — the largest monthly gain since June 2022 — pushing the annual rate to 3.3%, the highest reading since May 2024. The March FOMC minutes, released last Wednesday, showed Fed officials attributing "core goods price inflation" largely to the effects of higher tariffs. Several participants expressed concern that inflation could prove "more persistent" than the staff's base case, particularly given the compounding effects of tariff policy and now, sharply higher energy prices.</w:t>
      </w:r>
    </w:p>
    <w:p>
      <w:pPr>
        <w:spacing w:after="60" w:before="60"/>
      </w:pPr>
      <w:r>
        <w:rPr>
          <w:rFonts w:ascii="Arial" w:cs="Arial" w:eastAsia="Arial" w:hAnsi="Arial"/>
          <w:b w:val="false"/>
          <w:bCs w:val="false"/>
          <w:color w:val="333333"/>
          <w:sz w:val="22"/>
          <w:szCs w:val="22"/>
        </w:rPr>
        <w:t xml:space="preserve">The Fed's own dot plot, as of March, still projects one rate cut in 2026. But with CPI printing above 3%, oil now threatening $105+, and TIPS-implied inflation expectations rising steadily since the Iran war began, that projection looks increasingly aspirational. Fed funds futures are now pricing approximately a 25% probability of any rate cut by year-end — sharply lower than the two-to-three cuts markets were pricing in January. In effect, the bond market has already tightened conditions considerably; the Fed just hasn't had to do the work.</w:t>
      </w:r>
    </w:p>
    <w:p>
      <w:pPr>
        <w:spacing w:after="60" w:before="60"/>
      </w:pPr>
      <w:r>
        <w:rPr>
          <w:rFonts w:ascii="Arial" w:cs="Arial" w:eastAsia="Arial" w:hAnsi="Arial"/>
          <w:b w:val="false"/>
          <w:bCs w:val="false"/>
          <w:color w:val="333333"/>
          <w:sz w:val="22"/>
          <w:szCs w:val="22"/>
        </w:rPr>
        <w:t xml:space="preserve">Market implication: Every basis point of upside inflation surprise delays easing and pressures equity multiples. The 10-year yield at 4.31% with a 50 bps spread over the 2-year represents a meaningful shift from the inverted curve of 2024 — the curve has re-steepened, but for the wrong reasons. Watch the PPI print Tuesday morning (8:30 AM ET) for the first read on whether upstream oil prices have already flowed through to producer costs.</w:t>
      </w:r>
    </w:p>
    <w:p>
      <w:pPr>
        <w:spacing w:after="80" w:before="240"/>
      </w:pPr>
      <w:r>
        <w:rPr>
          <w:rFonts w:ascii="Arial" w:cs="Arial" w:eastAsia="Arial" w:hAnsi="Arial"/>
          <w:b/>
          <w:bCs/>
          <w:color w:val="1B3A6B"/>
          <w:sz w:val="26"/>
          <w:szCs w:val="26"/>
        </w:rPr>
        <w:t xml:space="preserve">STORY 4: Oil Shock Anatomy — Which Sectors Win, Which Bleed</w:t>
      </w:r>
    </w:p>
    <w:p>
      <w:pPr>
        <w:spacing w:after="60" w:before="60"/>
      </w:pPr>
      <w:r>
        <w:rPr>
          <w:rFonts w:ascii="Arial" w:cs="Arial" w:eastAsia="Arial" w:hAnsi="Arial"/>
          <w:b w:val="false"/>
          <w:bCs w:val="false"/>
          <w:color w:val="333333"/>
          <w:sz w:val="22"/>
          <w:szCs w:val="22"/>
        </w:rPr>
        <w:t xml:space="preserve">With WTI above $104 and Brent north of $102, markets are stress-testing an energy shock scenario that most sector models hadn't fully priced. The winners are straightforward: integrated majors (Exxon, Chevron, Shell), oilfield services (SLB, HAL), and energy infrastructure. Goldman Sachs reiterated its Buy rating on XOM with a $135 target, citing the Permian Basin's ability to partially offset Hormuz supply disruptions with domestic production.</w:t>
      </w:r>
    </w:p>
    <w:p>
      <w:pPr>
        <w:spacing w:after="60" w:before="60"/>
      </w:pPr>
      <w:r>
        <w:rPr>
          <w:rFonts w:ascii="Arial" w:cs="Arial" w:eastAsia="Arial" w:hAnsi="Arial"/>
          <w:b w:val="false"/>
          <w:bCs w:val="false"/>
          <w:color w:val="333333"/>
          <w:sz w:val="22"/>
          <w:szCs w:val="22"/>
        </w:rPr>
        <w:t xml:space="preserve">The losers are more diffuse but arguably more impactful. Airlines face a brutal structural hit: jet fuel now comprises nearly 30% of total operating costs, and with most carriers having hedged only 40-50% of their Q2 exposure, the remainder will be marked to market at prevailing spot prices. United Airlines was downgraded to Neutral by Bank of America Monday morning. Cruise lines, trucking companies, and chemical manufacturers face analogous pressures. Perhaps most underappreciated: the second-order effect on consumer spending. Each $10 per barrel increase in oil roughly equates to $100-120 billion in additional annual U.S. fuel costs — a meaningful drag on the One Big Beautiful Bill Act's $127 billion estimated consumer stimulus.</w:t>
      </w:r>
    </w:p>
    <w:p>
      <w:pPr>
        <w:spacing w:after="60" w:before="60"/>
      </w:pPr>
      <w:r>
        <w:rPr>
          <w:rFonts w:ascii="Arial" w:cs="Arial" w:eastAsia="Arial" w:hAnsi="Arial"/>
          <w:b w:val="false"/>
          <w:bCs w:val="false"/>
          <w:color w:val="333333"/>
          <w:sz w:val="22"/>
          <w:szCs w:val="22"/>
        </w:rPr>
        <w:t xml:space="preserve">Market implication: Energy sector weighting in the S&amp;P 500 is likely to rise as the index reweights to reflect the new reality. Sector rotation is underway: money is moving from Consumer Discretionary and Industrials toward Energy and — somewhat paradoxically — into large-cap banks, where trading revenues benefit from volatility.</w:t>
      </w:r>
    </w:p>
    <w:p>
      <w:pPr>
        <w:spacing w:after="80" w:before="240"/>
      </w:pPr>
      <w:r>
        <w:rPr>
          <w:rFonts w:ascii="Arial" w:cs="Arial" w:eastAsia="Arial" w:hAnsi="Arial"/>
          <w:b/>
          <w:bCs/>
          <w:color w:val="1B3A6B"/>
          <w:sz w:val="26"/>
          <w:szCs w:val="26"/>
        </w:rPr>
        <w:t xml:space="preserve">STORY 5: Tariff Pressure + Energy Shock = Stagflation Warning Flags</w:t>
      </w:r>
    </w:p>
    <w:p>
      <w:pPr>
        <w:spacing w:after="60" w:before="60"/>
      </w:pPr>
      <w:r>
        <w:rPr>
          <w:rFonts w:ascii="Arial" w:cs="Arial" w:eastAsia="Arial" w:hAnsi="Arial"/>
          <w:b w:val="false"/>
          <w:bCs w:val="false"/>
          <w:color w:val="333333"/>
          <w:sz w:val="22"/>
          <w:szCs w:val="22"/>
        </w:rPr>
        <w:t xml:space="preserve">The confluence of sustained tariff-driven goods inflation and now an oil-supply shock is producing what several strategists are beginning to call a "stagflation fingerprint" — the toxic combination of rising prices and slowing growth that characterized the 1970s and early 1980s. While the current situation lacks the breadth of those episodes, the dynamics are concerning: CPI above 3%, Fed on hold, oil above $100, yield curve steepening, and corporate guidance likely to deteriorate.</w:t>
      </w:r>
    </w:p>
    <w:p>
      <w:pPr>
        <w:spacing w:after="60" w:before="60"/>
      </w:pPr>
      <w:r>
        <w:rPr>
          <w:rFonts w:ascii="Arial" w:cs="Arial" w:eastAsia="Arial" w:hAnsi="Arial"/>
          <w:b w:val="false"/>
          <w:bCs w:val="false"/>
          <w:color w:val="333333"/>
          <w:sz w:val="22"/>
          <w:szCs w:val="22"/>
        </w:rPr>
        <w:t xml:space="preserve">The macro backdrop entering Q1 earnings season was already complicated by tariff uncertainty. The One Big Beautiful Bill, while providing a fiscal boost, also extended deficits at a moment when the Treasury market is demanding higher term premiums. The 30-year yield pushing toward 4.65% is a warning signal — bond vigilantes are reasserting themselves. The dollar (DXY ~105.2) is holding firm, but that itself creates a different set of pressures for multinational earnings via FX translation headwinds.</w:t>
      </w:r>
    </w:p>
    <w:p>
      <w:pPr>
        <w:spacing w:after="60" w:before="60"/>
      </w:pPr>
      <w:r>
        <w:rPr>
          <w:rFonts w:ascii="Arial" w:cs="Arial" w:eastAsia="Arial" w:hAnsi="Arial"/>
          <w:b w:val="false"/>
          <w:bCs w:val="false"/>
          <w:color w:val="333333"/>
          <w:sz w:val="22"/>
          <w:szCs w:val="22"/>
        </w:rPr>
        <w:t xml:space="preserve">Market implication: Bulls need earnings to prove that corporate America is resilient enough to offset macro headwinds. The Q1 reporting season that kicks off this week is, in that context, genuinely consequential — not just for individual stocks, but for the market's entire valuation thesis. What to watch: Any downward revision to full-year EPS guidance from Q1 reporters.</w:t>
      </w:r>
    </w:p>
    <w:p>
      <w:pPr>
        <w:spacing w:after="80" w:before="240"/>
      </w:pPr>
      <w:r>
        <w:rPr>
          <w:rFonts w:ascii="Arial" w:cs="Arial" w:eastAsia="Arial" w:hAnsi="Arial"/>
          <w:b/>
          <w:bCs/>
          <w:color w:val="1B3A6B"/>
          <w:sz w:val="26"/>
          <w:szCs w:val="26"/>
        </w:rPr>
        <w:t xml:space="preserve">STORY 6: Gold Pulls Back Despite Geopolitical Chaos — What the Dip Tells Us</w:t>
      </w:r>
    </w:p>
    <w:p>
      <w:pPr>
        <w:spacing w:after="60" w:before="60"/>
      </w:pPr>
      <w:r>
        <w:rPr>
          <w:rFonts w:ascii="Arial" w:cs="Arial" w:eastAsia="Arial" w:hAnsi="Arial"/>
          <w:b w:val="false"/>
          <w:bCs w:val="false"/>
          <w:color w:val="333333"/>
          <w:sz w:val="22"/>
          <w:szCs w:val="22"/>
        </w:rPr>
        <w:t xml:space="preserve">Gold fell to $4,723.63 on Monday, down 0.59%, despite the Strait of Hormuz blockade dominating headlines. This counterintuitive move is deeply instructive. The metal, which had surged more than 70% over the past 18 months driven by central bank buying, inflation hedging, and safe-haven flows, is now running into a specific headwind: if the oil shock delays rate cuts (or triggers hikes), real yields rise — and real yields are gold's kryptonite. A 10-year real yield moving back above 2.0% would historically justify a meaningful correction in bullion.</w:t>
      </w:r>
    </w:p>
    <w:p>
      <w:pPr>
        <w:spacing w:after="60" w:before="60"/>
      </w:pPr>
      <w:r>
        <w:rPr>
          <w:rFonts w:ascii="Arial" w:cs="Arial" w:eastAsia="Arial" w:hAnsi="Arial"/>
          <w:b w:val="false"/>
          <w:bCs w:val="false"/>
          <w:color w:val="333333"/>
          <w:sz w:val="22"/>
          <w:szCs w:val="22"/>
        </w:rPr>
        <w:t xml:space="preserve">Gold is also technically extended at these levels; State Street's monthly gold monitor notes the metal remains well above its 200-day moving average and most institutional valuation models. The Goldman Sachs year-end target of $4,900/oz and Bank of America's $5,000 forecast remain intact as directional calls, but the near-term path is murkier than it was two weeks ago. Notably, gold has underperformed oil by roughly 10-15 percentage points since the Iran conflict began — suggesting that markets see this as an energy shock first and a geopolitical/inflation shock second.</w:t>
      </w:r>
    </w:p>
    <w:p>
      <w:pPr>
        <w:spacing w:after="60" w:before="60"/>
      </w:pPr>
      <w:r>
        <w:rPr>
          <w:rFonts w:ascii="Arial" w:cs="Arial" w:eastAsia="Arial" w:hAnsi="Arial"/>
          <w:b w:val="false"/>
          <w:bCs w:val="false"/>
          <w:color w:val="333333"/>
          <w:sz w:val="22"/>
          <w:szCs w:val="22"/>
        </w:rPr>
        <w:t xml:space="preserve">Market implication: Gold's dip may be a tactical entry point if the Iran situation escalates further, but it's also a signal that the market is recalibrating the Fed path higher. Watch TIPS breakevens: if 10-year inflation expectations move above 2.8%, gold likely rebounds sharply.</w:t>
      </w:r>
    </w:p>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4. MACRO &amp; FED WATCH</w:t>
      </w:r>
    </w:p>
    <w:p>
      <w:pPr>
        <w:spacing w:after="60" w:before="60"/>
      </w:pPr>
      <w:r>
        <w:rPr>
          <w:rFonts w:ascii="Arial" w:cs="Arial" w:eastAsia="Arial" w:hAnsi="Arial"/>
          <w:b w:val="false"/>
          <w:bCs w:val="false"/>
          <w:color w:val="333333"/>
          <w:sz w:val="22"/>
          <w:szCs w:val="22"/>
        </w:rPr>
        <w:t xml:space="preserve">The Federal Reserve enters this week with its hands increasingly tied. The March FOMC minutes — released last Wednesday, April 9 — revealed a committee acutely aware of the competing risks: an economy still growing modestly, tariff-driven goods inflation persisting longer than expected, and an oil shock potentially adding another 30-50 basis points to headline CPI by mid-year. The minutes' most striking phrase, flagged by The Motley Fool as a possible harbinger: "the pace and timing at which [tariff] effects would fade had become more uncertain since the time of the January meeting."</w:t>
      </w:r>
    </w:p>
    <w:p>
      <w:pPr>
        <w:spacing w:after="60" w:before="60"/>
      </w:pPr>
      <w:r>
        <w:rPr>
          <w:rFonts w:ascii="Arial" w:cs="Arial" w:eastAsia="Arial" w:hAnsi="Arial"/>
          <w:b w:val="false"/>
          <w:bCs w:val="false"/>
          <w:color w:val="333333"/>
          <w:sz w:val="22"/>
          <w:szCs w:val="22"/>
        </w:rPr>
        <w:t xml:space="preserve">The Fed's own dot plot (March) still pencils in one 25 bps cut for 2026 — most likely in Q4 — with one additional cut in 2027. But markets have moved sharply away from that view: Fed funds futures now price only approximately a 25% probability of any cut by year-end, down from nearly 80% probability in January. The effective tightening through higher long rates has done some of the Fed's work for it, but at the cost of financial conditions volatility.</w:t>
      </w:r>
    </w:p>
    <w:p>
      <w:pPr>
        <w:spacing w:after="60" w:before="60"/>
      </w:pPr>
      <w:r>
        <w:rPr>
          <w:rFonts w:ascii="Arial" w:cs="Arial" w:eastAsia="Arial" w:hAnsi="Arial"/>
          <w:b w:val="false"/>
          <w:bCs w:val="false"/>
          <w:color w:val="333333"/>
          <w:sz w:val="22"/>
          <w:szCs w:val="22"/>
        </w:rPr>
        <w:t xml:space="preserve">The yield curve shape tells an important story. The 10-year/2-year spread has widened to approximately +50 bps — a bear steepening dynamic driven by the back end rising faster than the front. This is the bond market pricing in persistent inflation rather than growth optimism; historically, bear steepeners are associated with below-average equity returns over the following 12 months. No Fed speakers are currently scheduled for Monday. Governor Christopher Waller and President Austan Goolsbee are both expected to speak later this week, with markets watching for any acknowledgment of the oil shock's implications for the rate path.</w:t>
      </w:r>
    </w:p>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5. ECONOMIC CALENDAR — WEEK OF APRIL 13</w:t>
      </w:r>
    </w:p>
    <w:p>
      <w:pPr>
        <w:spacing w:after="60" w:before="60"/>
      </w:pPr>
      <w:r>
        <w:rPr>
          <w:rFonts w:ascii="Arial" w:cs="Arial" w:eastAsia="Arial" w:hAnsi="Arial"/>
          <w:b w:val="false"/>
          <w:bCs w:val="false"/>
          <w:color w:val="333333"/>
          <w:sz w:val="22"/>
          <w:szCs w:val="22"/>
        </w:rPr>
        <w:t xml:space="preserve">All times Eastern. Consensus estimates from Bloomberg/Reuters where available.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000"/>
        <w:gridCol w:w="376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TIME (ET)</w:t>
            </w:r>
          </w:p>
        </w:tc>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INDICATOR</w:t>
            </w:r>
          </w:p>
        </w:tc>
        <w:tc>
          <w:tcPr>
            <w:tcW w:type="dxa" w:w="1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w:t>
            </w:r>
          </w:p>
        </w:tc>
        <w:tc>
          <w:tcPr>
            <w:tcW w:type="dxa" w:w="1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EST.</w:t>
            </w:r>
          </w:p>
        </w:tc>
        <w:tc>
          <w:tcPr>
            <w:tcW w:type="dxa" w:w="37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WHY IT MATTERS</w:t>
            </w:r>
          </w:p>
        </w:tc>
      </w:tr>
      <w:tr>
        <w:tc>
          <w:tcPr>
            <w:gridSpan w:val="5"/>
            <w:tcBorders>
              <w:top w:val="single" w:color="CCCCCC" w:sz="1"/>
              <w:left w:val="single" w:color="CCCCCC" w:sz="1"/>
              <w:bottom w:val="single" w:color="CCCCCC" w:sz="1"/>
              <w:right w:val="single" w:color="CCCCCC" w:sz="1"/>
            </w:tcBorders>
            <w:shd w:fill="2E5A9C" w:val="clear"/>
            <w:tcMar>
              <w:top w:type="dxa" w:w="60"/>
              <w:left w:type="dxa" w:w="100"/>
              <w:bottom w:type="dxa" w:w="60"/>
              <w:right w:type="dxa" w:w="100"/>
            </w:tcMar>
          </w:tcPr>
          <w:p>
            <w:r>
              <w:rPr>
                <w:rFonts w:ascii="Arial" w:cs="Arial" w:eastAsia="Arial" w:hAnsi="Arial"/>
                <w:b/>
                <w:bCs/>
                <w:color w:val="FFFFFF"/>
                <w:sz w:val="19"/>
                <w:szCs w:val="19"/>
              </w:rPr>
              <w:t xml:space="preserve">MONDAY, APRIL 13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10:00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Existing Home Sales (Mar)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4.26M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4.15M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Housing activity gauge; tariff uncertainty may weigh on demand</w:t>
            </w:r>
          </w:p>
        </w:tc>
      </w:tr>
      <w:tr>
        <w:tc>
          <w:tcPr>
            <w:gridSpan w:val="5"/>
            <w:tcBorders>
              <w:top w:val="single" w:color="CCCCCC" w:sz="1"/>
              <w:left w:val="single" w:color="CCCCCC" w:sz="1"/>
              <w:bottom w:val="single" w:color="CCCCCC" w:sz="1"/>
              <w:right w:val="single" w:color="CCCCCC" w:sz="1"/>
            </w:tcBorders>
            <w:shd w:fill="2E5A9C" w:val="clear"/>
            <w:tcMar>
              <w:top w:type="dxa" w:w="60"/>
              <w:left w:type="dxa" w:w="100"/>
              <w:bottom w:type="dxa" w:w="60"/>
              <w:right w:type="dxa" w:w="100"/>
            </w:tcMar>
          </w:tcPr>
          <w:p>
            <w:r>
              <w:rPr>
                <w:rFonts w:ascii="Arial" w:cs="Arial" w:eastAsia="Arial" w:hAnsi="Arial"/>
                <w:b/>
                <w:bCs/>
                <w:color w:val="FFFFFF"/>
                <w:sz w:val="19"/>
                <w:szCs w:val="19"/>
              </w:rPr>
              <w:t xml:space="preserve">TUESDAY, APRIL 14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8:30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Producer Price Index (Mar)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+0.7% MoM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Upstream inflation signal; tariffs may push goods PPI higher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8:30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PPI ex-Food &amp; Energy (Core, Mar)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+0.3% MoM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Cleaner read on underlying wholesale price trends</w:t>
            </w:r>
          </w:p>
        </w:tc>
      </w:tr>
      <w:tr>
        <w:tc>
          <w:tcPr>
            <w:gridSpan w:val="5"/>
            <w:tcBorders>
              <w:top w:val="single" w:color="CCCCCC" w:sz="1"/>
              <w:left w:val="single" w:color="CCCCCC" w:sz="1"/>
              <w:bottom w:val="single" w:color="CCCCCC" w:sz="1"/>
              <w:right w:val="single" w:color="CCCCCC" w:sz="1"/>
            </w:tcBorders>
            <w:shd w:fill="2E5A9C" w:val="clear"/>
            <w:tcMar>
              <w:top w:type="dxa" w:w="60"/>
              <w:left w:type="dxa" w:w="100"/>
              <w:bottom w:type="dxa" w:w="60"/>
              <w:right w:type="dxa" w:w="100"/>
            </w:tcMar>
          </w:tcPr>
          <w:p>
            <w:r>
              <w:rPr>
                <w:rFonts w:ascii="Arial" w:cs="Arial" w:eastAsia="Arial" w:hAnsi="Arial"/>
                <w:b/>
                <w:bCs/>
                <w:color w:val="FFFFFF"/>
                <w:sz w:val="19"/>
                <w:szCs w:val="19"/>
              </w:rPr>
              <w:t xml:space="preserve">WEDNESDAY, APRIL 15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8:30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Retail Sales (Mar)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Consumer spending health; key input for GDP tracking estimates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9:15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Industrial Production (Mar)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Manufacturing output; any oil-related production disruptions here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10:00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NAHB Housing Market Index (Apr)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39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38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Builder sentiment; high rates and energy costs a headwind</w:t>
            </w:r>
          </w:p>
        </w:tc>
      </w:tr>
      <w:tr>
        <w:tc>
          <w:tcPr>
            <w:gridSpan w:val="5"/>
            <w:tcBorders>
              <w:top w:val="single" w:color="CCCCCC" w:sz="1"/>
              <w:left w:val="single" w:color="CCCCCC" w:sz="1"/>
              <w:bottom w:val="single" w:color="CCCCCC" w:sz="1"/>
              <w:right w:val="single" w:color="CCCCCC" w:sz="1"/>
            </w:tcBorders>
            <w:shd w:fill="2E5A9C" w:val="clear"/>
            <w:tcMar>
              <w:top w:type="dxa" w:w="60"/>
              <w:left w:type="dxa" w:w="100"/>
              <w:bottom w:type="dxa" w:w="60"/>
              <w:right w:type="dxa" w:w="100"/>
            </w:tcMar>
          </w:tcPr>
          <w:p>
            <w:r>
              <w:rPr>
                <w:rFonts w:ascii="Arial" w:cs="Arial" w:eastAsia="Arial" w:hAnsi="Arial"/>
                <w:b/>
                <w:bCs/>
                <w:color w:val="FFFFFF"/>
                <w:sz w:val="19"/>
                <w:szCs w:val="19"/>
              </w:rPr>
              <w:t xml:space="preserve">THURSDAY, APRIL 17</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8:30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Initial Jobless Claims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223K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220K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Weekly labor pulse; resilience here keeps Fed on hold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8:30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Housing Starts (Mar)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1.49M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1.47M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Construction activity; lumber and labor costs the x-factor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8:30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Building Permits (Mar)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1.46M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1.44M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Forward-looking housing signal; watch for permit pullbacks</w:t>
            </w:r>
          </w:p>
        </w:tc>
      </w:tr>
    </w:tbl>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6. EARNINGS WATCH</w:t>
      </w:r>
    </w:p>
    <w:p>
      <w:pPr>
        <w:spacing w:after="60" w:before="60"/>
      </w:pPr>
      <w:r>
        <w:rPr>
          <w:rFonts w:ascii="Arial" w:cs="Arial" w:eastAsia="Arial" w:hAnsi="Arial"/>
          <w:b w:val="false"/>
          <w:bCs w:val="false"/>
          <w:color w:val="333333"/>
          <w:sz w:val="22"/>
          <w:szCs w:val="22"/>
        </w:rPr>
        <w:t xml:space="preserve">Q1 2026 earnings season kicks off in earnest this week, with the financial sector taking center stage. Goldman Sachs already reported Monday pre-market with blowout results (see Top Stories), setting a high bar for the rest of the major banks.</w:t>
      </w:r>
    </w:p>
    <w:p>
      <w:pPr>
        <w:spacing w:after="80" w:before="240"/>
      </w:pPr>
      <w:r>
        <w:rPr>
          <w:rFonts w:ascii="Arial" w:cs="Arial" w:eastAsia="Arial" w:hAnsi="Arial"/>
          <w:b/>
          <w:bCs/>
          <w:color w:val="1B3A6B"/>
          <w:sz w:val="26"/>
          <w:szCs w:val="26"/>
        </w:rPr>
        <w:t xml:space="preserve">Goldman Sachs (GS) — Already Reported</w:t>
      </w:r>
    </w:p>
    <w:p>
      <w:pPr>
        <w:spacing w:after="60" w:before="60"/>
      </w:pPr>
      <w:r>
        <w:rPr>
          <w:rFonts w:ascii="Arial" w:cs="Arial" w:eastAsia="Arial" w:hAnsi="Arial"/>
          <w:b w:val="false"/>
          <w:bCs w:val="false"/>
          <w:color w:val="333333"/>
          <w:sz w:val="22"/>
          <w:szCs w:val="22"/>
        </w:rPr>
        <w:t xml:space="preserve">Actual EPS: $17.55 vs. consensus ~$14.50. Revenue: $17.23B (+14% YoY). Investment banking fees up 48%. Record equities revenues. ROE: 19.8%. Capital return: $6.38B. The print is a genuine beat on every major line, driven by IB deal revival and trading desk performance. GS shares were modestly lower in premarket on the broader geopolitical selloff — a sign that even excellent earnings can be overwhelmed by macro headwinds.</w:t>
      </w:r>
    </w:p>
    <w:p>
      <w:pPr>
        <w:spacing w:after="80" w:before="240"/>
      </w:pPr>
      <w:r>
        <w:rPr>
          <w:rFonts w:ascii="Arial" w:cs="Arial" w:eastAsia="Arial" w:hAnsi="Arial"/>
          <w:b/>
          <w:bCs/>
          <w:color w:val="1B3A6B"/>
          <w:sz w:val="26"/>
          <w:szCs w:val="26"/>
        </w:rPr>
        <w:t xml:space="preserve">Tuesday, April 14 — The Big Day</w:t>
      </w:r>
    </w:p>
    <w:p>
      <w:pPr>
        <w:spacing w:after="60" w:before="60"/>
      </w:pPr>
      <w:r>
        <w:rPr>
          <w:rFonts w:ascii="Arial" w:cs="Arial" w:eastAsia="Arial" w:hAnsi="Arial"/>
          <w:b w:val="false"/>
          <w:bCs w:val="false"/>
          <w:color w:val="333333"/>
          <w:sz w:val="22"/>
          <w:szCs w:val="22"/>
        </w:rPr>
        <w:t xml:space="preserve">JPMorgan Chase (JPM): Consensus EPS $5.41, revenue $48.2B (+6.4% YoY). Watch: Full-year NII guidance, IB fee growth, consumer credit quality in a higher-rate environment. JPM is the most important single earnings report of the quarter — its NII guidance effectively sets the tone for rate expectations across the banking sector.</w:t>
      </w:r>
    </w:p>
    <w:p>
      <w:pPr>
        <w:spacing w:after="60" w:before="60"/>
      </w:pPr>
      <w:r>
        <w:rPr>
          <w:rFonts w:ascii="Arial" w:cs="Arial" w:eastAsia="Arial" w:hAnsi="Arial"/>
          <w:b w:val="false"/>
          <w:bCs w:val="false"/>
          <w:color w:val="333333"/>
          <w:sz w:val="22"/>
          <w:szCs w:val="22"/>
        </w:rPr>
        <w:t xml:space="preserve">Citigroup (C): Consensus EPS $2.63, revenue $23.6B (+9% YoY). Watch: Progress on Jane Fraser's transformation plan, international markets revenue, credit loss provisions. Citi trades at a discount to book — any evidence of accelerating transformation could re-rate the stock.</w:t>
      </w:r>
    </w:p>
    <w:p>
      <w:pPr>
        <w:spacing w:after="60" w:before="60"/>
      </w:pPr>
      <w:r>
        <w:rPr>
          <w:rFonts w:ascii="Arial" w:cs="Arial" w:eastAsia="Arial" w:hAnsi="Arial"/>
          <w:b w:val="false"/>
          <w:bCs w:val="false"/>
          <w:color w:val="333333"/>
          <w:sz w:val="22"/>
          <w:szCs w:val="22"/>
        </w:rPr>
        <w:t xml:space="preserve">Wells Fargo (WFC): Consensus EPS $1.58, revenue $21.79B (+8% YoY). Watch: Mortgage origination trends (particularly sensitive to the rate environment), any update on the Federal Reserve's asset cap — removal has been a catalyst thesis for the stock.</w:t>
      </w:r>
    </w:p>
    <w:p>
      <w:pPr>
        <w:spacing w:after="60" w:before="60"/>
      </w:pPr>
      <w:r>
        <w:rPr>
          <w:rFonts w:ascii="Arial" w:cs="Arial" w:eastAsia="Arial" w:hAnsi="Arial"/>
          <w:b w:val="false"/>
          <w:bCs w:val="false"/>
          <w:color w:val="333333"/>
          <w:sz w:val="22"/>
          <w:szCs w:val="22"/>
        </w:rPr>
        <w:t xml:space="preserve">BlackRock (BLK): Also reports Tuesday. Watch: AUM flows (particularly into fixed income ETFs), iShares market share, fee rate compression. BlackRock's results are a proxy for the health of the ETF industry.</w:t>
      </w:r>
    </w:p>
    <w:p>
      <w:pPr>
        <w:spacing w:after="80" w:before="240"/>
      </w:pPr>
      <w:r>
        <w:rPr>
          <w:rFonts w:ascii="Arial" w:cs="Arial" w:eastAsia="Arial" w:hAnsi="Arial"/>
          <w:b/>
          <w:bCs/>
          <w:color w:val="1B3A6B"/>
          <w:sz w:val="26"/>
          <w:szCs w:val="26"/>
        </w:rPr>
        <w:t xml:space="preserve">Wednesday, April 15</w:t>
      </w:r>
    </w:p>
    <w:p>
      <w:pPr>
        <w:spacing w:after="60" w:before="60"/>
      </w:pPr>
      <w:r>
        <w:rPr>
          <w:rFonts w:ascii="Arial" w:cs="Arial" w:eastAsia="Arial" w:hAnsi="Arial"/>
          <w:b w:val="false"/>
          <w:bCs w:val="false"/>
          <w:color w:val="333333"/>
          <w:sz w:val="22"/>
          <w:szCs w:val="22"/>
        </w:rPr>
        <w:t xml:space="preserve">Bank of America (BAC): Consensus EPS $1.01 (+12.2% YoY). Bank of America has the most rate-sensitive deposit franchise among large banks; rising long rates are a double-edged sword — beneficial for NII but potentially compressing unrealized bond portfolio values. Morgan Stanley (MS): Reporting alongside BAC; watch wealth management fee revenues, which have benefited from record assets under management.</w:t>
      </w:r>
    </w:p>
    <w:p>
      <w:pPr>
        <w:spacing w:after="60" w:before="60"/>
      </w:pPr>
      <w:r>
        <w:rPr>
          <w:rFonts w:ascii="Arial" w:cs="Arial" w:eastAsia="Arial" w:hAnsi="Arial"/>
          <w:b w:val="false"/>
          <w:bCs w:val="false"/>
          <w:color w:val="333333"/>
          <w:sz w:val="22"/>
          <w:szCs w:val="22"/>
        </w:rPr>
        <w:t xml:space="preserve">Earnings Season Context: S&amp;P 500 Q1 2026 earnings growth is currently estimated at approximately 8-10% YoY. The energy sector is expected to be the standout outperformer; Consumer Discretionary and Industrials face the most guidance risk given oil prices and tariff uncertainty. Options markets are implying roughly 3-4% moves around major bank earnings — elevated relative to historical norms, reflecting genuine macro uncertainty.</w:t>
      </w:r>
    </w:p>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7. SECTOR SPOTLIGHT</w:t>
      </w:r>
    </w:p>
    <w:p>
      <w:pPr>
        <w:spacing w:after="80" w:before="240"/>
      </w:pPr>
      <w:r>
        <w:rPr>
          <w:rFonts w:ascii="Arial" w:cs="Arial" w:eastAsia="Arial" w:hAnsi="Arial"/>
          <w:b/>
          <w:bCs/>
          <w:color w:val="1B3A6B"/>
          <w:sz w:val="26"/>
          <w:szCs w:val="26"/>
        </w:rPr>
        <w:t xml:space="preserve">Energy: The War Premium Reshapes the Sector Landscape</w:t>
      </w:r>
    </w:p>
    <w:p>
      <w:pPr>
        <w:spacing w:after="60" w:before="60"/>
      </w:pPr>
      <w:r>
        <w:rPr>
          <w:rFonts w:ascii="Arial" w:cs="Arial" w:eastAsia="Arial" w:hAnsi="Arial"/>
          <w:b w:val="false"/>
          <w:bCs w:val="false"/>
          <w:color w:val="333333"/>
          <w:sz w:val="22"/>
          <w:szCs w:val="22"/>
        </w:rPr>
        <w:t xml:space="preserve">Energy is the undeniable sector of the moment. With WTI above $104, the Energy sector ETF (XLE) is one of the few bright spots in today's early trading, up approximately 2.5-3%. Integrated majors — Exxon Mobil, Chevron, ConocoPhillips — are posting gains, while oilfield services names like SLB and Halliburton are seeing increased interest as the market prices in sustained elevated activity in non-Hormuz basins (Permian, North Sea, Gulf of Mexico). The rotation into energy is structural, not speculative: institutional investors are increasing energy weightings as a natural hedge against the inflation shock embedded in $100+ oil.</w:t>
      </w:r>
    </w:p>
    <w:p>
      <w:pPr>
        <w:spacing w:after="80" w:before="240"/>
      </w:pPr>
      <w:r>
        <w:rPr>
          <w:rFonts w:ascii="Arial" w:cs="Arial" w:eastAsia="Arial" w:hAnsi="Arial"/>
          <w:b/>
          <w:bCs/>
          <w:color w:val="1B3A6B"/>
          <w:sz w:val="26"/>
          <w:szCs w:val="26"/>
        </w:rPr>
        <w:t xml:space="preserve">Financials: A Tale of Two Franchises</w:t>
      </w:r>
    </w:p>
    <w:p>
      <w:pPr>
        <w:spacing w:after="60" w:before="60"/>
      </w:pPr>
      <w:r>
        <w:rPr>
          <w:rFonts w:ascii="Arial" w:cs="Arial" w:eastAsia="Arial" w:hAnsi="Arial"/>
          <w:b w:val="false"/>
          <w:bCs w:val="false"/>
          <w:color w:val="333333"/>
          <w:sz w:val="22"/>
          <w:szCs w:val="22"/>
        </w:rPr>
        <w:t xml:space="preserve">The financial sector is splitting in real time between capital markets-heavy firms (Goldman, Morgan Stanley) and traditional banks (WFC, BAC). The Goldman blowout reinforces the thesis that deal-making and trading volatility are powerful revenue engines, even as traditional NII businesses face uncertainty. The key question this week: can JPMorgan's universal bank model — the best of both worlds — deliver results that justify its premium valuation? Any disappointment on NII guidance from Dimon &amp; Co. would send rates-sensitive financials broadly lower.</w:t>
      </w:r>
    </w:p>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8. ANALYST CALLS &amp; UPGRADES/DOWNGRADES</w:t>
      </w:r>
    </w:p>
    <w:p>
      <w:pPr>
        <w:spacing w:after="60" w:before="60"/>
      </w:pPr>
      <w:r>
        <w:rPr>
          <w:rFonts w:ascii="Arial" w:cs="Arial" w:eastAsia="Arial" w:hAnsi="Arial"/>
          <w:b w:val="false"/>
          <w:bCs w:val="false"/>
          <w:color w:val="333333"/>
          <w:sz w:val="22"/>
          <w:szCs w:val="22"/>
        </w:rPr>
        <w:t xml:space="preserve">Notable analyst actions from the past 24-48 hours: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200"/>
        <w:gridCol w:w="37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FIRM</w:t>
            </w:r>
          </w:p>
        </w:tc>
        <w:tc>
          <w:tcPr>
            <w:tcW w:type="dxa" w:w="1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TICKER</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NEW PT</w:t>
            </w:r>
          </w:p>
        </w:tc>
        <w:tc>
          <w:tcPr>
            <w:tcW w:type="dxa" w:w="37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RATIONALE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JPMorgan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MRK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7340"/>
                <w:sz w:val="19"/>
                <w:szCs w:val="19"/>
              </w:rPr>
              <w:t xml:space="preserve">Maintains 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$135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Vaccine pipeline intact; Keytruda durability underappreciated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Barclays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ALGN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7340"/>
                <w:sz w:val="19"/>
                <w:szCs w:val="19"/>
              </w:rPr>
              <w:t xml:space="preserve">Upgrade to 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$290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Valuation reset; recovery in clear aligner demand expected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Morgan Stanley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LMND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7340"/>
                <w:sz w:val="19"/>
                <w:szCs w:val="19"/>
              </w:rPr>
              <w:t xml:space="preserve">Upgrade to 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$42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Tesla partnership marks new distribution channel inflection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HSBC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LLY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9"/>
                <w:szCs w:val="19"/>
              </w:rPr>
              <w:t xml:space="preserve">Downgrade to Hold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$780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Obesity drug price compression; GLP-1 competition intensifying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Argus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DKNG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9"/>
                <w:szCs w:val="19"/>
              </w:rPr>
              <w:t xml:space="preserve">Downgrade to Hold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Rising state tax rates, customer acquisition costs unsustainable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Goldman Sachs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XOM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7340"/>
                <w:sz w:val="19"/>
                <w:szCs w:val="19"/>
              </w:rPr>
              <w:t xml:space="preserve">Buy reiterated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$135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Hormuz premium; Permian output a hedge against supply disruption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Bank of America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UAL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9"/>
                <w:szCs w:val="19"/>
              </w:rPr>
              <w:t xml:space="preserve">Downgrade to Neutral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$62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Jet fuel cost spike from $104 oil wipes out margin expansion</w:t>
            </w:r>
          </w:p>
        </w:tc>
      </w:tr>
    </w:tbl>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9. STOCKS TO WATCH</w:t>
      </w:r>
    </w:p>
    <w:p>
      <w:pPr>
        <w:spacing w:after="80" w:before="240"/>
      </w:pPr>
      <w:r>
        <w:rPr>
          <w:rFonts w:ascii="Arial" w:cs="Arial" w:eastAsia="Arial" w:hAnsi="Arial"/>
          <w:b/>
          <w:bCs/>
          <w:color w:val="1B3A6B"/>
          <w:sz w:val="26"/>
          <w:szCs w:val="26"/>
        </w:rPr>
        <w:t xml:space="preserve">Exxon Mobil (XOM) — The Hormuz Beneficiary</w:t>
      </w:r>
    </w:p>
    <w:p>
      <w:pPr>
        <w:spacing w:after="60" w:before="60"/>
      </w:pPr>
      <w:r>
        <w:rPr>
          <w:rFonts w:ascii="Arial" w:cs="Arial" w:eastAsia="Arial" w:hAnsi="Arial"/>
          <w:b w:val="false"/>
          <w:bCs w:val="false"/>
          <w:color w:val="333333"/>
          <w:sz w:val="22"/>
          <w:szCs w:val="22"/>
        </w:rPr>
        <w:t xml:space="preserve">With WTI above $104, XOM is the cleanest direct play on the oil shock. The company's Permian Basin operations — with production capacity of approximately 1.2 million barrels per day — position it as a potential beneficiary of any rerouting away from Hormuz-dependent supply chains. Goldman's Buy reiteration with a $135 target is timely. Key levels: $120 support, $135 Goldman target, $140 as a breakout level last touched in 2023. Options market is implying a 2-3% move this week. Watch for any guidance upgrade at Tuesday's analyst day.</w:t>
      </w:r>
    </w:p>
    <w:p>
      <w:pPr>
        <w:spacing w:after="80" w:before="240"/>
      </w:pPr>
      <w:r>
        <w:rPr>
          <w:rFonts w:ascii="Arial" w:cs="Arial" w:eastAsia="Arial" w:hAnsi="Arial"/>
          <w:b/>
          <w:bCs/>
          <w:color w:val="1B3A6B"/>
          <w:sz w:val="26"/>
          <w:szCs w:val="26"/>
        </w:rPr>
        <w:t xml:space="preserve">JPMorgan Chase (JPM) — The Week's Most Important Earnings Report</w:t>
      </w:r>
    </w:p>
    <w:p>
      <w:pPr>
        <w:spacing w:after="60" w:before="60"/>
      </w:pPr>
      <w:r>
        <w:rPr>
          <w:rFonts w:ascii="Arial" w:cs="Arial" w:eastAsia="Arial" w:hAnsi="Arial"/>
          <w:b w:val="false"/>
          <w:bCs w:val="false"/>
          <w:color w:val="333333"/>
          <w:sz w:val="22"/>
          <w:szCs w:val="22"/>
        </w:rPr>
        <w:t xml:space="preserve">JPM reports Tuesday at 7 AM ET. Consensus: EPS $5.41, revenue $48.2B. The key variable isn't the quarter itself but Jamie Dimon's full-year NII guidance and any commentary on the economic outlook. In Q4 2025, Dimon flagged tariff uncertainty as a risk; his updated view in the context of an oil shock and 3.3% CPI will move markets. Options imply roughly a 4% move. Key support: $210. Prior quarter beat was followed by a 3.5% single-day gain.</w:t>
      </w:r>
    </w:p>
    <w:p>
      <w:pPr>
        <w:spacing w:after="80" w:before="240"/>
      </w:pPr>
      <w:r>
        <w:rPr>
          <w:rFonts w:ascii="Arial" w:cs="Arial" w:eastAsia="Arial" w:hAnsi="Arial"/>
          <w:b/>
          <w:bCs/>
          <w:color w:val="1B3A6B"/>
          <w:sz w:val="26"/>
          <w:szCs w:val="26"/>
        </w:rPr>
        <w:t xml:space="preserve">United Airlines (UAL) — The Canary in the Airline Coal Mine</w:t>
      </w:r>
    </w:p>
    <w:p>
      <w:pPr>
        <w:spacing w:after="60" w:before="60"/>
      </w:pPr>
      <w:r>
        <w:rPr>
          <w:rFonts w:ascii="Arial" w:cs="Arial" w:eastAsia="Arial" w:hAnsi="Arial"/>
          <w:b w:val="false"/>
          <w:bCs w:val="false"/>
          <w:color w:val="333333"/>
          <w:sz w:val="22"/>
          <w:szCs w:val="22"/>
        </w:rPr>
        <w:t xml:space="preserve">Bank of America's downgrade to Neutral Monday morning reflects the brutal math of $104 oil for the airline sector. UAL has hedged approximately 45% of its Q2 fuel exposure — the unhedged portion is now marked at roughly $95/barrel above its planning assumptions. The company reports Q1 earnings next week; analysts will be hunting for any guidance withdrawal or material adverse commentary. Key support: $58 (200-day moving average). A break below opens path to $50.</w:t>
      </w:r>
    </w:p>
    <w:p>
      <w:pPr>
        <w:spacing w:after="80" w:before="240"/>
      </w:pPr>
      <w:r>
        <w:rPr>
          <w:rFonts w:ascii="Arial" w:cs="Arial" w:eastAsia="Arial" w:hAnsi="Arial"/>
          <w:b/>
          <w:bCs/>
          <w:color w:val="1B3A6B"/>
          <w:sz w:val="26"/>
          <w:szCs w:val="26"/>
        </w:rPr>
        <w:t xml:space="preserve">iShares 20+ Year Treasury ETF (TLT) — The Rate Trade's Pulse</w:t>
      </w:r>
    </w:p>
    <w:p>
      <w:pPr>
        <w:spacing w:after="60" w:before="60"/>
      </w:pPr>
      <w:r>
        <w:rPr>
          <w:rFonts w:ascii="Arial" w:cs="Arial" w:eastAsia="Arial" w:hAnsi="Arial"/>
          <w:b w:val="false"/>
          <w:bCs w:val="false"/>
          <w:color w:val="333333"/>
          <w:sz w:val="22"/>
          <w:szCs w:val="22"/>
        </w:rPr>
        <w:t xml:space="preserve">TLT is not a stock, but it may be the most important price in markets right now. With the 30-year yield pushing toward 4.65% and the oil shock adding to inflation expectations, TLT (which moves inversely to long rates) is under pressure. A break below the $88 level would signal a meaningful repricing of the long end and could trigger forced selling across rate-sensitive equity sectors (REITs, utilities, high-dividend stocks). Watch this one as a leading indicator for any broader equity de-rating.</w:t>
      </w:r>
    </w:p>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10. GLOBAL MACRO SNAPSHOT</w:t>
      </w:r>
    </w:p>
    <w:p>
      <w:pPr>
        <w:spacing w:after="60" w:before="60"/>
      </w:pPr>
      <w:r>
        <w:rPr>
          <w:rFonts w:ascii="Arial" w:cs="Arial" w:eastAsia="Arial" w:hAnsi="Arial"/>
          <w:b w:val="false"/>
          <w:bCs w:val="false"/>
          <w:color w:val="333333"/>
          <w:sz w:val="22"/>
          <w:szCs w:val="22"/>
        </w:rPr>
        <w:t xml:space="preserve">China finds itself in a paradoxical position: as a major buyer of Iranian oil (China had been importing roughly 1.5 million barrels per day at discounted prices via back-channels), the Hormuz blockade directly threatens one of Beijing's most important energy supply lines. Chinese state media was silent on the development overnight, but the USD/CNY is under pressure and Chinese energy companies are scrambling to identify alternative suppliers from Russia, Angola, and Brazil. The People's Bank of China may need to inject liquidity if energy import costs spike import inflation beyond manageable levels.</w:t>
      </w:r>
    </w:p>
    <w:p>
      <w:pPr>
        <w:spacing w:after="60" w:before="60"/>
      </w:pPr>
      <w:r>
        <w:rPr>
          <w:rFonts w:ascii="Arial" w:cs="Arial" w:eastAsia="Arial" w:hAnsi="Arial"/>
          <w:b w:val="false"/>
          <w:bCs w:val="false"/>
          <w:color w:val="333333"/>
          <w:sz w:val="22"/>
          <w:szCs w:val="22"/>
        </w:rPr>
        <w:t xml:space="preserve">In Europe, the picture is straightforwardly grim. The Continent had just begun to stabilize its energy supply picture after the 2022-23 gas crisis; oil above $100 reignites inflation that the ECB has been fighting for three years. The euro fell 0.3% against the dollar Monday. European airlines — already thin-margin businesses — are among the worst performers, with Lufthansa down 3.9%, EasyJet off 3.8%, and Wizz Air declining 6.9% at the open. The ECB's next meeting is May 5; a hold is now the overwhelming base case.</w:t>
      </w:r>
    </w:p>
    <w:p>
      <w:pPr>
        <w:spacing w:after="60" w:before="60"/>
      </w:pPr>
      <w:r>
        <w:rPr>
          <w:rFonts w:ascii="Arial" w:cs="Arial" w:eastAsia="Arial" w:hAnsi="Arial"/>
          <w:b w:val="false"/>
          <w:bCs w:val="false"/>
          <w:color w:val="333333"/>
          <w:sz w:val="22"/>
          <w:szCs w:val="22"/>
        </w:rPr>
        <w:t xml:space="preserve">In emerging markets, oil importers (India, Turkey, South Korea, Thailand) face significant current account deterioration. South Korea's Kospi, which has heavy representation in petrochemical and shipping sectors, is particularly vulnerable. India's fuel subsidies — already strained — may require emergency budget adjustments. The EM carry trade is under pressure as dollar strength and energy import costs squeeze current accounts simultaneously.</w:t>
      </w:r>
    </w:p>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11. WEEK AHEAD PREVIEW</w:t>
      </w:r>
    </w:p>
    <w:p>
      <w:pPr>
        <w:spacing w:after="60" w:before="60"/>
      </w:pPr>
      <w:r>
        <w:rPr>
          <w:rFonts w:ascii="Arial" w:cs="Arial" w:eastAsia="Arial" w:hAnsi="Arial"/>
          <w:b w:val="false"/>
          <w:bCs w:val="false"/>
          <w:color w:val="333333"/>
          <w:sz w:val="22"/>
          <w:szCs w:val="22"/>
        </w:rPr>
        <w:t xml:space="preserve">Monday, April 13: Goldman Sachs earnings (pre-market). Existing Home Sales at 10 AM ET. Watch for any emergency diplomatic communications on Iran.</w:t>
      </w:r>
    </w:p>
    <w:p>
      <w:pPr>
        <w:spacing w:after="60" w:before="60"/>
      </w:pPr>
      <w:r>
        <w:rPr>
          <w:rFonts w:ascii="Arial" w:cs="Arial" w:eastAsia="Arial" w:hAnsi="Arial"/>
          <w:b w:val="false"/>
          <w:bCs w:val="false"/>
          <w:color w:val="333333"/>
          <w:sz w:val="22"/>
          <w:szCs w:val="22"/>
        </w:rPr>
        <w:t xml:space="preserve">Tuesday, April 14: The most important single day of the week. JPMorgan Chase, Citigroup, Wells Fargo, and BlackRock all report before the open. PPI for March at 8:30 AM ET — critically important given the oil price spike.</w:t>
      </w:r>
    </w:p>
    <w:p>
      <w:pPr>
        <w:spacing w:after="60" w:before="60"/>
      </w:pPr>
      <w:r>
        <w:rPr>
          <w:rFonts w:ascii="Arial" w:cs="Arial" w:eastAsia="Arial" w:hAnsi="Arial"/>
          <w:b w:val="false"/>
          <w:bCs w:val="false"/>
          <w:color w:val="333333"/>
          <w:sz w:val="22"/>
          <w:szCs w:val="22"/>
        </w:rPr>
        <w:t xml:space="preserve">Wednesday, April 15: Bank of America and Morgan Stanley report before the open. Retail Sales and Industrial Production at 8:30 AM ET and 9:15 AM ET, respectively. NAHB Housing Market Index at 10 AM. Netflix (NFLX) reports after the close — the first major Tech name this earnings season.</w:t>
      </w:r>
    </w:p>
    <w:p>
      <w:pPr>
        <w:spacing w:after="60" w:before="60"/>
      </w:pPr>
      <w:r>
        <w:rPr>
          <w:rFonts w:ascii="Arial" w:cs="Arial" w:eastAsia="Arial" w:hAnsi="Arial"/>
          <w:b w:val="false"/>
          <w:bCs w:val="false"/>
          <w:color w:val="333333"/>
          <w:sz w:val="22"/>
          <w:szCs w:val="22"/>
        </w:rPr>
        <w:t xml:space="preserve">Thursday, April 17: Initial Jobless Claims at 8:30 AM ET. Housing Starts and Building Permits also at 8:30 AM. Taiwan Semiconductor (TSM) reports — a critical bellwether for global semiconductor demand and AI capex.</w:t>
      </w:r>
    </w:p>
    <w:p>
      <w:pPr>
        <w:spacing w:after="60" w:before="60"/>
      </w:pPr>
      <w:r>
        <w:rPr>
          <w:rFonts w:ascii="Arial" w:cs="Arial" w:eastAsia="Arial" w:hAnsi="Arial"/>
          <w:b w:val="false"/>
          <w:bCs w:val="false"/>
          <w:color w:val="333333"/>
          <w:sz w:val="22"/>
          <w:szCs w:val="22"/>
        </w:rPr>
        <w:t xml:space="preserve">Geopolitical wildcard: Any development in the U.S.-Iran situation — whether resumed talks, Iranian military response, or international diplomatic pressure — could instantaneously override all other market signals. Keep geopolitical monitoring active 24 hours. OPEC+ may call an emergency meeting to discuss supply implications; watch for any statement from Saudi Arabia.</w:t>
      </w:r>
    </w:p>
    <w:p>
      <w:pPr>
        <w:pBdr>
          <w:bottom w:val="single" w:color="C9A84C" w:sz="4" w:space="2"/>
        </w:pBdr>
        <w:spacing w:after="160" w:before="160"/>
      </w:pPr>
      <w:r>
        <w:rPr>
          <w:sz w:val="4"/>
          <w:szCs w:val="4"/>
        </w:rPr>
        <w:t xml:space="preserve"/>
      </w:r>
    </w:p>
    <w:p>
      <w:pPr>
        <w:pBdr>
          <w:bottom w:val="single" w:color="C9A84C" w:sz="8" w:space="4"/>
        </w:pBdr>
        <w:spacing w:after="120" w:before="320"/>
      </w:pPr>
      <w:r>
        <w:rPr>
          <w:rFonts w:ascii="Arial" w:cs="Arial" w:eastAsia="Arial" w:hAnsi="Arial"/>
          <w:b/>
          <w:bCs/>
          <w:color w:val="1B3A6B"/>
          <w:sz w:val="32"/>
          <w:szCs w:val="32"/>
        </w:rPr>
        <w:t xml:space="preserve">12. CLOSING THOUGHT</w:t>
      </w:r>
    </w:p>
    <w:p>
      <w:pPr>
        <w:spacing w:after="60" w:before="60"/>
      </w:pPr>
      <w:r>
        <w:rPr>
          <w:rFonts w:ascii="Arial" w:cs="Arial" w:eastAsia="Arial" w:hAnsi="Arial"/>
          <w:b w:val="false"/>
          <w:bCs w:val="false"/>
          <w:color w:val="333333"/>
          <w:sz w:val="22"/>
          <w:szCs w:val="22"/>
        </w:rPr>
        <w:t xml:space="preserve">Here's the risk the market may be underpricing: this isn't primarily an oil story. It's a monetary policy story. Every $10 increase in oil adds roughly 20-25 basis points to headline CPI on a lagged basis. The Fed is already dealing with tariff-driven inflation above 3%. If oil stays above $100 through Q2 — which the blockade makes plausible — the Fed cannot cut in 2026. It may even face pressure to hike. Bond markets are sniffing this out: the 10-year yield hasn't collapsed on geopolitical fear (the traditional flight-to-quality trade) because inflation expectations are overwhelming the safe-haven bid.</w:t>
      </w:r>
    </w:p>
    <w:p>
      <w:pPr>
        <w:spacing w:after="60" w:before="60"/>
      </w:pPr>
      <w:r>
        <w:rPr>
          <w:rFonts w:ascii="Arial" w:cs="Arial" w:eastAsia="Arial" w:hAnsi="Arial"/>
          <w:b w:val="false"/>
          <w:bCs w:val="false"/>
          <w:color w:val="333333"/>
          <w:sz w:val="22"/>
          <w:szCs w:val="22"/>
        </w:rPr>
        <w:t xml:space="preserve">In 1973, the Arab oil embargo caught markets flatfooted because no one believed OPEC would actually pull the trigger. Today, the Strait of Hormuz blockade is Trump's equivalent gambit — a maximum-pressure move that markets had partially priced but never fully believed would materialize. They have to believe it now. The question isn't whether this damages the economy. It will. The question is whether the damage arrives slowly enough — through corporate guidance cuts in May, in consumer spending data in June — that the market can gradually adjust, or whether something breaks first. History suggests the former is more likely than the latter. But history also has a way of lying at precisely the wrong moment.</w:t>
      </w:r>
    </w:p>
    <w:p>
      <w:pPr>
        <w:spacing w:after="80" w:before="160"/>
        <w:jc w:val="center"/>
      </w:pPr>
      <w:r>
        <w:rPr>
          <w:rFonts w:ascii="Arial" w:cs="Arial" w:eastAsia="Arial" w:hAnsi="Arial"/>
          <w:b/>
          <w:bCs/>
          <w:i/>
          <w:iCs/>
          <w:color w:val="1B3A6B"/>
          <w:sz w:val="22"/>
          <w:szCs w:val="22"/>
        </w:rPr>
        <w:t xml:space="preserve">Trade what you see. Risk what you can afford to lose.</w:t>
      </w:r>
    </w:p>
    <w:p>
      <w:pPr>
        <w:spacing w:after="60" w:before="60"/>
      </w:pPr>
      <w:r>
        <w:rPr>
          <w:sz w:val="20"/>
          <w:szCs w:val="20"/>
        </w:rPr>
        <w:t xml:space="preserve"/>
      </w:r>
    </w:p>
    <w:p>
      <w:pPr>
        <w:jc w:val="center"/>
      </w:pPr>
      <w:r>
        <w:rPr>
          <w:rFonts w:ascii="Arial" w:cs="Arial" w:eastAsia="Arial" w:hAnsi="Arial"/>
          <w:color w:val="888888"/>
          <w:sz w:val="19"/>
          <w:szCs w:val="19"/>
        </w:rPr>
        <w:t xml:space="preserve">— Daily Financial Brief | Monday, April 13,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888888"/>
        <w:sz w:val="18"/>
        <w:szCs w:val="18"/>
      </w:rPr>
      <w:t xml:space="preserve">Confidential — For James Flanagan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6B" w:val="clear"/>
      <w:spacing w:after="80" w:before="80"/>
      <w:ind w:left="200" w:right="200"/>
    </w:pPr>
    <w:r>
      <w:rPr>
        <w:rFonts w:ascii="Arial" w:cs="Arial" w:eastAsia="Arial" w:hAnsi="Arial"/>
        <w:b/>
        <w:bCs/>
        <w:color w:val="FFFFFF"/>
        <w:sz w:val="28"/>
        <w:szCs w:val="28"/>
      </w:rPr>
      <w:t xml:space="preserve">DAILY FINANCIAL BRIEF</w:t>
    </w:r>
    <w:r>
      <w:rPr>
        <w:rFonts w:ascii="Arial" w:cs="Arial" w:eastAsia="Arial" w:hAnsi="Arial"/>
        <w:color w:val="D4C06A"/>
        <w:sz w:val="22"/>
        <w:szCs w:val="22"/>
      </w:rPr>
      <w:t xml:space="preserve">   |   MONDAY, APRIL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2026-04-13T13:36:56.201Z</dcterms:created>
  <dcterms:modified xsi:type="dcterms:W3CDTF">2026-04-13T13:36:56.202Z</dcterms:modified>
</cp:coreProperties>
</file>

<file path=docProps/custom.xml><?xml version="1.0" encoding="utf-8"?>
<Properties xmlns="http://schemas.openxmlformats.org/officeDocument/2006/custom-properties" xmlns:vt="http://schemas.openxmlformats.org/officeDocument/2006/docPropsVTypes"/>
</file>