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
      </w:pPr>
    </w:p>
    <w:p>
      <w:pPr>
        <w:spacing w:after="40" w:before="0"/>
        <w:jc w:val="center"/>
      </w:pPr>
      <w:r>
        <w:rPr>
          <w:rFonts w:ascii="Arial" w:cs="Arial" w:eastAsia="Arial" w:hAnsi="Arial"/>
          <w:b/>
          <w:bCs/>
          <w:color w:val="1B3A6B"/>
          <w:sz w:val="56"/>
          <w:szCs w:val="56"/>
        </w:rPr>
        <w:t xml:space="preserve">THE DAILY FINANCIAL BRIEF</w:t>
      </w:r>
    </w:p>
    <w:p>
      <w:pPr>
        <w:spacing w:after="20" w:before="0"/>
        <w:jc w:val="center"/>
      </w:pPr>
      <w:r>
        <w:rPr>
          <w:rFonts w:ascii="Arial" w:cs="Arial" w:eastAsia="Arial" w:hAnsi="Arial"/>
          <w:b/>
          <w:bCs/>
          <w:color w:val="B8962E"/>
          <w:sz w:val="24"/>
          <w:szCs w:val="24"/>
        </w:rPr>
        <w:t xml:space="preserve">Tuesday, April 14, 2026  ·  9:30 AM EST</w:t>
      </w:r>
    </w:p>
    <w:p>
      <w:pPr>
        <w:spacing w:after="160" w:before="0"/>
        <w:jc w:val="center"/>
      </w:pPr>
      <w:r>
        <w:rPr>
          <w:rFonts w:ascii="Arial" w:cs="Arial" w:eastAsia="Arial" w:hAnsi="Arial"/>
          <w:i/>
          <w:iCs/>
          <w:color w:val="888888"/>
          <w:sz w:val="20"/>
          <w:szCs w:val="20"/>
        </w:rPr>
        <w:t xml:space="preserve">Your premium markets intelligence — WSJ style</w:t>
      </w:r>
    </w:p>
    <w:p>
      <w:pPr>
        <w:pBdr>
          <w:bottom w:val="single" w:color="B8962E" w:sz="24" w:space="1"/>
        </w:pBdr>
        <w:spacing w:after="120" w:before="120"/>
      </w:pPr>
    </w:p>
    <w:p>
      <w:pPr>
        <w:spacing w:after="0" w:before="80"/>
      </w:pPr>
    </w:p>
    <w:p>
      <w:pPr>
        <w:pStyle w:val="Heading1"/>
        <w:pBdr>
          <w:bottom w:val="single" w:color="B8962E" w:sz="6" w:space="4"/>
        </w:pBdr>
        <w:spacing w:after="80" w:before="320"/>
      </w:pPr>
      <w:r>
        <w:rPr>
          <w:rFonts w:ascii="Arial" w:cs="Arial" w:eastAsia="Arial" w:hAnsi="Arial"/>
          <w:b/>
          <w:bCs/>
          <w:color w:val="1B3A6B"/>
          <w:sz w:val="28"/>
          <w:szCs w:val="28"/>
        </w:rPr>
        <w:t xml:space="preserve">1. THE MORNING SETUP</w:t>
      </w:r>
    </w:p>
    <w:p>
      <w:pPr>
        <w:spacing w:after="80" w:before="80"/>
      </w:pPr>
      <w:r>
        <w:rPr>
          <w:rFonts w:ascii="Arial" w:cs="Arial" w:eastAsia="Arial" w:hAnsi="Arial"/>
          <w:sz w:val="22"/>
          <w:szCs w:val="22"/>
        </w:rPr>
        <w:t xml:space="preserve">Markets are breathing a cautious sigh of relief this Tuesday morning as oil prices slide sharply and risk appetite returns to global equities — all on the slimmest of threads: the possibility that Washington and Tehran might find their way back to the negotiating table. U.S. equity futures are pointing modestly higher, with the S&amp;P 500 edging up 0.2% and the Nasdaq 100 outperforming, up 0.5%, as Brent crude falls nearly 3.5% and WTI plunges over 5%. The single most important dynamic playing out in financial markets right now is not inflation, not Fed policy, not even earnings — it is the US-Iran standoff and the fragile ceasefire that has defined global risk pricing for the past several weeks.</w:t>
      </w:r>
    </w:p>
    <w:p>
      <w:pPr>
        <w:spacing w:after="80" w:before="80"/>
      </w:pPr>
      <w:r>
        <w:rPr>
          <w:rFonts w:ascii="Arial" w:cs="Arial" w:eastAsia="Arial" w:hAnsi="Arial"/>
          <w:sz w:val="22"/>
          <w:szCs w:val="22"/>
        </w:rPr>
        <w:t xml:space="preserve">Against this backdrop, bank earnings season is delivering its opening salvo: JPMorgan posted its highest-ever quarterly trading revenue, Citigroup beat decisively, and Wells Fargo stumbled on net interest income. The PPI report for March came in dramatically cooler than expected — a direct challenge to the inflation hawks — while the dollar continues its losing streak, now seven sessions deep. For investors, today's session is a test of whether geopolitical optimism can outlast hard economic reality.</w:t>
      </w:r>
    </w:p>
    <w:p>
      <w:pPr>
        <w:spacing w:after="0" w:before="120"/>
      </w:pPr>
    </w:p>
    <w:p>
      <w:pPr>
        <w:pStyle w:val="Heading1"/>
        <w:pBdr>
          <w:bottom w:val="single" w:color="B8962E" w:sz="6" w:space="4"/>
        </w:pBdr>
        <w:spacing w:after="80" w:before="320"/>
      </w:pPr>
      <w:r>
        <w:rPr>
          <w:rFonts w:ascii="Arial" w:cs="Arial" w:eastAsia="Arial" w:hAnsi="Arial"/>
          <w:b/>
          <w:bCs/>
          <w:color w:val="1B3A6B"/>
          <w:sz w:val="28"/>
          <w:szCs w:val="28"/>
        </w:rPr>
        <w:t xml:space="preserve">2. MARKETS AT A GLANCE</w:t>
      </w:r>
    </w:p>
    <w:p>
      <w:pPr>
        <w:spacing w:after="80" w:before="80"/>
      </w:pPr>
      <w:r>
        <w:rPr>
          <w:rFonts w:ascii="Arial" w:cs="Arial" w:eastAsia="Arial" w:hAnsi="Arial"/>
          <w:i/>
          <w:iCs/>
          <w:color w:val="888888"/>
          <w:sz w:val="22"/>
          <w:szCs w:val="22"/>
        </w:rPr>
        <w:t xml:space="preserve">Data as of pre-market, Tuesday April 14, 2026. All levels approximate unless noted.</w:t>
      </w:r>
    </w:p>
    <w:p>
      <w:pPr>
        <w:spacing w:after="0" w:before="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2680"/>
      </w:tblGrid>
      <w:tr>
        <w:trPr>
          <w:tblHeader/>
        </w:trPr>
        <w:tc>
          <w:tcPr>
            <w:tcW w:type="dxa" w:w="300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INSTRUMENT</w:t>
            </w:r>
          </w:p>
        </w:tc>
        <w:tc>
          <w:tcPr>
            <w:tcW w:type="dxa" w:w="268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LEVEL / PRICE</w:t>
            </w:r>
          </w:p>
        </w:tc>
        <w:tc>
          <w:tcPr>
            <w:tcW w:type="dxa" w:w="268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CHG / %</w:t>
            </w:r>
          </w:p>
        </w:tc>
      </w:tr>
      <w:tr>
        <w:tc>
          <w:tcPr>
            <w:tcW w:type="dxa" w:w="3000"/>
            <w:shd w:fill="D6E4F7" w:val="clear"/>
            <w:tcMar>
              <w:top w:type="dxa" w:w="80"/>
              <w:left w:type="dxa" w:w="120"/>
              <w:bottom w:type="dxa" w:w="80"/>
              <w:right w:type="dxa" w:w="120"/>
            </w:tcMar>
          </w:tcPr>
          <w:p>
            <w:pPr>
              <w:jc w:val="left"/>
            </w:pPr>
            <w:r>
              <w:rPr>
                <w:rFonts w:ascii="Arial" w:cs="Arial" w:eastAsia="Arial" w:hAnsi="Arial"/>
                <w:b/>
                <w:bCs/>
                <w:color w:val="222222"/>
                <w:sz w:val="18"/>
                <w:szCs w:val="18"/>
              </w:rPr>
              <w:t xml:space="preserve">── US FUTURES ──</w:t>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S&amp;P 500 Futures (ES)</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5,712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+0.20%</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Nasdaq 100 Futures (NQ)</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QQQ $620.63</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+0.51%</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Dow Futures (YM)</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~42,200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+0.15%</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Russell 2000 Futures</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~1,980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+0.10%</w:t>
            </w:r>
          </w:p>
        </w:tc>
      </w:tr>
      <w:tr>
        <w:tc>
          <w:tcPr>
            <w:tcW w:type="dxa" w:w="3000"/>
            <w:shd w:fill="D6E4F7" w:val="clear"/>
            <w:tcMar>
              <w:top w:type="dxa" w:w="80"/>
              <w:left w:type="dxa" w:w="120"/>
              <w:bottom w:type="dxa" w:w="80"/>
              <w:right w:type="dxa" w:w="120"/>
            </w:tcMar>
          </w:tcPr>
          <w:p>
            <w:pPr>
              <w:jc w:val="left"/>
            </w:pPr>
            <w:r>
              <w:rPr>
                <w:rFonts w:ascii="Arial" w:cs="Arial" w:eastAsia="Arial" w:hAnsi="Arial"/>
                <w:b/>
                <w:bCs/>
                <w:color w:val="222222"/>
                <w:sz w:val="18"/>
                <w:szCs w:val="18"/>
              </w:rPr>
              <w:t xml:space="preserve">── ASIA CLOSE ──</w:t>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Nikkei 225 (Japan)</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57,877</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+2.43%</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Hang Seng (Hong Kong)</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~22,180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+0.88%</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Shanghai Composite</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~3,328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+0.55%</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CSI 300 (China)</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4,701</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+1.19%</w:t>
            </w:r>
          </w:p>
        </w:tc>
      </w:tr>
      <w:tr>
        <w:tc>
          <w:tcPr>
            <w:tcW w:type="dxa" w:w="3000"/>
            <w:shd w:fill="D6E4F7" w:val="clear"/>
            <w:tcMar>
              <w:top w:type="dxa" w:w="80"/>
              <w:left w:type="dxa" w:w="120"/>
              <w:bottom w:type="dxa" w:w="80"/>
              <w:right w:type="dxa" w:w="120"/>
            </w:tcMar>
          </w:tcPr>
          <w:p>
            <w:pPr>
              <w:jc w:val="left"/>
            </w:pPr>
            <w:r>
              <w:rPr>
                <w:rFonts w:ascii="Arial" w:cs="Arial" w:eastAsia="Arial" w:hAnsi="Arial"/>
                <w:b/>
                <w:bCs/>
                <w:color w:val="222222"/>
                <w:sz w:val="18"/>
                <w:szCs w:val="18"/>
              </w:rPr>
              <w:t xml:space="preserve">── EUROPE OPEN ──</w:t>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FTSE 100 (UK)</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~8,640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888888"/>
                <w:sz w:val="19"/>
                <w:szCs w:val="19"/>
              </w:rPr>
              <w:t xml:space="preserve">Flat</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DAX (Germany)</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~22,480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+0.90%</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CAC 40 (France)</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~7,820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+0.60%</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Euro Stoxx 600</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~540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+0.60%</w:t>
            </w:r>
          </w:p>
        </w:tc>
      </w:tr>
      <w:tr>
        <w:tc>
          <w:tcPr>
            <w:tcW w:type="dxa" w:w="3000"/>
            <w:shd w:fill="D6E4F7" w:val="clear"/>
            <w:tcMar>
              <w:top w:type="dxa" w:w="80"/>
              <w:left w:type="dxa" w:w="120"/>
              <w:bottom w:type="dxa" w:w="80"/>
              <w:right w:type="dxa" w:w="120"/>
            </w:tcMar>
          </w:tcPr>
          <w:p>
            <w:pPr>
              <w:jc w:val="left"/>
            </w:pPr>
            <w:r>
              <w:rPr>
                <w:rFonts w:ascii="Arial" w:cs="Arial" w:eastAsia="Arial" w:hAnsi="Arial"/>
                <w:b/>
                <w:bCs/>
                <w:color w:val="222222"/>
                <w:sz w:val="18"/>
                <w:szCs w:val="18"/>
              </w:rPr>
              <w:t xml:space="preserve">── VOLATILITY ──</w:t>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VIX (Fear Gauge)</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~22.4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Declining</w:t>
            </w:r>
          </w:p>
        </w:tc>
      </w:tr>
      <w:tr>
        <w:tc>
          <w:tcPr>
            <w:tcW w:type="dxa" w:w="3000"/>
            <w:shd w:fill="D6E4F7" w:val="clear"/>
            <w:tcMar>
              <w:top w:type="dxa" w:w="80"/>
              <w:left w:type="dxa" w:w="120"/>
              <w:bottom w:type="dxa" w:w="80"/>
              <w:right w:type="dxa" w:w="120"/>
            </w:tcMar>
          </w:tcPr>
          <w:p>
            <w:pPr>
              <w:jc w:val="left"/>
            </w:pPr>
            <w:r>
              <w:rPr>
                <w:rFonts w:ascii="Arial" w:cs="Arial" w:eastAsia="Arial" w:hAnsi="Arial"/>
                <w:b/>
                <w:bCs/>
                <w:color w:val="222222"/>
                <w:sz w:val="18"/>
                <w:szCs w:val="18"/>
              </w:rPr>
              <w:t xml:space="preserve">── US TREASURIES ──</w:t>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2-Year Yield</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~4.05%</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888888"/>
                <w:sz w:val="19"/>
                <w:szCs w:val="19"/>
              </w:rPr>
              <w:t xml:space="preserve">Steady</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5-Year Yield</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~4.18%</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888888"/>
                <w:sz w:val="19"/>
                <w:szCs w:val="19"/>
              </w:rPr>
              <w:t xml:space="preserve">Steady</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10-Year Yield</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4.31%</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-7 bps wk.</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30-Year Yield</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~4.75%</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888888"/>
                <w:sz w:val="19"/>
                <w:szCs w:val="19"/>
              </w:rPr>
              <w:t xml:space="preserve">Steady</w:t>
            </w:r>
          </w:p>
        </w:tc>
      </w:tr>
      <w:tr>
        <w:tc>
          <w:tcPr>
            <w:tcW w:type="dxa" w:w="3000"/>
            <w:shd w:fill="D6E4F7" w:val="clear"/>
            <w:tcMar>
              <w:top w:type="dxa" w:w="80"/>
              <w:left w:type="dxa" w:w="120"/>
              <w:bottom w:type="dxa" w:w="80"/>
              <w:right w:type="dxa" w:w="120"/>
            </w:tcMar>
          </w:tcPr>
          <w:p>
            <w:pPr>
              <w:jc w:val="left"/>
            </w:pPr>
            <w:r>
              <w:rPr>
                <w:rFonts w:ascii="Arial" w:cs="Arial" w:eastAsia="Arial" w:hAnsi="Arial"/>
                <w:b/>
                <w:bCs/>
                <w:color w:val="222222"/>
                <w:sz w:val="18"/>
                <w:szCs w:val="18"/>
              </w:rPr>
              <w:t xml:space="preserve">── FX / DOLLAR ──</w:t>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DXY (Dollar Index)</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98.3</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C0392B"/>
                <w:sz w:val="19"/>
                <w:szCs w:val="19"/>
              </w:rPr>
              <w:t xml:space="preserve">-7th consec. session</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EUR/USD</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~1.088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EUR strength</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GBP/USD</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~1.295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GBP strength</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USD/JPY</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~147.5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JPY strength</w:t>
            </w:r>
          </w:p>
        </w:tc>
      </w:tr>
      <w:tr>
        <w:tc>
          <w:tcPr>
            <w:tcW w:type="dxa" w:w="3000"/>
            <w:shd w:fill="D6E4F7" w:val="clear"/>
            <w:tcMar>
              <w:top w:type="dxa" w:w="80"/>
              <w:left w:type="dxa" w:w="120"/>
              <w:bottom w:type="dxa" w:w="80"/>
              <w:right w:type="dxa" w:w="120"/>
            </w:tcMar>
          </w:tcPr>
          <w:p>
            <w:pPr>
              <w:jc w:val="left"/>
            </w:pPr>
            <w:r>
              <w:rPr>
                <w:rFonts w:ascii="Arial" w:cs="Arial" w:eastAsia="Arial" w:hAnsi="Arial"/>
                <w:b/>
                <w:bCs/>
                <w:color w:val="222222"/>
                <w:sz w:val="18"/>
                <w:szCs w:val="18"/>
              </w:rPr>
              <w:t xml:space="preserve">── COMMODITIES ──</w:t>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WTI Crude Oil</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~$91.50/bbl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C0392B"/>
                <w:sz w:val="19"/>
                <w:szCs w:val="19"/>
              </w:rPr>
              <w:t xml:space="preserve">-5.62%</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Brent Crude Oil</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~$95.30/bbl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C0392B"/>
                <w:sz w:val="19"/>
                <w:szCs w:val="19"/>
              </w:rPr>
              <w:t xml:space="preserve">-3.48%</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Natural Gas</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~$3.42/MMBtu</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888888"/>
                <w:sz w:val="19"/>
                <w:szCs w:val="19"/>
              </w:rPr>
              <w:t xml:space="preserve">Steady</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Gold</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$4,760/oz</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+0.8%</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Silver</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~$32.40/oz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+1.2%</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Copper</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~$4.65/lb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+0.5%</w:t>
            </w:r>
          </w:p>
        </w:tc>
      </w:tr>
      <w:tr>
        <w:tc>
          <w:tcPr>
            <w:tcW w:type="dxa" w:w="3000"/>
            <w:shd w:fill="D6E4F7" w:val="clear"/>
            <w:tcMar>
              <w:top w:type="dxa" w:w="80"/>
              <w:left w:type="dxa" w:w="120"/>
              <w:bottom w:type="dxa" w:w="80"/>
              <w:right w:type="dxa" w:w="120"/>
            </w:tcMar>
          </w:tcPr>
          <w:p>
            <w:pPr>
              <w:jc w:val="left"/>
            </w:pPr>
            <w:r>
              <w:rPr>
                <w:rFonts w:ascii="Arial" w:cs="Arial" w:eastAsia="Arial" w:hAnsi="Arial"/>
                <w:b/>
                <w:bCs/>
                <w:color w:val="222222"/>
                <w:sz w:val="18"/>
                <w:szCs w:val="18"/>
              </w:rPr>
              <w:t xml:space="preserve">── CRYPTO ──</w:t>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c>
          <w:tcPr>
            <w:tcW w:type="dxa" w:w="2680"/>
            <w:shd w:fill="D6E4F7"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Bitcoin (BTC)</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$75,859</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4-Week High</w:t>
            </w:r>
          </w:p>
        </w:tc>
      </w:tr>
      <w:tr>
        <w:tc>
          <w:tcPr>
            <w:tcW w:type="dxa" w:w="3000"/>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Ethereum (ETH)</w:t>
            </w:r>
          </w:p>
        </w:tc>
        <w:tc>
          <w:tcPr>
            <w:tcW w:type="dxa" w:w="2680"/>
            <w:shd w:fill="FFFFFF" w:val="clear"/>
            <w:tcMar>
              <w:top w:type="dxa" w:w="80"/>
              <w:left w:type="dxa" w:w="120"/>
              <w:bottom w:type="dxa" w:w="80"/>
              <w:right w:type="dxa" w:w="120"/>
            </w:tcMar>
          </w:tcPr>
          <w:p>
            <w:pPr>
              <w:jc w:val="right"/>
            </w:pPr>
            <w:r>
              <w:rPr>
                <w:rFonts w:ascii="Arial" w:cs="Arial" w:eastAsia="Arial" w:hAnsi="Arial"/>
                <w:b w:val="false"/>
                <w:bCs w:val="false"/>
                <w:color w:val="222222"/>
                <w:sz w:val="19"/>
                <w:szCs w:val="19"/>
              </w:rPr>
              <w:t xml:space="preserve">~$3,840 est.</w:t>
            </w:r>
          </w:p>
        </w:tc>
        <w:tc>
          <w:tcPr>
            <w:tcW w:type="dxa" w:w="2680"/>
            <w:shd w:fill="FFFFFF" w:val="clear"/>
            <w:tcMar>
              <w:top w:type="dxa" w:w="80"/>
              <w:left w:type="dxa" w:w="120"/>
              <w:bottom w:type="dxa" w:w="80"/>
              <w:right w:type="dxa" w:w="120"/>
            </w:tcMar>
          </w:tcPr>
          <w:p>
            <w:pPr>
              <w:jc w:val="right"/>
            </w:pPr>
            <w:r>
              <w:rPr>
                <w:rFonts w:ascii="Arial" w:cs="Arial" w:eastAsia="Arial" w:hAnsi="Arial"/>
                <w:b/>
                <w:bCs/>
                <w:color w:val="1A7A3C"/>
                <w:sz w:val="19"/>
                <w:szCs w:val="19"/>
              </w:rPr>
              <w:t xml:space="preserve">+8.42%</w:t>
            </w:r>
          </w:p>
        </w:tc>
      </w:tr>
    </w:tbl>
    <w:p>
      <w:pPr>
        <w:spacing w:after="0" w:before="160"/>
      </w:pPr>
    </w:p>
    <w:p>
      <w:pPr>
        <w:pStyle w:val="Heading1"/>
        <w:pBdr>
          <w:bottom w:val="single" w:color="B8962E" w:sz="6" w:space="4"/>
        </w:pBdr>
        <w:spacing w:after="80" w:before="320"/>
      </w:pPr>
      <w:r>
        <w:rPr>
          <w:rFonts w:ascii="Arial" w:cs="Arial" w:eastAsia="Arial" w:hAnsi="Arial"/>
          <w:b/>
          <w:bCs/>
          <w:color w:val="1B3A6B"/>
          <w:sz w:val="28"/>
          <w:szCs w:val="28"/>
        </w:rPr>
        <w:t xml:space="preserve">3. TOP STORIES</w:t>
      </w:r>
    </w:p>
    <w:p>
      <w:pPr>
        <w:spacing w:after="60" w:before="200"/>
      </w:pPr>
      <w:r>
        <w:rPr>
          <w:rFonts w:ascii="Arial" w:cs="Arial" w:eastAsia="Arial" w:hAnsi="Arial"/>
          <w:b/>
          <w:bCs/>
          <w:color w:val="1B3A6B"/>
          <w:sz w:val="24"/>
          <w:szCs w:val="24"/>
        </w:rPr>
        <w:t xml:space="preserve">Story 1: The Iran-U.S. Standoff — A Market Defined by Diplomacy</w:t>
      </w:r>
    </w:p>
    <w:p>
      <w:pPr>
        <w:spacing w:after="80" w:before="80"/>
      </w:pPr>
      <w:r>
        <w:rPr>
          <w:rFonts w:ascii="Arial" w:cs="Arial" w:eastAsia="Arial" w:hAnsi="Arial"/>
          <w:sz w:val="22"/>
          <w:szCs w:val="22"/>
        </w:rPr>
        <w:t xml:space="preserve">The defining narrative of the past three weeks has been the escalating, de-escalating, and re-escalating tension between Washington and Tehran. After a fragile two-week ceasefire agreed in late March, the Islamabad peace talks collapsed over the weekend — 21 hours of negotiations ending with neither side moving off its core demands. The U.S. insisted on full nuclear weapons dismantlement; Iran demanded security guarantees it did not trust Washington to deliver. In response, the Pentagon began implementing a naval blockade of Iranian ports on Monday.</w:t>
      </w:r>
    </w:p>
    <w:p>
      <w:pPr>
        <w:spacing w:after="80" w:before="80"/>
      </w:pPr>
      <w:r>
        <w:rPr>
          <w:rFonts w:ascii="Arial" w:cs="Arial" w:eastAsia="Arial" w:hAnsi="Arial"/>
          <w:sz w:val="22"/>
          <w:szCs w:val="22"/>
        </w:rPr>
        <w:t xml:space="preserve">The market impact was swift and severe. WTI crude surged above $104 on Monday as the blockade went into effect, triggering a broad equity selloff that briefly wiped out several weeks of gains. The S&amp;P 500 erased its Iran war losses in a single session Monday as Vice President JD Vance suggested a deal was still "within reach" — provided Tehran crosses Washington's red lines on nuclear enrichment. Today, WTI is collapsing again by more than 5% on renewed hopes that talks could resume.</w:t>
      </w:r>
    </w:p>
    <w:p>
      <w:pPr>
        <w:spacing w:after="80" w:before="80"/>
      </w:pPr>
      <w:r>
        <w:rPr>
          <w:rFonts w:ascii="Arial" w:cs="Arial" w:eastAsia="Arial" w:hAnsi="Arial"/>
          <w:sz w:val="22"/>
          <w:szCs w:val="22"/>
        </w:rPr>
        <w:t xml:space="preserve">The market implication is significant: oil is now the primary real-time geopolitical indicator. A $10 move in WTI in either direction represents the market pricing in or out a diplomatic breakthrough. The Strait of Hormuz, through which roughly one-fifth of global oil trade passes, remains the Achilles heel of the global energy system. Watch for any official statements from Tehran's foreign ministry or the U.S. State Department this week.</w:t>
      </w:r>
    </w:p>
    <w:p>
      <w:pPr>
        <w:spacing w:after="60" w:before="200"/>
      </w:pPr>
      <w:r>
        <w:rPr>
          <w:rFonts w:ascii="Arial" w:cs="Arial" w:eastAsia="Arial" w:hAnsi="Arial"/>
          <w:b/>
          <w:bCs/>
          <w:color w:val="1B3A6B"/>
          <w:sz w:val="24"/>
          <w:szCs w:val="24"/>
        </w:rPr>
        <w:t xml:space="preserve">Story 2: Bank Earnings Deliver — But With Important Asterisks</w:t>
      </w:r>
    </w:p>
    <w:p>
      <w:pPr>
        <w:spacing w:after="80" w:before="80"/>
      </w:pPr>
      <w:r>
        <w:rPr>
          <w:rFonts w:ascii="Arial" w:cs="Arial" w:eastAsia="Arial" w:hAnsi="Arial"/>
          <w:sz w:val="22"/>
          <w:szCs w:val="22"/>
        </w:rPr>
        <w:t xml:space="preserve">Q1 2026 bank earnings season opened with a bang on Monday and Tuesday. JPMorgan Chase posted its highest-ever quarterly trading revenue: $11.6 billion, a stunning 20% year-over-year surge as market volatility driven by the Iran conflict generated outsized client flow and positioning profits. CEO Jamie Dimon was candid on the call about recession risks, AI disruption, and the dangers of over-reliance on private credit markets — a rare moment of CEOs speaking plainly about systemic risk.</w:t>
      </w:r>
    </w:p>
    <w:p>
      <w:pPr>
        <w:spacing w:after="80" w:before="80"/>
      </w:pPr>
      <w:r>
        <w:rPr>
          <w:rFonts w:ascii="Arial" w:cs="Arial" w:eastAsia="Arial" w:hAnsi="Arial"/>
          <w:sz w:val="22"/>
          <w:szCs w:val="22"/>
        </w:rPr>
        <w:t xml:space="preserve">Citigroup was the standout surprise: net income surged 42% year-over-year to $5.8 billion, with EPS of $3.06 crushing the $2.63 consensus estimate by a wide margin. The bank's ongoing turnaround under its restructuring program appears to be gaining real traction — a detail analysts had underpriced. Wells Fargo told a more complicated story: EPS of $1.60 narrowly beat the $1.59 estimate, but revenue of $21.45 billion fell $320 million short of expectations, and net interest income disappointed, sending shares down more than 6% in pre-market trading.</w:t>
      </w:r>
    </w:p>
    <w:p>
      <w:pPr>
        <w:spacing w:after="80" w:before="80"/>
      </w:pPr>
      <w:r>
        <w:rPr>
          <w:rFonts w:ascii="Arial" w:cs="Arial" w:eastAsia="Arial" w:hAnsi="Arial"/>
          <w:sz w:val="22"/>
          <w:szCs w:val="22"/>
        </w:rPr>
        <w:t xml:space="preserve">The sector context matters: the S&amp;P 500 Financials sector has been pricing in earnings growth of roughly 12% for Q1 2026, driven largely by trading and investment banking fee normalization. Goldman Sachs, which reported Monday, is estimated to have pulled in roughly $16.9 billion in revenue — a 12% YoY jump — on surging equities trading. What to watch: Morgan Stanley reports Thursday. Any cracks in wealth management or advisory fees could reset sector expectations.</w:t>
      </w:r>
    </w:p>
    <w:p>
      <w:pPr>
        <w:spacing w:after="60" w:before="200"/>
      </w:pPr>
      <w:r>
        <w:rPr>
          <w:rFonts w:ascii="Arial" w:cs="Arial" w:eastAsia="Arial" w:hAnsi="Arial"/>
          <w:b/>
          <w:bCs/>
          <w:color w:val="1B3A6B"/>
          <w:sz w:val="24"/>
          <w:szCs w:val="24"/>
        </w:rPr>
        <w:t xml:space="preserve">Story 3: PPI Surprise — Disinflation Signal or Statistical Noise?</w:t>
      </w:r>
    </w:p>
    <w:p>
      <w:pPr>
        <w:spacing w:after="80" w:before="80"/>
      </w:pPr>
      <w:r>
        <w:rPr>
          <w:rFonts w:ascii="Arial" w:cs="Arial" w:eastAsia="Arial" w:hAnsi="Arial"/>
          <w:sz w:val="22"/>
          <w:szCs w:val="22"/>
        </w:rPr>
        <w:t xml:space="preserve">The Bureau of Labor Statistics released the March Producer Price Index this morning, and the headline number was a genuine surprise to the downside. Final demand PPI rose just 0.5% month-over-month, compared to a Dow Jones consensus estimate of 1.1% — less than half of what Wall Street expected. More striking: core PPI, which strips out food and energy, rose only 0.1% against a 0.5% consensus. This is the kind of reading that, in a geopolitically normal environment, would immediately revive rate-cut expectations.</w:t>
      </w:r>
    </w:p>
    <w:p>
      <w:pPr>
        <w:spacing w:after="80" w:before="80"/>
      </w:pPr>
      <w:r>
        <w:rPr>
          <w:rFonts w:ascii="Arial" w:cs="Arial" w:eastAsia="Arial" w:hAnsi="Arial"/>
          <w:sz w:val="22"/>
          <w:szCs w:val="22"/>
        </w:rPr>
        <w:t xml:space="preserve">But the annual picture is more complicated. On a year-over-year basis, PPI surged 4.0% — the fastest 12-month pace since February 2023, and largely attributable to a 15.7% spike in gasoline prices and an 8.5% rise in energy goods broadly. This is classic "conflict inflation" — not driven by domestic demand or wage pressures, but by commodity disruption from the Middle East standoff. The Fed is acutely aware of the distinction.</w:t>
      </w:r>
    </w:p>
    <w:p>
      <w:pPr>
        <w:spacing w:after="80" w:before="80"/>
      </w:pPr>
      <w:r>
        <w:rPr>
          <w:rFonts w:ascii="Arial" w:cs="Arial" w:eastAsia="Arial" w:hAnsi="Arial"/>
          <w:sz w:val="22"/>
          <w:szCs w:val="22"/>
        </w:rPr>
        <w:t xml:space="preserve">The market implication: if the Iran situation de-escalates and energy prices normalize, the underlying disinflation trend visible in core PPI could give the Fed the cover it needs to cut once in late 2026 as its projections suggest. For bond markets, the 10-year yield at 4.31% is already down from its recent 4.38% peak — today's soft core number could pull it further.</w:t>
      </w:r>
    </w:p>
    <w:p>
      <w:pPr>
        <w:spacing w:after="60" w:before="200"/>
      </w:pPr>
      <w:r>
        <w:rPr>
          <w:rFonts w:ascii="Arial" w:cs="Arial" w:eastAsia="Arial" w:hAnsi="Arial"/>
          <w:b/>
          <w:bCs/>
          <w:color w:val="1B3A6B"/>
          <w:sz w:val="24"/>
          <w:szCs w:val="24"/>
        </w:rPr>
        <w:t xml:space="preserve">Story 4: Dollar Under Sustained Pressure — Seven Sessions of Losses</w:t>
      </w:r>
    </w:p>
    <w:p>
      <w:pPr>
        <w:spacing w:after="80" w:before="80"/>
      </w:pPr>
      <w:r>
        <w:rPr>
          <w:rFonts w:ascii="Arial" w:cs="Arial" w:eastAsia="Arial" w:hAnsi="Arial"/>
          <w:sz w:val="22"/>
          <w:szCs w:val="22"/>
        </w:rPr>
        <w:t xml:space="preserve">The U.S. Dollar Index (DXY) has now fallen for seven consecutive sessions, touching its lowest level since late February — before the Iran conflict began — at roughly 98.3. The decline has been driven by a confluence of forces: market optimism about eventual Iran diplomacy reducing safe-haven demand, the prospect of a single Fed rate cut later this year, and a rotation toward risk assets in both equities and crypto.</w:t>
      </w:r>
    </w:p>
    <w:p>
      <w:pPr>
        <w:spacing w:after="80" w:before="80"/>
      </w:pPr>
      <w:r>
        <w:rPr>
          <w:rFonts w:ascii="Arial" w:cs="Arial" w:eastAsia="Arial" w:hAnsi="Arial"/>
          <w:sz w:val="22"/>
          <w:szCs w:val="22"/>
        </w:rPr>
        <w:t xml:space="preserve">The dollar's weakness has meaningful cross-asset implications. A softer DXY is typically bullish for gold, commodities priced in dollars, and emerging market assets. Gold is trading near $4,760 per ounce — still below its conflict-era peaks but sharply rebounding. The euro and pound are gaining ground. Perhaps most notable is the signal: institutional positioning on the dollar has reached 14-year record bear levels, suggesting that the market's consensus view is that dollar dominance may be structurally eroding.</w:t>
      </w:r>
    </w:p>
    <w:p>
      <w:pPr>
        <w:spacing w:after="80" w:before="80"/>
      </w:pPr>
      <w:r>
        <w:rPr>
          <w:rFonts w:ascii="Arial" w:cs="Arial" w:eastAsia="Arial" w:hAnsi="Arial"/>
          <w:sz w:val="22"/>
          <w:szCs w:val="22"/>
        </w:rPr>
        <w:t xml:space="preserve">For equity investors, dollar weakness is a tailwind for U.S. multinationals reporting in the weeks ahead. Companies with significant overseas revenue — technology giants, industrials, consumer staples multinationals — will see favorable translation effects in their Q1 reports.</w:t>
      </w:r>
    </w:p>
    <w:p>
      <w:pPr>
        <w:spacing w:after="60" w:before="200"/>
      </w:pPr>
      <w:r>
        <w:rPr>
          <w:rFonts w:ascii="Arial" w:cs="Arial" w:eastAsia="Arial" w:hAnsi="Arial"/>
          <w:b/>
          <w:bCs/>
          <w:color w:val="1B3A6B"/>
          <w:sz w:val="24"/>
          <w:szCs w:val="24"/>
        </w:rPr>
        <w:t xml:space="preserve">Story 5: China's Export Machine Hits a Headwind</w:t>
      </w:r>
    </w:p>
    <w:p>
      <w:pPr>
        <w:spacing w:after="80" w:before="80"/>
      </w:pPr>
      <w:r>
        <w:rPr>
          <w:rFonts w:ascii="Arial" w:cs="Arial" w:eastAsia="Arial" w:hAnsi="Arial"/>
          <w:sz w:val="22"/>
          <w:szCs w:val="22"/>
        </w:rPr>
        <w:t xml:space="preserve">China's March trade data, released alongside the Asian market session, showed export growth losing momentum as manufacturers face rising commodity and energy costs linked to Middle East supply disruptions. While imports posted their fastest expansion in more than four years — a bullish signal for domestic demand — the export picture suggests that China's manufacturers are absorbing higher input costs that are increasingly difficult to pass through to customers.</w:t>
      </w:r>
    </w:p>
    <w:p>
      <w:pPr>
        <w:spacing w:after="80" w:before="80"/>
      </w:pPr>
      <w:r>
        <w:rPr>
          <w:rFonts w:ascii="Arial" w:cs="Arial" w:eastAsia="Arial" w:hAnsi="Arial"/>
          <w:sz w:val="22"/>
          <w:szCs w:val="22"/>
        </w:rPr>
        <w:t xml:space="preserve">The CSI 300 rose 1.19% and the Nikkei surged 2.43%, both aided by Iran optimism and a weaker dollar rather than the Chinese trade data itself. Beijing's policy response — if any — will be the variable to watch. Any stimulus announcement or yuan depreciation move could shift the emerging market narrative quickly.</w:t>
      </w:r>
    </w:p>
    <w:p>
      <w:pPr>
        <w:spacing w:after="60" w:before="200"/>
      </w:pPr>
      <w:r>
        <w:rPr>
          <w:rFonts w:ascii="Arial" w:cs="Arial" w:eastAsia="Arial" w:hAnsi="Arial"/>
          <w:b/>
          <w:bCs/>
          <w:color w:val="1B3A6B"/>
          <w:sz w:val="24"/>
          <w:szCs w:val="24"/>
        </w:rPr>
        <w:t xml:space="preserve">Story 6: Bitcoin Hits 4-Week High on Peace Hopes and Dollar Weakness</w:t>
      </w:r>
    </w:p>
    <w:p>
      <w:pPr>
        <w:spacing w:after="80" w:before="80"/>
      </w:pPr>
      <w:r>
        <w:rPr>
          <w:rFonts w:ascii="Arial" w:cs="Arial" w:eastAsia="Arial" w:hAnsi="Arial"/>
          <w:sz w:val="22"/>
          <w:szCs w:val="22"/>
        </w:rPr>
        <w:t xml:space="preserve">Bitcoin touched $75,859 on Tuesday, its highest level in four weeks, as the crypto market rallied alongside equities on Iran deal optimism. Trading volume surged 88% to $58.97 billion — a sign of genuine institutional participation, not just retail enthusiasm. Ethereum added 8.42%, outperforming Bitcoin on a percentage basis and signaling that risk appetite has broadened beyond the flagship asset. XRP gained 2.96%.</w:t>
      </w:r>
    </w:p>
    <w:p>
      <w:pPr>
        <w:spacing w:after="80" w:before="80"/>
      </w:pPr>
      <w:r>
        <w:rPr>
          <w:rFonts w:ascii="Arial" w:cs="Arial" w:eastAsia="Arial" w:hAnsi="Arial"/>
          <w:sz w:val="22"/>
          <w:szCs w:val="22"/>
        </w:rPr>
        <w:t xml:space="preserve">The correlation between crypto and geopolitics has never been cleaner: the April 7 ceasefire trade showed how quickly Bitcoin repriced when conflict risk faded. The same dynamic is playing out today. Analysts note that the combination of a weaker dollar, falling oil prices, and geopolitical de-escalation creates a near-perfect environment for crypto to run. Watch the $80,000 level as the next key psychological resistance on BTC.</w:t>
      </w:r>
    </w:p>
    <w:p>
      <w:pPr>
        <w:spacing w:after="0" w:before="120"/>
      </w:pPr>
    </w:p>
    <w:p>
      <w:pPr>
        <w:pStyle w:val="Heading1"/>
        <w:pBdr>
          <w:bottom w:val="single" w:color="B8962E" w:sz="6" w:space="4"/>
        </w:pBdr>
        <w:spacing w:after="80" w:before="320"/>
      </w:pPr>
      <w:r>
        <w:rPr>
          <w:rFonts w:ascii="Arial" w:cs="Arial" w:eastAsia="Arial" w:hAnsi="Arial"/>
          <w:b/>
          <w:bCs/>
          <w:color w:val="1B3A6B"/>
          <w:sz w:val="28"/>
          <w:szCs w:val="28"/>
        </w:rPr>
        <w:t xml:space="preserve">4. MACRO &amp; FED WATCH</w:t>
      </w:r>
    </w:p>
    <w:p>
      <w:pPr>
        <w:spacing w:after="80" w:before="80"/>
      </w:pPr>
      <w:r>
        <w:rPr>
          <w:rFonts w:ascii="Arial" w:cs="Arial" w:eastAsia="Arial" w:hAnsi="Arial"/>
          <w:sz w:val="22"/>
          <w:szCs w:val="22"/>
        </w:rPr>
        <w:t xml:space="preserve">The Federal Reserve remains on hold, and with good reason. At its March 17-18 meeting, the FOMC voted 11-1 to maintain the federal funds rate at the 3.5%–3.75% target range — a second consecutive hold as policymakers navigate a dual-threat environment of still-elevated inflation and an economy facing headwinds from geopolitical disruption. Governor Stephen Miran was the lone dissenter, voting for a quarter-point cut.</w:t>
      </w:r>
    </w:p>
    <w:p>
      <w:pPr>
        <w:spacing w:after="80" w:before="80"/>
      </w:pPr>
      <w:r>
        <w:rPr>
          <w:rFonts w:ascii="Arial" w:cs="Arial" w:eastAsia="Arial" w:hAnsi="Arial"/>
          <w:sz w:val="22"/>
          <w:szCs w:val="22"/>
        </w:rPr>
        <w:t xml:space="preserve">The inflation picture remains murky but improving on the margin. PCE inflation stands at approximately 3.3% year-over-year, with core PCE at 2.7% — both above the Fed's 2% target. However, today's soft core PPI reading (+0.1% MoM) suggests that the pipeline of goods price inflation is weakening, which typically feeds into PCE with a 2-3 month lag. If the Iran situation resolves and energy prices normalize, the Fed could find itself looking at meaningfully lower inflation numbers by summer.</w:t>
      </w:r>
    </w:p>
    <w:p>
      <w:pPr>
        <w:spacing w:after="80" w:before="80"/>
      </w:pPr>
      <w:r>
        <w:rPr>
          <w:rFonts w:ascii="Arial" w:cs="Arial" w:eastAsia="Arial" w:hAnsi="Arial"/>
          <w:sz w:val="22"/>
          <w:szCs w:val="22"/>
        </w:rPr>
        <w:t xml:space="preserve">Rate expectations are anchored firmly. Fed funds futures are pricing a 97%+ probability that the April 28 FOMC meeting results in no change. The first real chance of a cut is being priced for September 2026, with futures implying roughly one 25bps cut for the full year. This matches the Fed's own dot plot guidance.</w:t>
      </w:r>
    </w:p>
    <w:p>
      <w:pPr>
        <w:spacing w:after="80" w:before="80"/>
      </w:pPr>
      <w:r>
        <w:rPr>
          <w:rFonts w:ascii="Arial" w:cs="Arial" w:eastAsia="Arial" w:hAnsi="Arial"/>
          <w:sz w:val="22"/>
          <w:szCs w:val="22"/>
        </w:rPr>
        <w:t xml:space="preserve">The yield curve bears watching. The 10-year Treasury at 4.31% and a 2-year near 4.05% suggests the spread is slowly normalizing after a prolonged inversion. Historical evidence — as noted by multiple strategists this week — suggests that "un-inversions" have preceded every recession since 1970. This is not necessarily a near-term alarm bell, but it is a structural signal worth monitoring. The Fed Beige Book releases at 2:00 PM ET today and will provide anecdotal color on regional economic conditions.</w:t>
      </w:r>
    </w:p>
    <w:p>
      <w:pPr>
        <w:spacing w:after="0" w:before="120"/>
      </w:pPr>
    </w:p>
    <w:p>
      <w:pPr>
        <w:pStyle w:val="Heading1"/>
        <w:pBdr>
          <w:bottom w:val="single" w:color="B8962E" w:sz="6" w:space="4"/>
        </w:pBdr>
        <w:spacing w:after="80" w:before="320"/>
      </w:pPr>
      <w:r>
        <w:rPr>
          <w:rFonts w:ascii="Arial" w:cs="Arial" w:eastAsia="Arial" w:hAnsi="Arial"/>
          <w:b/>
          <w:bCs/>
          <w:color w:val="1B3A6B"/>
          <w:sz w:val="28"/>
          <w:szCs w:val="28"/>
        </w:rPr>
        <w:t xml:space="preserve">5. ECONOMIC CALENDAR — TODAY, APRIL 14, 2026</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400"/>
        <w:gridCol w:w="1400"/>
        <w:gridCol w:w="2760"/>
      </w:tblGrid>
      <w:tr>
        <w:trPr>
          <w:tblHeader/>
        </w:trPr>
        <w:tc>
          <w:tcPr>
            <w:tcW w:type="dxa" w:w="120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TIME (ET)</w:t>
            </w:r>
          </w:p>
        </w:tc>
        <w:tc>
          <w:tcPr>
            <w:tcW w:type="dxa" w:w="260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INDICATOR</w:t>
            </w:r>
          </w:p>
        </w:tc>
        <w:tc>
          <w:tcPr>
            <w:tcW w:type="dxa" w:w="140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PRIOR</w:t>
            </w:r>
          </w:p>
        </w:tc>
        <w:tc>
          <w:tcPr>
            <w:tcW w:type="dxa" w:w="140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CONSENSUS</w:t>
            </w:r>
          </w:p>
        </w:tc>
        <w:tc>
          <w:tcPr>
            <w:tcW w:type="dxa" w:w="276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WHY IT MATTERS</w:t>
            </w:r>
          </w:p>
        </w:tc>
      </w:tr>
      <w:tr>
        <w:tc>
          <w:tcPr>
            <w:tcW w:type="dxa" w:w="12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8:30 AM</w:t>
            </w:r>
          </w:p>
        </w:tc>
        <w:tc>
          <w:tcPr>
            <w:tcW w:type="dxa" w:w="26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PPI Final Demand (Mar) — RELEASED</w:t>
            </w:r>
          </w:p>
        </w:tc>
        <w:tc>
          <w:tcPr>
            <w:tcW w:type="dxa" w:w="14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+0.8%</w:t>
            </w:r>
          </w:p>
        </w:tc>
        <w:tc>
          <w:tcPr>
            <w:tcW w:type="dxa" w:w="14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+1.1%</w:t>
            </w:r>
          </w:p>
        </w:tc>
        <w:tc>
          <w:tcPr>
            <w:tcW w:type="dxa" w:w="276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BEAT: +0.5% actual; signals supply-side disinflation.</w:t>
            </w:r>
          </w:p>
        </w:tc>
      </w:tr>
      <w:tr>
        <w:tc>
          <w:tcPr>
            <w:tcW w:type="dxa" w:w="12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8:30 AM</w:t>
            </w:r>
          </w:p>
        </w:tc>
        <w:tc>
          <w:tcPr>
            <w:tcW w:type="dxa" w:w="26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Core PPI ex-Food &amp; Energy (Mar)</w:t>
            </w:r>
          </w:p>
        </w:tc>
        <w:tc>
          <w:tcPr>
            <w:tcW w:type="dxa" w:w="14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+0.4%</w:t>
            </w:r>
          </w:p>
        </w:tc>
        <w:tc>
          <w:tcPr>
            <w:tcW w:type="dxa" w:w="14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+0.5%</w:t>
            </w:r>
          </w:p>
        </w:tc>
        <w:tc>
          <w:tcPr>
            <w:tcW w:type="dxa" w:w="276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BEAT: +0.1% actual; reduces fear of persistent inflation.</w:t>
            </w:r>
          </w:p>
        </w:tc>
      </w:tr>
      <w:tr>
        <w:tc>
          <w:tcPr>
            <w:tcW w:type="dxa" w:w="12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8:30 AM</w:t>
            </w:r>
          </w:p>
        </w:tc>
        <w:tc>
          <w:tcPr>
            <w:tcW w:type="dxa" w:w="26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PPI Year-over-Year (Mar)</w:t>
            </w:r>
          </w:p>
        </w:tc>
        <w:tc>
          <w:tcPr>
            <w:tcW w:type="dxa" w:w="14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+3.5%</w:t>
            </w:r>
          </w:p>
        </w:tc>
        <w:tc>
          <w:tcPr>
            <w:tcW w:type="dxa" w:w="14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+3.8%</w:t>
            </w:r>
          </w:p>
        </w:tc>
        <w:tc>
          <w:tcPr>
            <w:tcW w:type="dxa" w:w="276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ACTUAL: +4.0% YoY — energy distortion from Iran premium.</w:t>
            </w:r>
          </w:p>
        </w:tc>
      </w:tr>
      <w:tr>
        <w:tc>
          <w:tcPr>
            <w:tcW w:type="dxa" w:w="12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10:00 AM</w:t>
            </w:r>
          </w:p>
        </w:tc>
        <w:tc>
          <w:tcPr>
            <w:tcW w:type="dxa" w:w="26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NFIB Small Business Optimism (Mar)</w:t>
            </w:r>
          </w:p>
        </w:tc>
        <w:tc>
          <w:tcPr>
            <w:tcW w:type="dxa" w:w="14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97.4</w:t>
            </w:r>
          </w:p>
        </w:tc>
        <w:tc>
          <w:tcPr>
            <w:tcW w:type="dxa" w:w="14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97.0 est.</w:t>
            </w:r>
          </w:p>
        </w:tc>
        <w:tc>
          <w:tcPr>
            <w:tcW w:type="dxa" w:w="276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Proxy for Main Street confidence amid geopolitical stress.</w:t>
            </w:r>
          </w:p>
        </w:tc>
      </w:tr>
      <w:tr>
        <w:tc>
          <w:tcPr>
            <w:tcW w:type="dxa" w:w="12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2:00 PM</w:t>
            </w:r>
          </w:p>
        </w:tc>
        <w:tc>
          <w:tcPr>
            <w:tcW w:type="dxa" w:w="26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Fed Beige Book (Regional Anecdotes)</w:t>
            </w:r>
          </w:p>
        </w:tc>
        <w:tc>
          <w:tcPr>
            <w:tcW w:type="dxa" w:w="14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N/A</w:t>
            </w:r>
          </w:p>
        </w:tc>
        <w:tc>
          <w:tcPr>
            <w:tcW w:type="dxa" w:w="14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N/A</w:t>
            </w:r>
          </w:p>
        </w:tc>
        <w:tc>
          <w:tcPr>
            <w:tcW w:type="dxa" w:w="276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Anecdotal glimpse into regional economic conditions.</w:t>
            </w:r>
          </w:p>
        </w:tc>
      </w:tr>
    </w:tbl>
    <w:p>
      <w:pPr>
        <w:spacing w:after="0" w:before="160"/>
      </w:pPr>
    </w:p>
    <w:p>
      <w:pPr>
        <w:pStyle w:val="Heading1"/>
        <w:pBdr>
          <w:bottom w:val="single" w:color="B8962E" w:sz="6" w:space="4"/>
        </w:pBdr>
        <w:spacing w:after="80" w:before="320"/>
      </w:pPr>
      <w:r>
        <w:rPr>
          <w:rFonts w:ascii="Arial" w:cs="Arial" w:eastAsia="Arial" w:hAnsi="Arial"/>
          <w:b/>
          <w:bCs/>
          <w:color w:val="1B3A6B"/>
          <w:sz w:val="28"/>
          <w:szCs w:val="28"/>
        </w:rPr>
        <w:t xml:space="preserve">6. EARNINGS WATCH</w:t>
      </w:r>
    </w:p>
    <w:p>
      <w:pPr>
        <w:spacing w:after="80" w:before="80"/>
      </w:pPr>
      <w:r>
        <w:rPr>
          <w:rFonts w:ascii="Arial" w:cs="Arial" w:eastAsia="Arial" w:hAnsi="Arial"/>
          <w:sz w:val="22"/>
          <w:szCs w:val="22"/>
        </w:rPr>
        <w:t xml:space="preserve">Q1 2026 earnings season is underway, kicked off by the major U.S. banks. The S&amp;P 500 Financials sector entered this quarter with consensus expectations for approximately 12% year-over-year EPS growth — powered by trading volatility windfalls, recovering investment banking fees, and resilient loan growth.</w:t>
      </w:r>
    </w:p>
    <w:p>
      <w:pPr>
        <w:spacing w:after="80" w:before="80"/>
      </w:pPr>
      <w:r>
        <w:rPr>
          <w:rFonts w:ascii="Arial" w:cs="Arial" w:eastAsia="Arial" w:hAnsi="Arial"/>
          <w:b/>
          <w:bCs/>
          <w:color w:val="1B3A6B"/>
          <w:sz w:val="22"/>
          <w:szCs w:val="22"/>
        </w:rPr>
        <w:t xml:space="preserve">JPMorgan Chase (JPM) — Reported Pre-Market: </w:t>
      </w:r>
      <w:r>
        <w:rPr>
          <w:rFonts w:ascii="Arial" w:cs="Arial" w:eastAsia="Arial" w:hAnsi="Arial"/>
          <w:sz w:val="22"/>
          <w:szCs w:val="22"/>
        </w:rPr>
        <w:t xml:space="preserve">Record trading revenue of $11.6 billion in Q1, up 20% year-over-year — the largest quarterly haul in the firm's history. The markets business benefited from elevated client activity as geopolitical uncertainty drove hedging and repositioning demand. CEO Jamie Dimon used the earnings call platform to flag macro risks: recession preparedness, AI disruption across financial services, and the opacity of private credit markets. JPMorgan's fortress balance sheet and diversified revenue streams make it the standard against which Q1 bank results will be measured. Options-implied move: ~3%.</w:t>
      </w:r>
    </w:p>
    <w:p>
      <w:pPr>
        <w:spacing w:after="80" w:before="80"/>
      </w:pPr>
      <w:r>
        <w:rPr>
          <w:rFonts w:ascii="Arial" w:cs="Arial" w:eastAsia="Arial" w:hAnsi="Arial"/>
          <w:b/>
          <w:bCs/>
          <w:color w:val="1B3A6B"/>
          <w:sz w:val="22"/>
          <w:szCs w:val="22"/>
        </w:rPr>
        <w:t xml:space="preserve">Citigroup (C) — Reported Pre-Market: </w:t>
      </w:r>
      <w:r>
        <w:rPr>
          <w:rFonts w:ascii="Arial" w:cs="Arial" w:eastAsia="Arial" w:hAnsi="Arial"/>
          <w:sz w:val="22"/>
          <w:szCs w:val="22"/>
        </w:rPr>
        <w:t xml:space="preserve">Net income surged 42% year-over-year to $5.8 billion. EPS of $3.06 was a wide beat versus the $2.63 consensus. CEO Jane Fraser's multi-year transformation plan appears to be gaining traction, with the bank's simplified operating model generating better returns than analysts had modeled. This is the quarter that may force a rerating of Citi's discount-to-book valuation. Options-implied move: ~4%.</w:t>
      </w:r>
    </w:p>
    <w:p>
      <w:pPr>
        <w:spacing w:after="80" w:before="80"/>
      </w:pPr>
      <w:r>
        <w:rPr>
          <w:rFonts w:ascii="Arial" w:cs="Arial" w:eastAsia="Arial" w:hAnsi="Arial"/>
          <w:b/>
          <w:bCs/>
          <w:color w:val="1B3A6B"/>
          <w:sz w:val="22"/>
          <w:szCs w:val="22"/>
        </w:rPr>
        <w:t xml:space="preserve">Wells Fargo (WFC) — Reported Pre-Market: </w:t>
      </w:r>
      <w:r>
        <w:rPr>
          <w:rFonts w:ascii="Arial" w:cs="Arial" w:eastAsia="Arial" w:hAnsi="Arial"/>
          <w:sz w:val="22"/>
          <w:szCs w:val="22"/>
        </w:rPr>
        <w:t xml:space="preserve">EPS of $1.60 beat the $1.59 estimate by a penny — but that was the good news. Revenue of $21.45 billion missed the $21.77 billion forecast, and net interest income disappointed as higher funding costs squeezed margins. Shares are down over 6% in pre-market to approximately $83.30. The bank's loan book grew impressively — average loans up 10% YoY to near $1 trillion — but deposit repricing pressure is real. Options-implied move: ~5% (already triggered on the downside).</w:t>
      </w:r>
    </w:p>
    <w:p>
      <w:pPr>
        <w:spacing w:after="80" w:before="80"/>
      </w:pPr>
      <w:r>
        <w:rPr>
          <w:rFonts w:ascii="Arial" w:cs="Arial" w:eastAsia="Arial" w:hAnsi="Arial"/>
          <w:b/>
          <w:bCs/>
          <w:color w:val="1B3A6B"/>
          <w:sz w:val="22"/>
          <w:szCs w:val="22"/>
        </w:rPr>
        <w:t xml:space="preserve">Goldman Sachs (GS) — Reported Monday: </w:t>
      </w:r>
      <w:r>
        <w:rPr>
          <w:rFonts w:ascii="Arial" w:cs="Arial" w:eastAsia="Arial" w:hAnsi="Arial"/>
          <w:sz w:val="22"/>
          <w:szCs w:val="22"/>
        </w:rPr>
        <w:t xml:space="preserve">Estimated revenues of ~$16.9 billion for Q1 2026 (+12% YoY) on surging equities trading. Goldman's fixed income and equity desks both benefited from the Iran-conflict volatility regime. Investment banking fees are recovering as M&amp;A pipeline activity picks up after a slow 2025. Morgan Stanley reports Thursday.</w:t>
      </w:r>
    </w:p>
    <w:p>
      <w:pPr>
        <w:spacing w:after="0" w:before="120"/>
      </w:pPr>
    </w:p>
    <w:p>
      <w:pPr>
        <w:pStyle w:val="Heading1"/>
        <w:pBdr>
          <w:bottom w:val="single" w:color="B8962E" w:sz="6" w:space="4"/>
        </w:pBdr>
        <w:spacing w:after="80" w:before="320"/>
      </w:pPr>
      <w:r>
        <w:rPr>
          <w:rFonts w:ascii="Arial" w:cs="Arial" w:eastAsia="Arial" w:hAnsi="Arial"/>
          <w:b/>
          <w:bCs/>
          <w:color w:val="1B3A6B"/>
          <w:sz w:val="28"/>
          <w:szCs w:val="28"/>
        </w:rPr>
        <w:t xml:space="preserve">7. SECTOR SPOTLIGHT</w:t>
      </w:r>
    </w:p>
    <w:p>
      <w:pPr>
        <w:spacing w:after="60" w:before="200"/>
      </w:pPr>
      <w:r>
        <w:rPr>
          <w:rFonts w:ascii="Arial" w:cs="Arial" w:eastAsia="Arial" w:hAnsi="Arial"/>
          <w:b/>
          <w:bCs/>
          <w:color w:val="1B3A6B"/>
          <w:sz w:val="24"/>
          <w:szCs w:val="24"/>
        </w:rPr>
        <w:t xml:space="preserve">Financials — The Earnings Kingmaker</w:t>
      </w:r>
    </w:p>
    <w:p>
      <w:pPr>
        <w:spacing w:after="80" w:before="80"/>
      </w:pPr>
      <w:r>
        <w:rPr>
          <w:rFonts w:ascii="Arial" w:cs="Arial" w:eastAsia="Arial" w:hAnsi="Arial"/>
          <w:sz w:val="22"/>
          <w:szCs w:val="22"/>
        </w:rPr>
        <w:t xml:space="preserve">The Financials sector is center stage this week, and the early returns are a tale of two business models. Trading-heavy institutions like JPMorgan and Goldman are posting record or near-record results as volatility — historically the enemy of long-term investors — proves to be the best friend of market-making desks. Net-interest-income-dependent banks like Wells Fargo are feeling the squeeze: deposit repricing continues to erode the margin advantage that rising rates once provided, while loan growth provides limited offset. The sector rotation underway favors capital markets firms over traditional commercial lenders.</w:t>
      </w:r>
    </w:p>
    <w:p>
      <w:pPr>
        <w:spacing w:after="60" w:before="200"/>
      </w:pPr>
      <w:r>
        <w:rPr>
          <w:rFonts w:ascii="Arial" w:cs="Arial" w:eastAsia="Arial" w:hAnsi="Arial"/>
          <w:b/>
          <w:bCs/>
          <w:color w:val="1B3A6B"/>
          <w:sz w:val="24"/>
          <w:szCs w:val="24"/>
        </w:rPr>
        <w:t xml:space="preserve">Energy — The Geopolitical Yo-Yo</w:t>
      </w:r>
    </w:p>
    <w:p>
      <w:pPr>
        <w:spacing w:after="80" w:before="80"/>
      </w:pPr>
      <w:r>
        <w:rPr>
          <w:rFonts w:ascii="Arial" w:cs="Arial" w:eastAsia="Arial" w:hAnsi="Arial"/>
          <w:sz w:val="22"/>
          <w:szCs w:val="22"/>
        </w:rPr>
        <w:t xml:space="preserve">Energy is experiencing its most violent intraday swings in years. WTI crude's 5%+ decline today — following Monday's surge above $104 — reflects the market's exhaustion with the Iran binary trade. Energy stocks are highly correlated to crude pricing, meaning the XLE (Energy Select SPDR ETF) is whipsawing investors daily. The longer-term structural question: if a lasting Iran deal is reached, is the energy sector's 2026 outperformance thesis entirely dependent on sustained Middle East tension? Several analysts are beginning to argue yes — and that makes the sector a geopolitical option, not a fundamental investment.</w:t>
      </w:r>
    </w:p>
    <w:p>
      <w:pPr>
        <w:spacing w:after="0" w:before="120"/>
      </w:pPr>
    </w:p>
    <w:p>
      <w:pPr>
        <w:pStyle w:val="Heading1"/>
        <w:pBdr>
          <w:bottom w:val="single" w:color="B8962E" w:sz="6" w:space="4"/>
        </w:pBdr>
        <w:spacing w:after="80" w:before="320"/>
      </w:pPr>
      <w:r>
        <w:rPr>
          <w:rFonts w:ascii="Arial" w:cs="Arial" w:eastAsia="Arial" w:hAnsi="Arial"/>
          <w:b/>
          <w:bCs/>
          <w:color w:val="1B3A6B"/>
          <w:sz w:val="28"/>
          <w:szCs w:val="28"/>
        </w:rPr>
        <w:t xml:space="preserve">8. ANALYST CALLS &amp; UPGRADES/DOWNGRADES</w:t>
      </w:r>
    </w:p>
    <w:p>
      <w:pPr>
        <w:spacing w:after="80" w:before="80"/>
      </w:pPr>
      <w:r>
        <w:rPr>
          <w:rFonts w:ascii="Arial" w:cs="Arial" w:eastAsia="Arial" w:hAnsi="Arial"/>
          <w:i/>
          <w:iCs/>
          <w:color w:val="888888"/>
          <w:sz w:val="22"/>
          <w:szCs w:val="22"/>
        </w:rPr>
        <w:t xml:space="preserve">Notable analyst rating changes from the past 24 hours: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360"/>
      </w:tblGrid>
      <w:tr>
        <w:trPr>
          <w:tblHeader/>
        </w:trPr>
        <w:tc>
          <w:tcPr>
            <w:tcW w:type="dxa" w:w="150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FIRM</w:t>
            </w:r>
          </w:p>
        </w:tc>
        <w:tc>
          <w:tcPr>
            <w:tcW w:type="dxa" w:w="150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STOCK</w:t>
            </w:r>
          </w:p>
        </w:tc>
        <w:tc>
          <w:tcPr>
            <w:tcW w:type="dxa" w:w="150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150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NEW TARGET</w:t>
            </w:r>
          </w:p>
        </w:tc>
        <w:tc>
          <w:tcPr>
            <w:tcW w:type="dxa" w:w="3360"/>
            <w:shd w:fill="1B3A6B"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RATIONALE</w:t>
            </w:r>
          </w:p>
        </w:tc>
      </w:tr>
      <w:tr>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UBS (Joseph Spak)</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Tesla (TSLA)</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Sell → Neutral</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$352</w:t>
            </w:r>
          </w:p>
        </w:tc>
        <w:tc>
          <w:tcPr>
            <w:tcW w:type="dxa" w:w="336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Selloff creates entry; AI/robotics pivot credible.</w:t>
            </w:r>
          </w:p>
        </w:tc>
      </w:tr>
      <w:tr>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UBS (Joseph Spak)</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Ford Motor (F)</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Neutral → Buy</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$15</w:t>
            </w:r>
          </w:p>
        </w:tc>
        <w:tc>
          <w:tcPr>
            <w:tcW w:type="dxa" w:w="336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EV cost improvements; relative value vs. peers.</w:t>
            </w:r>
          </w:p>
        </w:tc>
      </w:tr>
      <w:tr>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Piper Sandler</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Biogen (BIIB)</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Neutral → Overweight</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$214</w:t>
            </w:r>
          </w:p>
        </w:tc>
        <w:tc>
          <w:tcPr>
            <w:tcW w:type="dxa" w:w="336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New drug launch pipeline underpriced by market.</w:t>
            </w:r>
          </w:p>
        </w:tc>
      </w:tr>
      <w:tr>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Barclays</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Marvell Tech (MRVL)</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Equal-Wt → Overweight</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$150</w:t>
            </w:r>
          </w:p>
        </w:tc>
        <w:tc>
          <w:tcPr>
            <w:tcW w:type="dxa" w:w="336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AI accelerator demand; data-center custom silicon.</w:t>
            </w:r>
          </w:p>
        </w:tc>
      </w:tr>
      <w:tr>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Seaport Global</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VF Corp (VFC)</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Neutral → Buy</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$24</w:t>
            </w:r>
          </w:p>
        </w:tc>
        <w:tc>
          <w:tcPr>
            <w:tcW w:type="dxa" w:w="336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Restructuring progress; brand recovery early innings.</w:t>
            </w:r>
          </w:p>
        </w:tc>
      </w:tr>
      <w:tr>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Seaport Global</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Crocs (CROX)</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Neutral → Buy</w:t>
            </w:r>
          </w:p>
        </w:tc>
        <w:tc>
          <w:tcPr>
            <w:tcW w:type="dxa" w:w="150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$135</w:t>
            </w:r>
          </w:p>
        </w:tc>
        <w:tc>
          <w:tcPr>
            <w:tcW w:type="dxa" w:w="3360"/>
            <w:shd w:fill="FFFFFF" w:val="clear"/>
            <w:tcMar>
              <w:top w:type="dxa" w:w="80"/>
              <w:left w:type="dxa" w:w="120"/>
              <w:bottom w:type="dxa" w:w="80"/>
              <w:right w:type="dxa" w:w="120"/>
            </w:tcMar>
          </w:tcPr>
          <w:p>
            <w:pPr>
              <w:jc w:val="left"/>
            </w:pPr>
            <w:r>
              <w:rPr>
                <w:rFonts w:ascii="Arial" w:cs="Arial" w:eastAsia="Arial" w:hAnsi="Arial"/>
                <w:b w:val="false"/>
                <w:bCs w:val="false"/>
                <w:color w:val="222222"/>
                <w:sz w:val="18"/>
                <w:szCs w:val="18"/>
              </w:rPr>
              <w:t xml:space="preserve">Strong consumer footwear demand; margin expansion.</w:t>
            </w:r>
          </w:p>
        </w:tc>
      </w:tr>
    </w:tbl>
    <w:p>
      <w:pPr>
        <w:spacing w:after="0" w:before="160"/>
      </w:pPr>
    </w:p>
    <w:p>
      <w:pPr>
        <w:pStyle w:val="Heading1"/>
        <w:pBdr>
          <w:bottom w:val="single" w:color="B8962E" w:sz="6" w:space="4"/>
        </w:pBdr>
        <w:spacing w:after="80" w:before="320"/>
      </w:pPr>
      <w:r>
        <w:rPr>
          <w:rFonts w:ascii="Arial" w:cs="Arial" w:eastAsia="Arial" w:hAnsi="Arial"/>
          <w:b/>
          <w:bCs/>
          <w:color w:val="1B3A6B"/>
          <w:sz w:val="28"/>
          <w:szCs w:val="28"/>
        </w:rPr>
        <w:t xml:space="preserve">9. STOCKS TO WATCH</w:t>
      </w:r>
    </w:p>
    <w:p>
      <w:pPr>
        <w:spacing w:after="60" w:before="200"/>
      </w:pPr>
      <w:r>
        <w:rPr>
          <w:rFonts w:ascii="Arial" w:cs="Arial" w:eastAsia="Arial" w:hAnsi="Arial"/>
          <w:b/>
          <w:bCs/>
          <w:color w:val="1B3A6B"/>
          <w:sz w:val="24"/>
          <w:szCs w:val="24"/>
        </w:rPr>
        <w:t xml:space="preserve">Tesla (TSLA) — The Upgrade That Changes the Story</w:t>
      </w:r>
    </w:p>
    <w:p>
      <w:pPr>
        <w:spacing w:after="80" w:before="80"/>
      </w:pPr>
      <w:r>
        <w:rPr>
          <w:rFonts w:ascii="Arial" w:cs="Arial" w:eastAsia="Arial" w:hAnsi="Arial"/>
          <w:sz w:val="22"/>
          <w:szCs w:val="22"/>
        </w:rPr>
        <w:t xml:space="preserve">UBS's Joseph Spak flipped his Tesla rating from Sell to Neutral Tuesday — a significant capitulation from one of the Street's most visible bears. The rationale: the recent selloff has made the risk/reward less asymmetric to the downside, and the company's pivot toward AI infrastructure and its humanoid robotics program (Optimus) represents a credible long-term optionality that Spak previously discounted. Key level to watch: $352 is UBS's new target. Options activity was elevated heading into the session, with call interest concentrated in the $360-$380 strike range for May expiry.</w:t>
      </w:r>
    </w:p>
    <w:p>
      <w:pPr>
        <w:spacing w:after="60" w:before="200"/>
      </w:pPr>
      <w:r>
        <w:rPr>
          <w:rFonts w:ascii="Arial" w:cs="Arial" w:eastAsia="Arial" w:hAnsi="Arial"/>
          <w:b/>
          <w:bCs/>
          <w:color w:val="1B3A6B"/>
          <w:sz w:val="24"/>
          <w:szCs w:val="24"/>
        </w:rPr>
        <w:t xml:space="preserve">Wells Fargo (WFC) — Punished for the Miss</w:t>
      </w:r>
    </w:p>
    <w:p>
      <w:pPr>
        <w:spacing w:after="80" w:before="80"/>
      </w:pPr>
      <w:r>
        <w:rPr>
          <w:rFonts w:ascii="Arial" w:cs="Arial" w:eastAsia="Arial" w:hAnsi="Arial"/>
          <w:sz w:val="22"/>
          <w:szCs w:val="22"/>
        </w:rPr>
        <w:t xml:space="preserve">Wells Fargo is the most actionable name in the pre-market today following a 6%+ decline on its revenue miss. The question for investors is whether today's selloff represents a buying opportunity or the start of a more sustained de-rating. The bank's loan book is growing impressively, but NII compression is a structural headwind until the Fed cuts. Key levels: $83 is immediate pre-market support; the 200-day moving average (near $85) will become near-term resistance. CEO Charlie Scharf's commentary on the asset cap removal timeline will be closely parsed.</w:t>
      </w:r>
    </w:p>
    <w:p>
      <w:pPr>
        <w:spacing w:after="60" w:before="200"/>
      </w:pPr>
      <w:r>
        <w:rPr>
          <w:rFonts w:ascii="Arial" w:cs="Arial" w:eastAsia="Arial" w:hAnsi="Arial"/>
          <w:b/>
          <w:bCs/>
          <w:color w:val="1B3A6B"/>
          <w:sz w:val="24"/>
          <w:szCs w:val="24"/>
        </w:rPr>
        <w:t xml:space="preserve">Marvell Technology (MRVL) — Barclays Sees AI Upside</w:t>
      </w:r>
    </w:p>
    <w:p>
      <w:pPr>
        <w:spacing w:after="80" w:before="80"/>
      </w:pPr>
      <w:r>
        <w:rPr>
          <w:rFonts w:ascii="Arial" w:cs="Arial" w:eastAsia="Arial" w:hAnsi="Arial"/>
          <w:sz w:val="22"/>
          <w:szCs w:val="22"/>
        </w:rPr>
        <w:t xml:space="preserve">Barclays upgraded Marvell from Equal-Weight to Overweight and raised its price target from $105 to $150, citing growing demand for custom AI accelerator silicon and the company's deepening partnerships with hyperscale cloud providers. Marvell sits at the intersection of the AI compute buildout and data center networking — two themes that continue to attract institutional capital. The $150 target implies approximately 40% upside from current levels. Watch for any additional commentary from hyperscalers on custom silicon spending plans in upcoming earnings calls.</w:t>
      </w:r>
    </w:p>
    <w:p>
      <w:pPr>
        <w:spacing w:after="60" w:before="200"/>
      </w:pPr>
      <w:r>
        <w:rPr>
          <w:rFonts w:ascii="Arial" w:cs="Arial" w:eastAsia="Arial" w:hAnsi="Arial"/>
          <w:b/>
          <w:bCs/>
          <w:color w:val="1B3A6B"/>
          <w:sz w:val="24"/>
          <w:szCs w:val="24"/>
        </w:rPr>
        <w:t xml:space="preserve">Biogen (BIIB) — Piper Sandler's Conviction Call</w:t>
      </w:r>
    </w:p>
    <w:p>
      <w:pPr>
        <w:spacing w:after="80" w:before="80"/>
      </w:pPr>
      <w:r>
        <w:rPr>
          <w:rFonts w:ascii="Arial" w:cs="Arial" w:eastAsia="Arial" w:hAnsi="Arial"/>
          <w:sz w:val="22"/>
          <w:szCs w:val="22"/>
        </w:rPr>
        <w:t xml:space="preserve">Piper Sandler upgraded Biogen from Neutral to Overweight with a $214 target, up from $177, arguing that the company's drug launch pipeline is significantly underpriced by consensus models. The focus is on Biogen's neurology franchise and the potential for near-term clinical catalysts. With the stock having underperformed biotech peers in Q1, Piper's analysts see a risk/reward skewed to the upside heading into upcoming data readouts. Biotech broadly has been a defensive play in the current geopolitical environment, making this upgrade particularly timely.</w:t>
      </w:r>
    </w:p>
    <w:p>
      <w:pPr>
        <w:spacing w:after="0" w:before="120"/>
      </w:pPr>
    </w:p>
    <w:p>
      <w:pPr>
        <w:pStyle w:val="Heading1"/>
        <w:pBdr>
          <w:bottom w:val="single" w:color="B8962E" w:sz="6" w:space="4"/>
        </w:pBdr>
        <w:spacing w:after="80" w:before="320"/>
      </w:pPr>
      <w:r>
        <w:rPr>
          <w:rFonts w:ascii="Arial" w:cs="Arial" w:eastAsia="Arial" w:hAnsi="Arial"/>
          <w:b/>
          <w:bCs/>
          <w:color w:val="1B3A6B"/>
          <w:sz w:val="28"/>
          <w:szCs w:val="28"/>
        </w:rPr>
        <w:t xml:space="preserve">10. GLOBAL MACRO SNAPSHOT</w:t>
      </w:r>
    </w:p>
    <w:p>
      <w:pPr>
        <w:spacing w:after="80" w:before="80"/>
      </w:pPr>
      <w:r>
        <w:rPr>
          <w:rFonts w:ascii="Arial" w:cs="Arial" w:eastAsia="Arial" w:hAnsi="Arial"/>
          <w:sz w:val="22"/>
          <w:szCs w:val="22"/>
        </w:rPr>
        <w:t xml:space="preserve">China's trade data released overnight offered a mixed picture. Exports lost momentum in March as manufacturers absorbed higher energy and raw material costs linked to Middle East supply disruptions, but import growth hit its fastest pace in over four years — a signal that domestic demand in the world's second-largest economy is holding up better than feared. Beijing has shown no sign of urgency to deploy additional stimulus, suggesting policymakers are comfortable with current growth trajectory.</w:t>
      </w:r>
    </w:p>
    <w:p>
      <w:pPr>
        <w:spacing w:after="80" w:before="80"/>
      </w:pPr>
      <w:r>
        <w:rPr>
          <w:rFonts w:ascii="Arial" w:cs="Arial" w:eastAsia="Arial" w:hAnsi="Arial"/>
          <w:sz w:val="22"/>
          <w:szCs w:val="22"/>
        </w:rPr>
        <w:t xml:space="preserve">European markets opened higher across the board on Tuesday, with Germany's DAX leading gains at +0.9% and the pan-European Stoxx 600 adding 0.6%. European equities are caught between two competing forces: Iran-conflict optimism, which helps energy-importing economies like Germany, and persistent concern about the continent's exposure to slowing global trade. The ECB's next meeting is May 7 — markets are pricing one more 25bps cut, though today's rally may give policymakers pause.</w:t>
      </w:r>
    </w:p>
    <w:p>
      <w:pPr>
        <w:spacing w:after="80" w:before="80"/>
      </w:pPr>
      <w:r>
        <w:rPr>
          <w:rFonts w:ascii="Arial" w:cs="Arial" w:eastAsia="Arial" w:hAnsi="Arial"/>
          <w:sz w:val="22"/>
          <w:szCs w:val="22"/>
        </w:rPr>
        <w:t xml:space="preserve">Japan's Nikkei surged 2.43% to 57,877 — a standout performer in Asia — buoyed by the yen's strengthening trend and positive spillover from the Wall Street recovery. The Bank of Japan's cautious normalization path remains the key narrative for Japanese assets. In emerging markets, a weaker dollar and lower oil prices are providing relief to import-heavy EM economies, though the Fed's on-hold posture limits the extent of EM rally potential.</w:t>
      </w:r>
    </w:p>
    <w:p>
      <w:pPr>
        <w:spacing w:after="0" w:before="120"/>
      </w:pPr>
    </w:p>
    <w:p>
      <w:pPr>
        <w:pStyle w:val="Heading1"/>
        <w:pBdr>
          <w:bottom w:val="single" w:color="B8962E" w:sz="6" w:space="4"/>
        </w:pBdr>
        <w:spacing w:after="80" w:before="320"/>
      </w:pPr>
      <w:r>
        <w:rPr>
          <w:rFonts w:ascii="Arial" w:cs="Arial" w:eastAsia="Arial" w:hAnsi="Arial"/>
          <w:b/>
          <w:bCs/>
          <w:color w:val="1B3A6B"/>
          <w:sz w:val="28"/>
          <w:szCs w:val="28"/>
        </w:rPr>
        <w:t xml:space="preserve">11. WEEK AHEAD PREVIEW</w:t>
      </w:r>
    </w:p>
    <w:p>
      <w:pPr>
        <w:spacing w:after="80" w:before="80"/>
      </w:pPr>
      <w:r>
        <w:rPr>
          <w:rFonts w:ascii="Arial" w:cs="Arial" w:eastAsia="Arial" w:hAnsi="Arial"/>
          <w:sz w:val="22"/>
          <w:szCs w:val="22"/>
        </w:rPr>
        <w:t xml:space="preserve">Wednesday brings Retail Sales for March (consensus: +0.5% MoM) — the most important data point of the week after today's PPI print. Strong consumption data would challenge the soft-landing narrative that rate cuts are imminent; a miss could accelerate bond market gains. The Federal Reserve's Beige Book, out today at 2:00 PM ET, provides regional anecdotal color that often previews where the economic consensus is moving.</w:t>
      </w:r>
    </w:p>
    <w:p>
      <w:pPr>
        <w:spacing w:after="80" w:before="80"/>
      </w:pPr>
      <w:r>
        <w:rPr>
          <w:rFonts w:ascii="Arial" w:cs="Arial" w:eastAsia="Arial" w:hAnsi="Arial"/>
          <w:sz w:val="22"/>
          <w:szCs w:val="22"/>
        </w:rPr>
        <w:t xml:space="preserve">Thursday is a major earnings day: Morgan Stanley reports pre-market, alongside Netflix in the afternoon. Morgan Stanley's wealth management revenue and IB fee trends will complete the picture of Wall Street banks in Q1. Netflix's Q1 subscriber additions and advertising revenue commentary will set the tone for media and streaming stocks. Also on Thursday: Initial Jobless Claims, the labor market's weekly pulse.</w:t>
      </w:r>
    </w:p>
    <w:p>
      <w:pPr>
        <w:spacing w:after="80" w:before="80"/>
      </w:pPr>
      <w:r>
        <w:rPr>
          <w:rFonts w:ascii="Arial" w:cs="Arial" w:eastAsia="Arial" w:hAnsi="Arial"/>
          <w:sz w:val="22"/>
          <w:szCs w:val="22"/>
        </w:rPr>
        <w:t xml:space="preserve">Friday brings the University of Michigan Consumer Sentiment Survey for April (preliminary), which will capture consumer reaction to the Iran conflict's impact on confidence and spending intentions. Geopolitically, the Iran ceasefire timeline is the dominant wildcard — any diplomatic statement from either side could trigger outsized market reactions. The week closes with a packed slate of S&amp;P 500 companies beginning to report, including several major technology and industrial names.</w:t>
      </w:r>
    </w:p>
    <w:p>
      <w:pPr>
        <w:spacing w:after="0" w:before="120"/>
      </w:pPr>
    </w:p>
    <w:p>
      <w:pPr>
        <w:pStyle w:val="Heading1"/>
        <w:pBdr>
          <w:bottom w:val="single" w:color="B8962E" w:sz="6" w:space="4"/>
        </w:pBdr>
        <w:spacing w:after="80" w:before="320"/>
      </w:pPr>
      <w:r>
        <w:rPr>
          <w:rFonts w:ascii="Arial" w:cs="Arial" w:eastAsia="Arial" w:hAnsi="Arial"/>
          <w:b/>
          <w:bCs/>
          <w:color w:val="1B3A6B"/>
          <w:sz w:val="28"/>
          <w:szCs w:val="28"/>
        </w:rPr>
        <w:t xml:space="preserve">12. CLOSING THOUGHT</w:t>
      </w:r>
    </w:p>
    <w:p>
      <w:pPr>
        <w:spacing w:after="80" w:before="80"/>
      </w:pPr>
      <w:r>
        <w:rPr>
          <w:rFonts w:ascii="Arial" w:cs="Arial" w:eastAsia="Arial" w:hAnsi="Arial"/>
          <w:sz w:val="22"/>
          <w:szCs w:val="22"/>
        </w:rPr>
        <w:t xml:space="preserve">There is a tempting narrative forming in markets today: that Iran-optimism plus soft PPI plus strong bank earnings equals a green light to chase risk. Resist the temptation to treat these signals as confirmation of a durable turn. The Iran situation has generated at least three "resolution" rallies in the past month, each of which was followed by a sharp reversal. The geopolitical risk premium in oil has not been permanently deflated — it has merely been temporarily discounted on the strength of unverified diplomatic signals.</w:t>
      </w:r>
    </w:p>
    <w:p>
      <w:pPr>
        <w:spacing w:after="80" w:before="80"/>
      </w:pPr>
      <w:r>
        <w:rPr>
          <w:rFonts w:ascii="Arial" w:cs="Arial" w:eastAsia="Arial" w:hAnsi="Arial"/>
          <w:sz w:val="22"/>
          <w:szCs w:val="22"/>
        </w:rPr>
        <w:t xml:space="preserve">The more durable story may be what the PPI data is quietly suggesting: that the underlying inflationary pressure in the U.S. economy, stripped of the energy distortion, is actually dissipating faster than the Fed is acknowledging. If that is true, and if the Iran situation resolves, the bond market may be meaningfully mis-priced. A 10-year yield at 4.31% in a world where core inflation is trending below 3% and the Fed signals one cut — that is a yield that should be considerably lower. The bond market may be the trade of the second half of 2026.</w:t>
      </w:r>
    </w:p>
    <w:p>
      <w:pPr>
        <w:spacing w:after="80" w:before="80"/>
      </w:pPr>
      <w:r>
        <w:rPr>
          <w:rFonts w:ascii="Arial" w:cs="Arial" w:eastAsia="Arial" w:hAnsi="Arial"/>
          <w:b/>
          <w:bCs/>
          <w:i/>
          <w:iCs/>
          <w:color w:val="1B3A6B"/>
          <w:sz w:val="22"/>
          <w:szCs w:val="22"/>
        </w:rPr>
        <w:t xml:space="preserve">As the old Wall Street aphorism goes: when everyone is watching the same risk, it often isn't the risk that gets you. Today, everyone is watching Iran. Watch the credit markets instead.</w:t>
      </w:r>
    </w:p>
    <w:p>
      <w:pPr>
        <w:spacing w:after="0" w:before="120"/>
      </w:pPr>
    </w:p>
    <w:p>
      <w:pPr>
        <w:pBdr>
          <w:bottom w:val="single" w:color="B8962E" w:sz="12" w:space="1"/>
        </w:pBdr>
        <w:spacing w:after="120" w:before="120"/>
      </w:pPr>
    </w:p>
    <w:p>
      <w:pPr>
        <w:spacing w:after="0" w:before="120"/>
        <w:jc w:val="center"/>
      </w:pPr>
      <w:r>
        <w:rPr>
          <w:rFonts w:ascii="Arial" w:cs="Arial" w:eastAsia="Arial" w:hAnsi="Arial"/>
          <w:i/>
          <w:iCs/>
          <w:color w:val="888888"/>
          <w:sz w:val="18"/>
          <w:szCs w:val="18"/>
        </w:rPr>
        <w:t xml:space="preserve">End of Brief  ·  Tuesday, April 14, 2026  ·  Confidential — For James Flanagan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62E" w:sz="4" w:space="2"/>
      </w:pBdr>
    </w:pPr>
    <w:r>
      <w:rPr>
        <w:rFonts w:ascii="Arial" w:cs="Arial" w:eastAsia="Arial" w:hAnsi="Arial"/>
        <w:color w:val="888888"/>
        <w:sz w:val="18"/>
        <w:szCs w:val="18"/>
      </w:rPr>
      <w:t xml:space="preserve">Powered by Claude AI  |  Not investment advice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B3A6B" w:val="clear"/>
      <w:tabs>
        <w:tab w:val="right" w:pos="9360"/>
      </w:tabs>
      <w:spacing w:after="0" w:before="0"/>
    </w:pPr>
    <w:r>
      <w:rPr>
        <w:rFonts w:ascii="Arial" w:cs="Arial" w:eastAsia="Arial" w:hAnsi="Arial"/>
        <w:b/>
        <w:bCs/>
        <w:color w:val="B8962E"/>
        <w:sz w:val="22"/>
        <w:szCs w:val="22"/>
      </w:rPr>
      <w:t xml:space="preserve">  DAILY FINANCIAL BRIEF  |  TUESDAY, APRIL 14, 2026</w:t>
    </w:r>
    <w:r>
      <w:rPr>
        <w:rFonts w:ascii="Arial" w:cs="Arial" w:eastAsia="Arial" w:hAnsi="Arial"/>
        <w:color w:val="FFFFFF"/>
        <w:sz w:val="20"/>
        <w:szCs w:val="20"/>
      </w:rPr>
      <w:t xml:space="preserve">	 FOR JAMES FLANAGAN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1B3A6B"/>
      <w:sz w:val="28"/>
      <w:szCs w:val="28"/>
    </w:rPr>
  </w:style>
  <w:style w:type="paragraph" w:styleId="Heading2">
    <w:name w:val="Heading 2"/>
    <w:basedOn w:val="Normal"/>
    <w:next w:val="Normal"/>
    <w:qFormat/>
    <w:pPr>
      <w:spacing w:after="60" w:before="200"/>
      <w:outlineLvl w:val="1"/>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2026-04-14T19:58:47.361Z</dcterms:created>
  <dcterms:modified xsi:type="dcterms:W3CDTF">2026-04-14T19:58:47.361Z</dcterms:modified>
</cp:coreProperties>
</file>

<file path=docProps/custom.xml><?xml version="1.0" encoding="utf-8"?>
<Properties xmlns="http://schemas.openxmlformats.org/officeDocument/2006/custom-properties" xmlns:vt="http://schemas.openxmlformats.org/officeDocument/2006/docPropsVTypes"/>
</file>