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9A84C" w:sz="8" w:space="4"/>
        </w:pBdr>
        <w:spacing w:after="120" w:before="320"/>
      </w:pPr>
      <w:r>
        <w:rPr>
          <w:rFonts w:ascii="Arial" w:cs="Arial" w:eastAsia="Arial" w:hAnsi="Arial"/>
          <w:b/>
          <w:bCs/>
          <w:color w:val="1B2A4A"/>
          <w:sz w:val="26"/>
          <w:szCs w:val="26"/>
        </w:rPr>
        <w:t xml:space="preserve">1. THE MORNING SETUP</w:t>
      </w:r>
    </w:p>
    <w:p>
      <w:pPr>
        <w:spacing w:after="80" w:before="80"/>
      </w:pPr>
      <w:r>
        <w:rPr>
          <w:rFonts w:ascii="Arial" w:cs="Arial" w:eastAsia="Arial" w:hAnsi="Arial"/>
          <w:b w:val="false"/>
          <w:bCs w:val="false"/>
          <w:color w:val="222222"/>
          <w:sz w:val="20"/>
          <w:szCs w:val="20"/>
        </w:rPr>
        <w:t xml:space="preserve">Wall Street opens Wednesday with a cautious optimism that has become the market's defining posture in this peculiar spring of 2026. The S&amp;P 500 hovers within striking distance of all-time highs — a remarkable feat given that six weeks ago, surging oil prices and a potential naval confrontation in the Persian Gulf had investors contemplating the worst-case scenario. Today, U.S.-Iran talks are back on the table, oil is off its peak, and bank earnings continue to deliver the kind of blowout numbers that remind investors why financial stocks were among the few bright spots in this year's roller-coaster ride.</w:t>
      </w:r>
    </w:p>
    <w:p>
      <w:pPr>
        <w:spacing w:after="80" w:before="80"/>
      </w:pPr>
      <w:r>
        <w:rPr>
          <w:rFonts w:ascii="Arial" w:cs="Arial" w:eastAsia="Arial" w:hAnsi="Arial"/>
          <w:b w:val="false"/>
          <w:bCs w:val="false"/>
          <w:color w:val="222222"/>
          <w:sz w:val="20"/>
          <w:szCs w:val="20"/>
        </w:rPr>
        <w:t xml:space="preserve">The single most important story this morning is the convergence of two powerful narratives: the gradual normalization of Middle East risk premia, and a Q1 earnings season that is defying concerns about an economic slowdown. Bank of America posted its strongest earnings-per-share in roughly two decades. Morgan Stanley hit record revenues. The Financials sector is on track for 15% earnings growth. Meanwhile, Federal Reserve watchers are pivoting their attention to next month's leadership handover — Kevin Warsh faces his Senate confirmation hearing April 21, and what he says about balance sheet management and the pace of easing could reshape rate expectations far more consequentially than any single data print. The week ahead is dense with catalysts. For today, the watchword is: bullish but fragile.</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2. MARKETS AT A GLANCE</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1620"/>
        <w:gridCol w:w="1620"/>
        <w:gridCol w:w="540"/>
      </w:tblGrid>
      <w:tr>
        <w:tc>
          <w:tcPr>
            <w:tcW w:type="dxa" w:w="31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r>
          </w:p>
        </w:tc>
        <w:tc>
          <w:tcPr>
            <w:tcW w:type="dxa" w:w="25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PRICE / LEVEL</w:t>
            </w:r>
          </w:p>
        </w:tc>
        <w:tc>
          <w:tcPr>
            <w:tcW w:type="dxa" w:w="16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1D CHG</w:t>
            </w:r>
          </w:p>
        </w:tc>
        <w:tc>
          <w:tcPr>
            <w:tcW w:type="dxa" w:w="16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YTD CHG</w:t>
            </w:r>
          </w:p>
        </w:tc>
        <w:tc>
          <w:tcPr>
            <w:tcW w:type="dxa" w:w="54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NOTE</w:t>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US EQUITIES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S&amp;P 500 (prior close)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6,976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+0.12%</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+2.1%</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S&amp;P 500 Futures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7,004.75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Nasdaq 100 (prior close)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~24,400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+0.96%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+3.4%</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Nasdaq 100 Futures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25,993.75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-0.01%</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Dow Jones Industrials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~43,800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+0.66%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Dow Futures</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48,739</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Russell 2000</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~2,080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-1.2%</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VIX (Fear Gauge)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18.36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ASIA (Wednesday Close)</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Nikkei 225 (Japan)</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58,134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+0.44%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+4.1%</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Hang Seng (Hong Kong)</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~23,600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+0.43%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+8.2%</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CSI 300 (China)</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4,685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-0.34%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+2.7%</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Nifty 50 (India)</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~24,200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+1.56%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ASX 200 (Australia)</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~8,100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+2.3%</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EUROPE (Wednesday Trading)</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FTSE 100 (UK)</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~8,700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mixed</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+4.5%</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DAX (Germany)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24,044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+8.1%</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CAC 40 (France)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8,328</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+3.6%</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Euro Stoxx 50</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~5,500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+5.2%</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US TREASURIES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2-Year Yield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3.81%</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5-Year Yield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~4.05%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10-Year Yield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4.31%</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30-Year Yield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~4.70%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CURRENCIES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DXY (Dollar Index)</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~103.5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-0.1%</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-2.3%</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EUR/USD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~1.087</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+0.1%</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+2.1%</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GBP/USD</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~1.262</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USD/JPY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~148.2</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-0.2%</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USD/CNY</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~7.23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-0.4%</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COMMODITIES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WTI Crude Oil</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$92.28/bbl</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-0.8%</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+28%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Brent Crude Oil</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$95.00/bbl</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C0392B"/>
                <w:sz w:val="19"/>
                <w:szCs w:val="19"/>
              </w:rPr>
              <w:t xml:space="preserve">-0.7%</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+30%</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Natural Gas (Henry Hub)</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~$3.45/MMBtu</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+0.5%</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+12%</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Gold (Spot)</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$4,877/oz</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+0.3%</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Silver (Spot)</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~$31.50/oz</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+0.4%</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+12%</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Copper (LME)</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~$4.80/lb</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5C6370"/>
                <w:sz w:val="19"/>
                <w:szCs w:val="19"/>
              </w:rPr>
              <w:t xml:space="preserve">flat</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+5%</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9420"/>
            <w:gridSpan w:val="5"/>
            <w:tcBorders>
              <w:top w:val="single" w:color="CCCCCC" w:sz="1"/>
              <w:left w:val="single" w:color="CCCCCC" w:sz="1"/>
              <w:bottom w:val="single" w:color="CCCCCC" w:sz="1"/>
              <w:right w:val="single" w:color="CCCCCC" w:sz="1"/>
            </w:tcBorders>
            <w:shd w:fill="EEF3FA" w:val="clear"/>
            <w:tcMar>
              <w:top w:type="dxa" w:w="60"/>
              <w:left w:type="dxa" w:w="120"/>
              <w:bottom w:type="dxa" w:w="60"/>
              <w:right w:type="dxa" w:w="120"/>
            </w:tcMar>
          </w:tcPr>
          <w:p>
            <w:r>
              <w:rPr>
                <w:rFonts w:ascii="Arial" w:cs="Arial" w:eastAsia="Arial" w:hAnsi="Arial"/>
                <w:b/>
                <w:bCs/>
                <w:color w:val="1B2A4A"/>
                <w:sz w:val="18"/>
                <w:szCs w:val="18"/>
              </w:rPr>
              <w:t xml:space="preserve">₿ CRYPTO</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Bitcoin (BTC)</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$74,556</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+1.2%</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+8%</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9"/>
                <w:szCs w:val="19"/>
              </w:rPr>
              <w:t xml:space="preserve">Ethereum (ETH)</w:t>
            </w:r>
          </w:p>
        </w:tc>
        <w:tc>
          <w:tcPr>
            <w:tcW w:type="dxa" w:w="25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~$3,100</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19"/>
                <w:szCs w:val="19"/>
              </w:rPr>
              <w:t xml:space="preserve">+0.8%</w:t>
            </w:r>
          </w:p>
        </w:tc>
        <w:tc>
          <w:tcPr>
            <w:tcW w:type="dxa" w:w="1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9"/>
                <w:szCs w:val="19"/>
              </w:rPr>
              <w:t xml:space="preserve">+4%</w:t>
            </w:r>
          </w:p>
        </w:tc>
        <w:tc>
          <w:tcPr>
            <w:tcW w:type="dxa" w:w="5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5C6370"/>
                <w:sz w:val="18"/>
                <w:szCs w:val="18"/>
              </w:rPr>
              <w:t xml:space="preserve"/>
            </w:r>
          </w:p>
        </w:tc>
      </w:tr>
    </w:tbl>
    <w:p>
      <w:pPr>
        <w:spacing w:after="160" w:before="80"/>
      </w:pPr>
      <w:r>
        <w:rPr>
          <w:rFonts w:ascii="Arial" w:cs="Arial" w:eastAsia="Arial" w:hAnsi="Arial"/>
          <w:b w:val="false"/>
          <w:bCs w:val="false"/>
          <w:color w:val="5C6370"/>
          <w:sz w:val="20"/>
          <w:szCs w:val="20"/>
        </w:rPr>
        <w:t xml:space="preserve">Note: Futures levels as of early Wednesday premarket. Asia reflects Wednesday's close; Europe reflects early Wednesday trade. All % changes are approximate based on available data. '~flat' indicates minimal movement.</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3. TOP STORIES</w:t>
      </w:r>
    </w:p>
    <w:p>
      <w:pPr>
        <w:spacing w:after="80" w:before="200"/>
      </w:pPr>
      <w:r>
        <w:rPr>
          <w:rFonts w:ascii="Arial" w:cs="Arial" w:eastAsia="Arial" w:hAnsi="Arial"/>
          <w:b/>
          <w:bCs/>
          <w:color w:val="1B2A4A"/>
          <w:sz w:val="22"/>
          <w:szCs w:val="22"/>
        </w:rPr>
        <w:t xml:space="preserve">BANKS DELIVER A BLOWOUT QUARTER — BUT THE DEVIL IS IN THE GUIDANCE</w:t>
      </w:r>
    </w:p>
    <w:p>
      <w:pPr>
        <w:spacing w:after="80" w:before="80"/>
      </w:pPr>
      <w:r>
        <w:rPr>
          <w:rFonts w:ascii="Arial" w:cs="Arial" w:eastAsia="Arial" w:hAnsi="Arial"/>
          <w:b w:val="false"/>
          <w:bCs w:val="false"/>
          <w:color w:val="222222"/>
          <w:sz w:val="20"/>
          <w:szCs w:val="20"/>
        </w:rPr>
        <w:t xml:space="preserve">The big story of the week remains the financial sector's blowout Q1 earnings, with Wednesday adding Bank of America and Morgan Stanley to a lineup that already included JPMorgan and Goldman Sachs. The aggregate picture is striking: Financials, as a sector, are tracking 15% year-over-year earnings growth in Q1 — the third-best rate of any S&amp;P 500 sector.</w:t>
      </w:r>
    </w:p>
    <w:p>
      <w:pPr>
        <w:spacing w:after="80" w:before="80"/>
      </w:pPr>
      <w:r>
        <w:rPr>
          <w:rFonts w:ascii="Arial" w:cs="Arial" w:eastAsia="Arial" w:hAnsi="Arial"/>
          <w:b w:val="false"/>
          <w:bCs w:val="false"/>
          <w:color w:val="222222"/>
          <w:sz w:val="20"/>
          <w:szCs w:val="20"/>
        </w:rPr>
        <w:t xml:space="preserve">Bank of America's results were the most eye-catching. Net income hit $8.6 billion, or $1.11 per share — against a consensus estimate of $1.01. That 10-cent beat doesn't fully capture the quality of the number: equities trading revenue surged 30%, net interest income rose 9% to $15.9 billion, and the loan-loss provision came in at $1.3 billion, well below last year's $1.5 billion. CEO Brian Moynihan described the consumer as "healthy" — a characterization that carries weight given the bank's 66 million consumer clients. BAC shares rose 1.5% in premarket.</w:t>
      </w:r>
    </w:p>
    <w:p>
      <w:pPr>
        <w:spacing w:after="80" w:before="80"/>
      </w:pPr>
      <w:r>
        <w:rPr>
          <w:rFonts w:ascii="Arial" w:cs="Arial" w:eastAsia="Arial" w:hAnsi="Arial"/>
          <w:b w:val="false"/>
          <w:bCs w:val="false"/>
          <w:color w:val="222222"/>
          <w:sz w:val="20"/>
          <w:szCs w:val="20"/>
        </w:rPr>
        <w:t xml:space="preserve">Morgan Stanley topped even that with record net revenues of $20.6 billion. Profit rose 29% to $5.57 billion. Equities trading hit a record $5.15 billion, and investment banking fees climbed 36%. The wealth management business — CEO Ted Pick's strategic crown jewel — pulled in $118.4 billion in net new assets and posted a record $8.52 billion in revenue. The one blemish: investment management revenue fell 4.2%.</w:t>
      </w:r>
    </w:p>
    <w:p>
      <w:pPr>
        <w:spacing w:after="80" w:before="80"/>
      </w:pPr>
      <w:r>
        <w:rPr>
          <w:rFonts w:ascii="Arial" w:cs="Arial" w:eastAsia="Arial" w:hAnsi="Arial"/>
          <w:b w:val="false"/>
          <w:bCs w:val="false"/>
          <w:color w:val="222222"/>
          <w:sz w:val="20"/>
          <w:szCs w:val="20"/>
        </w:rPr>
        <w:t xml:space="preserve">The nuance worth watching: JPMorgan, which reported Tuesday, guided net interest income lower even as its EPS handily beat. Markets initially cheered the top-line beat, then punished JPM shares -0.8% when the NII trim registered. It's a reminder that in a plateauing rate environment, the revenue quality of bank earnings matters as much as the headline number. For Financials bulls, this week validates the thesis. The risk: if rates begin falling faster than expected, that NII tailwind reverses sharply.</w:t>
      </w:r>
    </w:p>
    <w:p>
      <w:pPr>
        <w:spacing w:after="60" w:before="60"/>
      </w:pPr>
      <w:r>
        <w:t xml:space="preserve"/>
      </w:r>
    </w:p>
    <w:p>
      <w:pPr>
        <w:spacing w:after="80" w:before="200"/>
      </w:pPr>
      <w:r>
        <w:rPr>
          <w:rFonts w:ascii="Arial" w:cs="Arial" w:eastAsia="Arial" w:hAnsi="Arial"/>
          <w:b/>
          <w:bCs/>
          <w:color w:val="1B2A4A"/>
          <w:sz w:val="22"/>
          <w:szCs w:val="22"/>
        </w:rPr>
        <w:t xml:space="preserve">US-IRAN: BLOCKADE, CEASEFIRE, NEGOTIATION — AND OIL BELOW $100</w:t>
      </w:r>
    </w:p>
    <w:p>
      <w:pPr>
        <w:spacing w:after="80" w:before="80"/>
      </w:pPr>
      <w:r>
        <w:rPr>
          <w:rFonts w:ascii="Arial" w:cs="Arial" w:eastAsia="Arial" w:hAnsi="Arial"/>
          <w:b w:val="false"/>
          <w:bCs w:val="false"/>
          <w:color w:val="222222"/>
          <w:sz w:val="20"/>
          <w:szCs w:val="20"/>
        </w:rPr>
        <w:t xml:space="preserve">The geopolitical narrative that has defined global markets since late February took another twist this week, and for the first time in weeks, the direction is cautiously constructive. U.S. and Iranian officials are reportedly weighing a renewed meeting following the collapse of Islamabad peace talks on April 12, which had prompted President Trump to order the U.S. Navy to blockade Iranian ports on April 13.</w:t>
      </w:r>
    </w:p>
    <w:p>
      <w:pPr>
        <w:spacing w:after="80" w:before="80"/>
      </w:pPr>
      <w:r>
        <w:rPr>
          <w:rFonts w:ascii="Arial" w:cs="Arial" w:eastAsia="Arial" w:hAnsi="Arial"/>
          <w:b w:val="false"/>
          <w:bCs w:val="false"/>
          <w:color w:val="222222"/>
          <w:sz w:val="20"/>
          <w:szCs w:val="20"/>
        </w:rPr>
        <w:t xml:space="preserve">The sequence matters. A two-week ceasefire announced April 8 had briefly sparked euphoria — the Dow spiked over 1,300 points, Nasdaq gained 2.54%. But when the Abu Dhabi National Oil Company's CEO confirmed the Strait of Hormuz remained restricted despite the ceasefire (Iran was charging "tolls" of over $1 million per ship), the optimism curdled. Peace talks then failed entirely, and Trump escalated with the blockade order.</w:t>
      </w:r>
    </w:p>
    <w:p>
      <w:pPr>
        <w:spacing w:after="80" w:before="80"/>
      </w:pPr>
      <w:r>
        <w:rPr>
          <w:rFonts w:ascii="Arial" w:cs="Arial" w:eastAsia="Arial" w:hAnsi="Arial"/>
          <w:b w:val="false"/>
          <w:bCs w:val="false"/>
          <w:color w:val="222222"/>
          <w:sz w:val="20"/>
          <w:szCs w:val="20"/>
        </w:rPr>
        <w:t xml:space="preserve">As of Wednesday, Brent crude sits at approximately $95/barrel — down from the $102 peak but still 30% above pre-conflict levels of ~$70. WTI is at $92.28. The partial recovery in oil prices (from a peak above $100) reflects market belief that the blockade is tactical, not a path to indefinite closure. The "so what" for markets: every $5 move in Brent crude translates to roughly 0.2-0.3 percentage points of headline CPI. The Fed cannot ignore that math — and neither can Kevin Warsh, who inherits the inflation question from Jerome Powell.</w:t>
      </w:r>
    </w:p>
    <w:p>
      <w:pPr>
        <w:spacing w:after="60" w:before="60"/>
      </w:pPr>
      <w:r>
        <w:t xml:space="preserve"/>
      </w:r>
    </w:p>
    <w:p>
      <w:pPr>
        <w:spacing w:after="80" w:before="200"/>
      </w:pPr>
      <w:r>
        <w:rPr>
          <w:rFonts w:ascii="Arial" w:cs="Arial" w:eastAsia="Arial" w:hAnsi="Arial"/>
          <w:b/>
          <w:bCs/>
          <w:color w:val="1B2A4A"/>
          <w:sz w:val="22"/>
          <w:szCs w:val="22"/>
        </w:rPr>
        <w:t xml:space="preserve">META AND BROADCOM REWRITE THE AI CHIP LANDSCAPE</w:t>
      </w:r>
    </w:p>
    <w:p>
      <w:pPr>
        <w:spacing w:after="80" w:before="80"/>
      </w:pPr>
      <w:r>
        <w:rPr>
          <w:rFonts w:ascii="Arial" w:cs="Arial" w:eastAsia="Arial" w:hAnsi="Arial"/>
          <w:b w:val="false"/>
          <w:bCs w:val="false"/>
          <w:color w:val="222222"/>
          <w:sz w:val="20"/>
          <w:szCs w:val="20"/>
        </w:rPr>
        <w:t xml:space="preserve">In a deal that sent Broadcom shares up more than 3% and cemented the company's position as the defining force in custom AI silicon, Meta announced it is committing to an initial deployment of 1 gigawatt of custom AI accelerators — called MTIA chips — designed in partnership with Broadcom, with an agreement extended through 2029. The chips will use a 2-nanometer process, the most advanced production node in commercial deployment.</w:t>
      </w:r>
    </w:p>
    <w:p>
      <w:pPr>
        <w:spacing w:after="80" w:before="80"/>
      </w:pPr>
      <w:r>
        <w:rPr>
          <w:rFonts w:ascii="Arial" w:cs="Arial" w:eastAsia="Arial" w:hAnsi="Arial"/>
          <w:b w:val="false"/>
          <w:bCs w:val="false"/>
          <w:color w:val="222222"/>
          <w:sz w:val="20"/>
          <w:szCs w:val="20"/>
        </w:rPr>
        <w:t xml:space="preserve">The strategic implications run deep. Meta is explicitly choosing to build around Broadcom-designed custom silicon rather than relying on Nvidia's GPUs for its AI training workloads. This is the continuation of a hyperscaler trend — Google, Microsoft, and Amazon have all moved toward custom silicon — but the scale of Meta's commitment (multiple gigawatts in the pipeline beyond the initial 1 GW) is unprecedented for a single custom chip program. Broadcom's CEO Hock Tan simultaneously announced he would not stand for re-election to Meta's board, transitioning to an advisor role — a governance change that removes a potential conflict-of-interest overhang.</w:t>
      </w:r>
    </w:p>
    <w:p>
      <w:pPr>
        <w:spacing w:after="80" w:before="80"/>
      </w:pPr>
      <w:r>
        <w:rPr>
          <w:rFonts w:ascii="Arial" w:cs="Arial" w:eastAsia="Arial" w:hAnsi="Arial"/>
          <w:b w:val="false"/>
          <w:bCs w:val="false"/>
          <w:color w:val="222222"/>
          <w:sz w:val="20"/>
          <w:szCs w:val="20"/>
        </w:rPr>
        <w:t xml:space="preserve">For Nvidia investors, this is not an existential threat today, but it is a structural one over the next 18-36 months. Hyperscaler custom silicon displaces GPU demand at the margin. For Broadcom, the deal validates an asset-light model: the company doesn't fab chips but designs and integrates them, capturing significant value without Nvidia's capital intensity. Year-to-date, AVGO is up more than 10%, outpacing the S&amp;P's roughly 2% gain.</w:t>
      </w:r>
    </w:p>
    <w:p>
      <w:pPr>
        <w:spacing w:after="60" w:before="60"/>
      </w:pPr>
      <w:r>
        <w:t xml:space="preserve"/>
      </w:r>
    </w:p>
    <w:p>
      <w:pPr>
        <w:spacing w:after="80" w:before="200"/>
      </w:pPr>
      <w:r>
        <w:rPr>
          <w:rFonts w:ascii="Arial" w:cs="Arial" w:eastAsia="Arial" w:hAnsi="Arial"/>
          <w:b/>
          <w:bCs/>
          <w:color w:val="1B2A4A"/>
          <w:sz w:val="22"/>
          <w:szCs w:val="22"/>
        </w:rPr>
        <w:t xml:space="preserve">KEVIN WARSH FACES SENATE — AND A $192 MILLION QUESTION</w:t>
      </w:r>
    </w:p>
    <w:p>
      <w:pPr>
        <w:spacing w:after="80" w:before="80"/>
      </w:pPr>
      <w:r>
        <w:rPr>
          <w:rFonts w:ascii="Arial" w:cs="Arial" w:eastAsia="Arial" w:hAnsi="Arial"/>
          <w:b w:val="false"/>
          <w:bCs w:val="false"/>
          <w:color w:val="222222"/>
          <w:sz w:val="20"/>
          <w:szCs w:val="20"/>
        </w:rPr>
        <w:t xml:space="preserve">The Federal Reserve's leadership transition moved from abstract to concrete this week. Kevin Warsh, Trump's nominee to replace Jerome Powell (whose term expires May 15), cleared a procedural hurdle Thursday when the Senate Banking Committee scheduled his confirmation hearing for April 21. The timing is razor-thin: Senate confirmation, if granted, may not come until days before Powell's departure.</w:t>
      </w:r>
    </w:p>
    <w:p>
      <w:pPr>
        <w:spacing w:after="80" w:before="80"/>
      </w:pPr>
      <w:r>
        <w:rPr>
          <w:rFonts w:ascii="Arial" w:cs="Arial" w:eastAsia="Arial" w:hAnsi="Arial"/>
          <w:b w:val="false"/>
          <w:bCs w:val="false"/>
          <w:color w:val="222222"/>
          <w:sz w:val="20"/>
          <w:szCs w:val="20"/>
        </w:rPr>
        <w:t xml:space="preserve">Warsh's financial disclosures added an unusual wrinkle: his and his wife Jane Lauder's holdings total approximately $192 million — potentially making him the wealthiest Fed chair on record. More substantively, Warsh has signaled he'd like the Fed to aggressively sell down its holdings of long-term Treasury bonds and mortgage-backed securities. That balance sheet reduction stance could push long-term yields higher, flattening the already-fragile economic recovery and creating a headwind for equity valuations.</w:t>
      </w:r>
    </w:p>
    <w:p>
      <w:pPr>
        <w:spacing w:after="80" w:before="80"/>
      </w:pPr>
      <w:r>
        <w:rPr>
          <w:rFonts w:ascii="Arial" w:cs="Arial" w:eastAsia="Arial" w:hAnsi="Arial"/>
          <w:b w:val="false"/>
          <w:bCs w:val="false"/>
          <w:color w:val="222222"/>
          <w:sz w:val="20"/>
          <w:szCs w:val="20"/>
        </w:rPr>
        <w:t xml:space="preserve">One wild card: Sen. Thom Tillis (R-NC) has said he will block final approval until a federal criminal probe into Powell is resolved — an investigation whose existence has not been independently confirmed but which adds political uncertainty to an already consequential transition. Markets are pricing a more than 97% probability that rates hold at 3.5%-3.75% at the April 28 FOMC. The bigger question: what does Warsh do at the June meeting?</w:t>
      </w:r>
    </w:p>
    <w:p>
      <w:pPr>
        <w:spacing w:after="60" w:before="60"/>
      </w:pPr>
      <w:r>
        <w:t xml:space="preserve"/>
      </w:r>
    </w:p>
    <w:p>
      <w:pPr>
        <w:spacing w:after="80" w:before="200"/>
      </w:pPr>
      <w:r>
        <w:rPr>
          <w:rFonts w:ascii="Arial" w:cs="Arial" w:eastAsia="Arial" w:hAnsi="Arial"/>
          <w:b/>
          <w:bCs/>
          <w:color w:val="1B2A4A"/>
          <w:sz w:val="22"/>
          <w:szCs w:val="22"/>
        </w:rPr>
        <w:t xml:space="preserve">IMPLICATION WATCH: IMF DOWNGRADES GLOBAL GROWTH OUTLOOK</w:t>
      </w:r>
    </w:p>
    <w:p>
      <w:pPr>
        <w:spacing w:after="80" w:before="80"/>
      </w:pPr>
      <w:r>
        <w:rPr>
          <w:rFonts w:ascii="Arial" w:cs="Arial" w:eastAsia="Arial" w:hAnsi="Arial"/>
          <w:b w:val="false"/>
          <w:bCs w:val="false"/>
          <w:color w:val="222222"/>
          <w:sz w:val="20"/>
          <w:szCs w:val="20"/>
        </w:rPr>
        <w:t xml:space="preserve">The International Monetary Fund released its April 2026 World Economic Outlook on Wednesday, cutting its global GDP growth forecast amid elevated energy prices, persistent inflation, and geopolitical uncertainty. The conflict-driven spike in oil prices has had an asymmetric impact: energy-importing economies in Europe and Asia face a stagflationary squeeze, while Gulf producers enjoy a windfall. The IMF flagged the Hormuz situation specifically as the single largest near-term downside risk to global growth.</w:t>
      </w:r>
    </w:p>
    <w:p>
      <w:pPr>
        <w:spacing w:after="80" w:before="80"/>
      </w:pPr>
      <w:r>
        <w:rPr>
          <w:rFonts w:ascii="Arial" w:cs="Arial" w:eastAsia="Arial" w:hAnsi="Arial"/>
          <w:b w:val="false"/>
          <w:bCs w:val="false"/>
          <w:color w:val="222222"/>
          <w:sz w:val="20"/>
          <w:szCs w:val="20"/>
        </w:rPr>
        <w:t xml:space="preserve">The market implication is nuanced: lower growth forecasts globally increase the probability that the Fed ultimately has to cut faster than currently priced (currently, a cut at April 28 FOMC is near-zero probability), but sticky energy-driven inflation keeps the Fed's hands partially tied. This is the stagflation dilemma that characterized 2025, and it has not been resolved. Equity markets have thus far chosen to focus on the earnings side of the ledger rather than the macro risk. That bet continues to be rewarded — but the risk of a reversal grows with each passing week that oil remains above $90.</w:t>
      </w:r>
    </w:p>
    <w:p>
      <w:pPr>
        <w:spacing w:after="60" w:before="60"/>
      </w:pPr>
      <w:r>
        <w:t xml:space="preserve"/>
      </w:r>
    </w:p>
    <w:p>
      <w:pPr>
        <w:spacing w:after="80" w:before="200"/>
      </w:pPr>
      <w:r>
        <w:rPr>
          <w:rFonts w:ascii="Arial" w:cs="Arial" w:eastAsia="Arial" w:hAnsi="Arial"/>
          <w:b/>
          <w:bCs/>
          <w:color w:val="1B2A4A"/>
          <w:sz w:val="22"/>
          <w:szCs w:val="22"/>
        </w:rPr>
        <w:t xml:space="preserve">NVIDIA + AMAZON: AI INFRASTRUCTURE SPENDING SHOWS NO SIGNS OF FATIGUE</w:t>
      </w:r>
    </w:p>
    <w:p>
      <w:pPr>
        <w:spacing w:after="80" w:before="80"/>
      </w:pPr>
      <w:r>
        <w:rPr>
          <w:rFonts w:ascii="Arial" w:cs="Arial" w:eastAsia="Arial" w:hAnsi="Arial"/>
          <w:b w:val="false"/>
          <w:bCs w:val="false"/>
          <w:color w:val="222222"/>
          <w:sz w:val="20"/>
          <w:szCs w:val="20"/>
        </w:rPr>
        <w:t xml:space="preserve">While Meta's Broadcom deal captures headlines, it's worth zooming out on the AI infrastructure investment supercycle. Amazon Web Services announced an expansion of its partnership with Nvidia, with AWS committing to the next generation of GPU clusters for deployment in 2026-2027. Nvidia shares gained 3.75% in Tuesday's session, recovering from a mid-March pullback. The broader theme: despite the hyperscaler pivot toward custom silicon, Nvidia continues to win the near-term AI capex race because custom silicon takes 18-24 months from design to deployment at scale.</w:t>
      </w:r>
    </w:p>
    <w:p>
      <w:pPr>
        <w:spacing w:after="80" w:before="80"/>
      </w:pPr>
      <w:r>
        <w:rPr>
          <w:rFonts w:ascii="Arial" w:cs="Arial" w:eastAsia="Arial" w:hAnsi="Arial"/>
          <w:b w:val="false"/>
          <w:bCs w:val="false"/>
          <w:color w:val="222222"/>
          <w:sz w:val="20"/>
          <w:szCs w:val="20"/>
        </w:rPr>
        <w:t xml:space="preserve">The practical upshot: Nvidia's data center revenue continues to grow even as its long-term competitive moat is being quietly eroded. For investors, this creates a valuation question — how much of Nvidia's current multiple reflects the near-term dominance versus the long-term custom silicon threat? The market, for now, is betting on the former.</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4. MACRO &amp; FED WATCH</w:t>
      </w:r>
    </w:p>
    <w:p>
      <w:pPr>
        <w:spacing w:after="80" w:before="80"/>
      </w:pPr>
      <w:r>
        <w:rPr>
          <w:rFonts w:ascii="Arial" w:cs="Arial" w:eastAsia="Arial" w:hAnsi="Arial"/>
          <w:b w:val="false"/>
          <w:bCs w:val="false"/>
          <w:color w:val="222222"/>
          <w:sz w:val="20"/>
          <w:szCs w:val="20"/>
        </w:rPr>
        <w:t xml:space="preserve">The Federal Reserve sits at a particularly uncomfortable intersection: oil-driven inflation that it cannot control through rate policy, a leadership transition that injects structural uncertainty, and an economy that is neither obviously strong nor clearly weakening. The federal funds rate has been at 3.5%-3.75% since late 2025, representing roughly 100 basis points of cumulative cuts from the 2023-2024 peak. Markets are pricing zero probability of a cut at the April 28 FOMC meeting.</w:t>
      </w:r>
    </w:p>
    <w:p>
      <w:pPr>
        <w:spacing w:after="80" w:before="80"/>
      </w:pPr>
      <w:r>
        <w:rPr>
          <w:rFonts w:ascii="Arial" w:cs="Arial" w:eastAsia="Arial" w:hAnsi="Arial"/>
          <w:b w:val="false"/>
          <w:bCs w:val="false"/>
          <w:color w:val="222222"/>
          <w:sz w:val="20"/>
          <w:szCs w:val="20"/>
        </w:rPr>
        <w:t xml:space="preserve">Fed funds futures currently price the first cut of 2026 no earlier than July, and even that is below a 65% probability. The FOMC committee is deeply divided: seven members expect just one cut through 2026, while the same number see rates holding steady through year-end. This is not a committee looking for an excuse to ease — it is a committee genuinely uncertain about the inflation trajectory given oil.</w:t>
      </w:r>
    </w:p>
    <w:p>
      <w:pPr>
        <w:spacing w:after="80" w:before="80"/>
      </w:pPr>
      <w:r>
        <w:rPr>
          <w:rFonts w:ascii="Arial" w:cs="Arial" w:eastAsia="Arial" w:hAnsi="Arial"/>
          <w:b w:val="false"/>
          <w:bCs w:val="false"/>
          <w:color w:val="222222"/>
          <w:sz w:val="20"/>
          <w:szCs w:val="20"/>
        </w:rPr>
        <w:t xml:space="preserve">The yield curve bears watching. The 10-year at 4.31% vs. the 2-year at 3.81% represents a positive spread of 50 basis points — the curve has re-steepened from the deep inversion of 2023-2024. This re-steepening is historically a sign that markets are pricing a more normal economic cycle ahead, but it can also signal genuine concern about long-duration inflation risk. If Warsh follows through on balance sheet reduction (selling long-dated Treasuries), the 30-year could push toward 5.0%, putting real pressure on mortgage rates, corporate bond spreads, and equity discount rates.</w:t>
      </w:r>
    </w:p>
    <w:p>
      <w:pPr>
        <w:spacing w:after="80" w:before="80"/>
      </w:pPr>
      <w:r>
        <w:rPr>
          <w:rFonts w:ascii="Arial" w:cs="Arial" w:eastAsia="Arial" w:hAnsi="Arial"/>
          <w:b w:val="false"/>
          <w:bCs w:val="false"/>
          <w:color w:val="222222"/>
          <w:sz w:val="20"/>
          <w:szCs w:val="20"/>
        </w:rPr>
        <w:t xml:space="preserve">Jerome Powell's final FOMC meeting is April 28. His legacy, paradoxically, may be defined less by the rate cuts he delivered than by the institutional credibility he preserved during a politically turbulent period. Warsh enters with a mandate from a president who has historically preferred lower rates — but inherits a committee that will not be easily herded. The market's base case: Warsh leans hawkish on QT but is pragmatic on the rate path. Any surprise dovishness at the April 21 confirmation hearing could trigger a meaningful Treasury rally.</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5. ECONOMIC CALENDAR — TODAY (WEDNESDAY, APRIL 15)</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400"/>
        <w:gridCol w:w="3220"/>
      </w:tblGrid>
      <w:tr>
        <w:tc>
          <w:tcPr>
            <w:tcW w:type="dxa" w:w="12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TIME (ET)</w:t>
            </w:r>
          </w:p>
        </w:tc>
        <w:tc>
          <w:tcPr>
            <w:tcW w:type="dxa" w:w="22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INDICATOR</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PRIOR</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CONSENSUS</w:t>
            </w:r>
          </w:p>
        </w:tc>
        <w:tc>
          <w:tcPr>
            <w:tcW w:type="dxa" w:w="32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WHY IT MATTERS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8:30 AM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Empire State Mfg. Index (Apr)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-20.9</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~-14.0</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Gauge of NY manufacturing health; proxy for broader industrial demand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8:30 AM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Import Price Index (Mar)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+0.4%</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+0.1%</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Oil price swings will distort; core ex-petroleum tracks imported inflation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9:15 AM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Industrial Production (Mar)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+0.2%</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Capacity utilization &amp; factory output — key signal for manufacturing recession risk</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9:15 AM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Capacity Utilization (Mar)</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78.2%</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78.5%</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Below 80% signals slack; above 82% signals overheating and inflation pressure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10:00 AM</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Business Inventories (Feb)</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+0.3%</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+0.2%</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Inventory build/draw signals supply chain health and future production needs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Fed Speakers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FOMC Members (Various)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N/A</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18"/>
                <w:szCs w:val="18"/>
              </w:rPr>
              <w:t xml:space="preserve">N/A</w:t>
            </w:r>
          </w:p>
        </w:tc>
        <w:tc>
          <w:tcPr>
            <w:tcW w:type="dxa" w:w="32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7"/>
                <w:szCs w:val="17"/>
              </w:rPr>
              <w:t xml:space="preserve">Markets hunting for signals ahead of April 28 FOMC with rate at 3.5%-3.75%</w:t>
            </w:r>
          </w:p>
        </w:tc>
      </w:tr>
    </w:tbl>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6. EARNINGS WATCH</w:t>
      </w:r>
    </w:p>
    <w:p>
      <w:pPr>
        <w:spacing w:after="80" w:before="80"/>
      </w:pPr>
      <w:r>
        <w:rPr>
          <w:rFonts w:ascii="Arial" w:cs="Arial" w:eastAsia="Arial" w:hAnsi="Arial"/>
          <w:b w:val="false"/>
          <w:bCs w:val="false"/>
          <w:color w:val="222222"/>
          <w:sz w:val="20"/>
          <w:szCs w:val="20"/>
        </w:rPr>
        <w:t xml:space="preserve">The Q1 2026 earnings season has opened with a resounding affirmation of Financial sector strength — and today adds two more blue-chip confirmations to an already bullish running tally.</w:t>
      </w:r>
    </w:p>
    <w:p>
      <w:pPr>
        <w:spacing w:after="60" w:before="60"/>
      </w:pPr>
      <w: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420"/>
      </w:tblGrid>
      <w:tr>
        <w:tc>
          <w:tcPr>
            <w:tcW w:type="dxa" w:w="28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COMPANY</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EPS EST.</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EPS ACT.</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REV ACT.</w:t>
            </w:r>
          </w:p>
        </w:tc>
        <w:tc>
          <w:tcPr>
            <w:tcW w:type="dxa" w:w="24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VERDICT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Bank of America (BAC) — Pre-Mkt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$1.01</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20"/>
                <w:szCs w:val="20"/>
              </w:rPr>
              <w:t xml:space="preserve">$1.11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$30.43B</w:t>
            </w:r>
          </w:p>
        </w:tc>
        <w:tc>
          <w:tcPr>
            <w:tcW w:type="dxa" w:w="2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Beat on EPS &amp; revenue; equities trading +30%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Morgan Stanley (MS) — Pre-Mkt</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~$2.30</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20"/>
                <w:szCs w:val="20"/>
              </w:rPr>
              <w:t xml:space="preserve">Beat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$20.6B (rec.)</w:t>
            </w:r>
          </w:p>
        </w:tc>
        <w:tc>
          <w:tcPr>
            <w:tcW w:type="dxa" w:w="2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Record revenue; equities trading hit record $5.15B</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JPMorgan Chase (JPM) — Tues.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$5.46</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20"/>
                <w:szCs w:val="20"/>
              </w:rPr>
              <w:t xml:space="preserve">$5.94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$50.5B</w:t>
            </w:r>
          </w:p>
        </w:tc>
        <w:tc>
          <w:tcPr>
            <w:tcW w:type="dxa" w:w="2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Beat; guided NII lower — stock fell -0.80%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Goldman Sachs (GS) — Tues.</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TBD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bCs/>
                <w:i w:val="false"/>
                <w:iCs w:val="false"/>
                <w:color w:val="1A7A3A"/>
                <w:sz w:val="20"/>
                <w:szCs w:val="20"/>
              </w:rPr>
              <w:t xml:space="preserve">Beat ✓</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Record</w:t>
            </w:r>
          </w:p>
        </w:tc>
        <w:tc>
          <w:tcPr>
            <w:tcW w:type="dxa" w:w="24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IB fees +30% YoY; equities trading surged</w:t>
            </w:r>
          </w:p>
        </w:tc>
      </w:tr>
    </w:tbl>
    <w:p>
      <w:pPr>
        <w:spacing w:after="60" w:before="60"/>
      </w:pPr>
      <w:r>
        <w:t xml:space="preserve"/>
      </w:r>
    </w:p>
    <w:p>
      <w:pPr>
        <w:spacing w:after="80" w:before="80"/>
      </w:pPr>
      <w:r>
        <w:rPr>
          <w:rFonts w:ascii="Arial" w:cs="Arial" w:eastAsia="Arial" w:hAnsi="Arial"/>
          <w:b w:val="false"/>
          <w:bCs w:val="false"/>
          <w:color w:val="222222"/>
          <w:sz w:val="20"/>
          <w:szCs w:val="20"/>
        </w:rPr>
        <w:t xml:space="preserve">The broader earnings season context: the S&amp;P 500 Financials sector is tracking 15.1% year-over-year earnings growth — third-best of all eleven sectors. What's driving it? A combination of resilient net interest margins (rates haven't fallen enough to hurt), record equity and debt capital markets activity (the IPO and M&amp;A pipeline, dormant in 2024-2025, has reopened), and trading desks that have benefited from elevated volatility. The fee revenue jump at JPMorgan (+28% YoY) and investment banking surge at Goldman and Morgan Stanley confirm that corporate America is transacting again — a leading indicator for broader economic activity.</w:t>
      </w:r>
    </w:p>
    <w:p>
      <w:pPr>
        <w:spacing w:after="80" w:before="80"/>
      </w:pPr>
      <w:r>
        <w:rPr>
          <w:rFonts w:ascii="Arial" w:cs="Arial" w:eastAsia="Arial" w:hAnsi="Arial"/>
          <w:b w:val="false"/>
          <w:bCs w:val="false"/>
          <w:color w:val="222222"/>
          <w:sz w:val="20"/>
          <w:szCs w:val="20"/>
        </w:rPr>
        <w:t xml:space="preserve">Options markets implied roughly 3-4% moves for BAC and MS around earnings — both trades that would have paid off for volatility buyers on the upside. The next major earnings catalysts on the radar: Netflix reports next week, followed by the mega-cap tech cohort (Alphabet, Microsoft, Meta, Amazon) in the final week of April and first week of May. Consensus expectations for mega-cap tech are high — the bar to beat is elevated.</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7. SECTOR SPOTLIGHT</w:t>
      </w:r>
    </w:p>
    <w:p>
      <w:pPr>
        <w:spacing w:after="80" w:before="200"/>
      </w:pPr>
      <w:r>
        <w:rPr>
          <w:rFonts w:ascii="Arial" w:cs="Arial" w:eastAsia="Arial" w:hAnsi="Arial"/>
          <w:b/>
          <w:bCs/>
          <w:color w:val="1B2A4A"/>
          <w:sz w:val="22"/>
          <w:szCs w:val="22"/>
        </w:rPr>
        <w:t xml:space="preserve">Financials: The Unsung Leader of Q1</w:t>
      </w:r>
    </w:p>
    <w:p>
      <w:pPr>
        <w:spacing w:after="80" w:before="80"/>
      </w:pPr>
      <w:r>
        <w:rPr>
          <w:rFonts w:ascii="Arial" w:cs="Arial" w:eastAsia="Arial" w:hAnsi="Arial"/>
          <w:b w:val="false"/>
          <w:bCs w:val="false"/>
          <w:color w:val="222222"/>
          <w:sz w:val="20"/>
          <w:szCs w:val="20"/>
        </w:rPr>
        <w:t xml:space="preserve">Financials entered 2026 as a consensus underweight — rate-cut expectations had suppressed enthusiasm for banks, and geopolitical risk seemed likely to dampen capital markets activity. Both assumptions proved wrong. Net interest margins have held up better than models predicted, and capital markets revenues have surged as the volatility of the Iran conflict paradoxically drove trading desk profits. Equities trading, in particular, has been a standout: Morgan Stanley's $5.15 billion in equities trading revenue is a record for the firm.</w:t>
      </w:r>
    </w:p>
    <w:p>
      <w:pPr>
        <w:spacing w:after="80" w:before="80"/>
      </w:pPr>
      <w:r>
        <w:rPr>
          <w:rFonts w:ascii="Arial" w:cs="Arial" w:eastAsia="Arial" w:hAnsi="Arial"/>
          <w:b w:val="false"/>
          <w:bCs w:val="false"/>
          <w:color w:val="222222"/>
          <w:sz w:val="20"/>
          <w:szCs w:val="20"/>
        </w:rPr>
        <w:t xml:space="preserve">The sector rotation story is now one of the most interesting in markets. Technology was the consensus overweight entering the year; Financials was the consensus underweight. Year-to-date performance is beginning to converge. If the rate path turns more hawkish under Warsh, banks could outperform further — but the risk is that an economy weakened by oil prices and high rates eventually hits the credit quality of bank loan books. The loan-loss provision declines reported this week are a backward-looking indicator. Watch Q2 guidance on credit quality carefully.</w:t>
      </w:r>
    </w:p>
    <w:p>
      <w:pPr>
        <w:spacing w:after="80" w:before="200"/>
      </w:pPr>
      <w:r>
        <w:rPr>
          <w:rFonts w:ascii="Arial" w:cs="Arial" w:eastAsia="Arial" w:hAnsi="Arial"/>
          <w:b/>
          <w:bCs/>
          <w:color w:val="1B2A4A"/>
          <w:sz w:val="22"/>
          <w:szCs w:val="22"/>
        </w:rPr>
        <w:t xml:space="preserve">Energy: The Volatility Trade</w:t>
      </w:r>
    </w:p>
    <w:p>
      <w:pPr>
        <w:spacing w:after="80" w:before="80"/>
      </w:pPr>
      <w:r>
        <w:rPr>
          <w:rFonts w:ascii="Arial" w:cs="Arial" w:eastAsia="Arial" w:hAnsi="Arial"/>
          <w:b w:val="false"/>
          <w:bCs w:val="false"/>
          <w:color w:val="222222"/>
          <w:sz w:val="20"/>
          <w:szCs w:val="20"/>
        </w:rPr>
        <w:t xml:space="preserve">The Energy sector has been the year's most volatile, tracking oil prices that have swung from ~$70 pre-conflict to above $100 and back to ~$92-$95. Chevron fell -2.47% in Tuesday's session, leading S&amp;P 500 laggards — a reminder that oil stocks don't just track crude prices linearly. When peace talks revive and oil falls, energy equities can sell off sharply even from elevated levels. The sector is now effectively a geopolitical options trade: long peace = sell Energy, long escalation = buy Energy. Producers with hedged production books are better positioned for volatility; unhedged E&amp;P names carry more tail risk.</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8. ANALYST CALLS &amp; RATING CHANGES</w:t>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1400"/>
        <w:gridCol w:w="3020"/>
      </w:tblGrid>
      <w:tr>
        <w:tc>
          <w:tcPr>
            <w:tcW w:type="dxa" w:w="18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FIRM</w:t>
            </w:r>
          </w:p>
        </w:tc>
        <w:tc>
          <w:tcPr>
            <w:tcW w:type="dxa" w:w="18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STOCK</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ACTION</w:t>
            </w:r>
          </w:p>
        </w:tc>
        <w:tc>
          <w:tcPr>
            <w:tcW w:type="dxa" w:w="140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PT</w:t>
            </w:r>
          </w:p>
        </w:tc>
        <w:tc>
          <w:tcPr>
            <w:tcW w:type="dxa" w:w="3020"/>
            <w:gridSpan w:val="1"/>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i w:val="false"/>
                <w:iCs w:val="false"/>
                <w:color w:val="FFFFFF"/>
                <w:sz w:val="18"/>
                <w:szCs w:val="18"/>
              </w:rPr>
              <w:t xml:space="preserve">RATIONALE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Piper Sandler</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Biogen (BIIB)</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7A3A"/>
                <w:sz w:val="20"/>
                <w:szCs w:val="20"/>
              </w:rPr>
              <w:t xml:space="preserve">↑ Upgrade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$214</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Pipeline de-risked; valuation attractive post-selloff</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Barclays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Align Tech (ALGN)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7A3A"/>
                <w:sz w:val="20"/>
                <w:szCs w:val="20"/>
              </w:rPr>
              <w:t xml:space="preserve">↑ Upgrade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N/A</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Stock decline created compelling entry point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UBS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Omega Healthcare (OHI)</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Downgrade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$46</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Rate sensitivity; REIT valuation stretched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Barclays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Qiagen (QGEN)</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Downgrade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$44</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Demand softness in diagnostics segment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Barclays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Revvity (RVTY)</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Downgrade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$95</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 science tools spending headwinds continue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Various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AMD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20"/>
                <w:szCs w:val="20"/>
              </w:rPr>
              <w:t xml:space="preserve">↓ Downgrade</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i w:val="false"/>
                <w:iCs w:val="false"/>
                <w:color w:val="000000"/>
                <w:sz w:val="20"/>
                <w:szCs w:val="20"/>
              </w:rPr>
              <w:t xml:space="preserve">Varies</w:t>
            </w:r>
          </w:p>
        </w:tc>
        <w:tc>
          <w:tcPr>
            <w:tcW w:type="dxa" w:w="3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Hyperscaler capex constraints; execution risk on MI-series</w:t>
            </w:r>
          </w:p>
        </w:tc>
      </w:tr>
    </w:tbl>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9. STOCKS TO WATCH</w:t>
      </w:r>
    </w:p>
    <w:p>
      <w:pPr>
        <w:spacing w:after="80" w:before="200"/>
      </w:pPr>
      <w:r>
        <w:rPr>
          <w:rFonts w:ascii="Arial" w:cs="Arial" w:eastAsia="Arial" w:hAnsi="Arial"/>
          <w:b/>
          <w:bCs/>
          <w:color w:val="1B2A4A"/>
          <w:sz w:val="22"/>
          <w:szCs w:val="22"/>
        </w:rPr>
        <w:t xml:space="preserve">Bank of America (BAC) — The Quality Beat</w:t>
      </w:r>
    </w:p>
    <w:p>
      <w:pPr>
        <w:spacing w:after="80" w:before="80"/>
      </w:pPr>
      <w:r>
        <w:rPr>
          <w:rFonts w:ascii="Arial" w:cs="Arial" w:eastAsia="Arial" w:hAnsi="Arial"/>
          <w:b w:val="false"/>
          <w:bCs w:val="false"/>
          <w:color w:val="222222"/>
          <w:sz w:val="20"/>
          <w:szCs w:val="20"/>
        </w:rPr>
        <w:t xml:space="preserve">BAC enters Wednesday up ~1.5% in premarket on its strongest EPS print in roughly 20 years. The key levels to watch: BAC has been consolidating in the $43-$47 range; a clean break above $47 on volume would be technically significant and could attract momentum buyers. The bull case is straightforward — equities trading momentum, healthy consumer credit, and NIM resilience. The bear case: the fixed income trading line disappointed by ~$330M, and if rates fall faster than expected, NII guidance gets cut. Options markets had priced a ~3% implied move; the 1.5% premarket gain suggests the market is respecting the beat without going euphoric.</w:t>
      </w:r>
    </w:p>
    <w:p>
      <w:pPr>
        <w:spacing w:after="80" w:before="200"/>
      </w:pPr>
      <w:r>
        <w:rPr>
          <w:rFonts w:ascii="Arial" w:cs="Arial" w:eastAsia="Arial" w:hAnsi="Arial"/>
          <w:b/>
          <w:bCs/>
          <w:color w:val="1B2A4A"/>
          <w:sz w:val="22"/>
          <w:szCs w:val="22"/>
        </w:rPr>
        <w:t xml:space="preserve">Broadcom (AVGO) — The AI Infrastructure Kingmaker</w:t>
      </w:r>
    </w:p>
    <w:p>
      <w:pPr>
        <w:spacing w:after="80" w:before="80"/>
      </w:pPr>
      <w:r>
        <w:rPr>
          <w:rFonts w:ascii="Arial" w:cs="Arial" w:eastAsia="Arial" w:hAnsi="Arial"/>
          <w:b w:val="false"/>
          <w:bCs w:val="false"/>
          <w:color w:val="222222"/>
          <w:sz w:val="20"/>
          <w:szCs w:val="20"/>
        </w:rPr>
        <w:t xml:space="preserve">AVGO surged more than 3% Tuesday on the Meta deal news and enters Wednesday as the AI infrastructure stock with the most compelling near-term catalyst calendar. The Meta commitment of 1 GW of MTIA chips — with multi-GW follow-on planned — is transformational for Broadcom's custom silicon revenue. AVGO is already up more than 10% year-to-date. The options-implied move for the week is around 4%; with the stock at ~$210-$215, traders are setting up for a possible test of the $220-$225 range. Key risk: if Nvidia's next earnings show custom silicon is eating into data center GPU orders faster than expected, AVGO's premium could compress.</w:t>
      </w:r>
    </w:p>
    <w:p>
      <w:pPr>
        <w:spacing w:after="80" w:before="200"/>
      </w:pPr>
      <w:r>
        <w:rPr>
          <w:rFonts w:ascii="Arial" w:cs="Arial" w:eastAsia="Arial" w:hAnsi="Arial"/>
          <w:b/>
          <w:bCs/>
          <w:color w:val="1B2A4A"/>
          <w:sz w:val="22"/>
          <w:szCs w:val="22"/>
        </w:rPr>
        <w:t xml:space="preserve">Amazon (AMZN) — Up 3.83%, AI &amp; Earnings Tailwinds</w:t>
      </w:r>
    </w:p>
    <w:p>
      <w:pPr>
        <w:spacing w:after="80" w:before="80"/>
      </w:pPr>
      <w:r>
        <w:rPr>
          <w:rFonts w:ascii="Arial" w:cs="Arial" w:eastAsia="Arial" w:hAnsi="Arial"/>
          <w:b w:val="false"/>
          <w:bCs w:val="false"/>
          <w:color w:val="222222"/>
          <w:sz w:val="20"/>
          <w:szCs w:val="20"/>
        </w:rPr>
        <w:t xml:space="preserve">Amazon led S&amp;P 500 gainers Tuesday with a 3.83% surge, driven by the Nvidia-AWS partnership expansion announcement and renewed optimism about AWS cloud demand in the AI era. AMZN is approaching its Q1 earnings release (expected late April) with momentum. The key question for Amazon's quarter: AWS revenue growth re-acceleration (consensus expects 18-20% growth) and retail margin improvement. The Iran oil price situation is a double-edged sword for Amazon — higher fuel costs hurt logistics margins, but a normalization in energy prices (currently underway) removes a key headwind. Key level: $220 is technical resistance; a clean break sets up a move toward $235.</w:t>
      </w:r>
    </w:p>
    <w:p>
      <w:pPr>
        <w:spacing w:after="80" w:before="200"/>
      </w:pPr>
      <w:r>
        <w:rPr>
          <w:rFonts w:ascii="Arial" w:cs="Arial" w:eastAsia="Arial" w:hAnsi="Arial"/>
          <w:b/>
          <w:bCs/>
          <w:color w:val="1B2A4A"/>
          <w:sz w:val="22"/>
          <w:szCs w:val="22"/>
        </w:rPr>
        <w:t xml:space="preserve">Nike (NKE) — Surprising Strength in a Challenged Retailer</w:t>
      </w:r>
    </w:p>
    <w:p>
      <w:pPr>
        <w:spacing w:after="80" w:before="80"/>
      </w:pPr>
      <w:r>
        <w:rPr>
          <w:rFonts w:ascii="Arial" w:cs="Arial" w:eastAsia="Arial" w:hAnsi="Arial"/>
          <w:b w:val="false"/>
          <w:bCs w:val="false"/>
          <w:color w:val="222222"/>
          <w:sz w:val="20"/>
          <w:szCs w:val="20"/>
        </w:rPr>
        <w:t xml:space="preserve">Nike rose 3.01% Tuesday, making it one of the session's better performers despite the stock being in a multi-month downtrend driven by North America market share losses and China revenue headwinds. The rebound may reflect short-covering as Iran fears moderate (Nike has meaningful China exposure, and a stabilizing geopolitical environment reduces EM risk premia) or early positioning ahead of its next earnings print. The company faces structural headwinds from Hoka and On Running in performance footwear. Technically, NKE is testing resistance at ~$78-$80; the risk/reward for a sustained rally is poor without a fundamental catalyst. Watch Thursday's retail sales data as a consumer sentiment proxy.</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10. GLOBAL MACRO SNAPSHOT</w:t>
      </w:r>
    </w:p>
    <w:p>
      <w:pPr>
        <w:spacing w:after="80" w:before="80"/>
      </w:pPr>
      <w:r>
        <w:rPr>
          <w:rFonts w:ascii="Arial" w:cs="Arial" w:eastAsia="Arial" w:hAnsi="Arial"/>
          <w:b w:val="false"/>
          <w:bCs w:val="false"/>
          <w:color w:val="222222"/>
          <w:sz w:val="20"/>
          <w:szCs w:val="20"/>
        </w:rPr>
        <w:t xml:space="preserve">China continues to walk the tightrope between stimulus and deleveraging. The CSI 300's -0.34% dip Wednesday bucked regional gains, reflecting investor ambivalence about Beijing's policy trajectory: recent data showed marginal improvement in factory output, but property sector stress persists and export demand faces headwinds from a slow global economy. The People's Bank of China has been cautious on rate cuts, wary of capital outflows if the yield differential with the U.S. narrows further. USD/CNY at ~7.23 remains managed; a weaker yuan would normally boost exports but risks capital flight.</w:t>
      </w:r>
    </w:p>
    <w:p>
      <w:pPr>
        <w:spacing w:after="80" w:before="80"/>
      </w:pPr>
      <w:r>
        <w:rPr>
          <w:rFonts w:ascii="Arial" w:cs="Arial" w:eastAsia="Arial" w:hAnsi="Arial"/>
          <w:b w:val="false"/>
          <w:bCs w:val="false"/>
          <w:color w:val="222222"/>
          <w:sz w:val="20"/>
          <w:szCs w:val="20"/>
        </w:rPr>
        <w:t xml:space="preserve">Europe is in stagflation territory. Energy import costs remain elevated despite the partial Hormuz reopening; German factory output has contracted for two consecutive quarters. The DAX's resilience (+8.1% YTD) reflects the European market's heavy weighting toward industrials and materials that benefit from defense spending and reshoring, not a healthy underlying economy. The ECB is caught between inflation (energy-driven) and recession risk — a mirror image of the Fed's dilemma.</w:t>
      </w:r>
    </w:p>
    <w:p>
      <w:pPr>
        <w:spacing w:after="80" w:before="80"/>
      </w:pPr>
      <w:r>
        <w:rPr>
          <w:rFonts w:ascii="Arial" w:cs="Arial" w:eastAsia="Arial" w:hAnsi="Arial"/>
          <w:b w:val="false"/>
          <w:bCs w:val="false"/>
          <w:color w:val="222222"/>
          <w:sz w:val="20"/>
          <w:szCs w:val="20"/>
        </w:rPr>
        <w:t xml:space="preserve">India is the standout emerging market story, with the Nifty 50 gaining 1.56% Wednesday on return from a holiday. India's economy is benefiting from supply chain diversification away from China, robust domestic consumption, and a government infrastructure build-out. The rupee has been relatively stable, and India's energy import diversification (including Russian crude at discounted prices) has partially insulated it from the Hormuz impact. EM investors looking for a safe haven in a volatile year have been rotating into Indian equities — a trend that looks durable.</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11. WEEK AHEAD PREVIEW</w:t>
      </w:r>
    </w:p>
    <w:p>
      <w:pPr>
        <w:spacing w:after="80" w:before="80"/>
      </w:pPr>
      <w:r>
        <w:rPr>
          <w:rFonts w:ascii="Arial" w:cs="Arial" w:eastAsia="Arial" w:hAnsi="Arial"/>
          <w:b w:val="false"/>
          <w:bCs w:val="false"/>
          <w:color w:val="222222"/>
          <w:sz w:val="20"/>
          <w:szCs w:val="20"/>
        </w:rPr>
        <w:t xml:space="preserve">Thursday brings U.S. Retail Sales for March — the consensus is +0.4%, but given the Iran-driven consumer confidence hit in late March, a downside miss is plausible. A weak retail number would immediately revive rate-cut speculation and put pressure on financials stocks whose rally is partly predicated on a resilient consumer. Industrial Production and Capacity Utilization (also Thursday) will round out the manufacturing picture; a second consecutive decline in IP would deepen recession concerns.</w:t>
      </w:r>
    </w:p>
    <w:p>
      <w:pPr>
        <w:spacing w:after="80" w:before="80"/>
      </w:pPr>
      <w:r>
        <w:rPr>
          <w:rFonts w:ascii="Arial" w:cs="Arial" w:eastAsia="Arial" w:hAnsi="Arial"/>
          <w:b w:val="false"/>
          <w:bCs w:val="false"/>
          <w:color w:val="222222"/>
          <w:sz w:val="20"/>
          <w:szCs w:val="20"/>
        </w:rPr>
        <w:t xml:space="preserve">Friday brings the University of Michigan Consumer Sentiment survey — the inflation expectations component will be scrutinized. If one-year inflation expectations remain elevated (above 3.5%), the Fed's ability to cut is further constrained. Elsewhere: the IMF and World Bank Spring Meetings continue through the week, with finance ministers from G20 nations discussing the global energy crisis and its macro implications.</w:t>
      </w:r>
    </w:p>
    <w:p>
      <w:pPr>
        <w:spacing w:after="80" w:before="80"/>
      </w:pPr>
      <w:r>
        <w:rPr>
          <w:rFonts w:ascii="Arial" w:cs="Arial" w:eastAsia="Arial" w:hAnsi="Arial"/>
          <w:b w:val="false"/>
          <w:bCs w:val="false"/>
          <w:color w:val="222222"/>
          <w:sz w:val="20"/>
          <w:szCs w:val="20"/>
        </w:rPr>
        <w:t xml:space="preserve">On the earnings front, next week's calendar includes Netflix on Tuesday, April 21 — a crucial read on streaming subscription resilience and password-sharing monetization. That same day is Kevin Warsh's Senate confirmation hearing, which markets will watch intensely for any signals on balance sheet policy and rate philosophy. The final week of April brings Alphabet, Microsoft, and Meta — the AI capex numbers from these three companies will either validate or complicate the Broadcom and Nvidia bull theses. Buckle up: the next two weeks may be the most consequential of the year.</w:t>
      </w:r>
    </w:p>
    <w:p>
      <w:pPr>
        <w:spacing w:after="60" w:before="60"/>
      </w:pPr>
      <w:r>
        <w:t xml:space="preserve"/>
      </w:r>
    </w:p>
    <w:p>
      <w:pPr>
        <w:pBdr>
          <w:bottom w:val="single" w:color="C9A84C" w:sz="8" w:space="4"/>
        </w:pBdr>
        <w:spacing w:after="120" w:before="320"/>
      </w:pPr>
      <w:r>
        <w:rPr>
          <w:rFonts w:ascii="Arial" w:cs="Arial" w:eastAsia="Arial" w:hAnsi="Arial"/>
          <w:b/>
          <w:bCs/>
          <w:color w:val="1B2A4A"/>
          <w:sz w:val="26"/>
          <w:szCs w:val="26"/>
        </w:rPr>
        <w:t xml:space="preserve">12. CLOSING THOUGHT</w:t>
      </w:r>
    </w:p>
    <w:p>
      <w:pPr>
        <w:spacing w:after="80" w:before="80"/>
      </w:pPr>
      <w:r>
        <w:rPr>
          <w:rFonts w:ascii="Arial" w:cs="Arial" w:eastAsia="Arial" w:hAnsi="Arial"/>
          <w:b w:val="false"/>
          <w:bCs w:val="false"/>
          <w:color w:val="222222"/>
          <w:sz w:val="20"/>
          <w:szCs w:val="20"/>
        </w:rPr>
        <w:t xml:space="preserve">Here is the contrarian case the market is not fully pricing: the Iran conflict ends, oil falls back to $70, and inflation drops rapidly — and the Fed still can't cut rates meaningfully because the economy re-accelerates too fast. In that scenario, the yield curve steepens aggressively, long rates move toward 5%, growth stocks reprice lower, and the Financials rotation accelerates. The consensus narrative for a soft landing assumes the Fed can thread the needle between a too-slow recovery and overheating. But history suggests that when geopolitical risk premia unwind rapidly, the economic rebound tends to overshoot the base case.</w:t>
      </w:r>
    </w:p>
    <w:p>
      <w:pPr>
        <w:spacing w:after="80" w:before="80"/>
      </w:pPr>
      <w:r>
        <w:rPr>
          <w:rFonts w:ascii="Arial" w:cs="Arial" w:eastAsia="Arial" w:hAnsi="Arial"/>
          <w:b w:val="false"/>
          <w:bCs w:val="false"/>
          <w:color w:val="222222"/>
          <w:sz w:val="20"/>
          <w:szCs w:val="20"/>
        </w:rPr>
        <w:t xml:space="preserve">The parallel worth considering is 1991: after the Gulf War ended swiftly and oil prices collapsed, the U.S. economy did not immediately boom — it had already absorbed the demand destruction of high oil prices. The 2026 version may rhyme. Markets are pricing a benign path. The risk is that the combination of a new, more hawkish Fed chair, an overstimulated AI investment cycle, and an economy that is neither clearly strong nor clearly weak creates more volatility than the 18.36 VIX reading suggests. The VIX at 18 is not complacency — but it is not fear either. In a world this uncertain, that feels like an underpriced number.</w:t>
      </w:r>
    </w:p>
    <w:p>
      <w:pPr>
        <w:spacing w:after="80" w:before="160"/>
      </w:pPr>
      <w:r>
        <w:rPr>
          <w:rFonts w:ascii="Arial" w:cs="Arial" w:eastAsia="Arial" w:hAnsi="Arial"/>
          <w:b/>
          <w:bCs/>
          <w:i/>
          <w:iCs/>
          <w:color w:val="C9A84C"/>
          <w:sz w:val="22"/>
          <w:szCs w:val="22"/>
        </w:rPr>
        <w:t xml:space="preserve">Trade carefully. Think globally. Read between the lines.</w:t>
      </w:r>
    </w:p>
    <w:p>
      <w:pPr>
        <w:spacing w:after="60" w:before="60"/>
      </w:pPr>
      <w:r>
        <w:t xml:space="preserve"/>
      </w:r>
    </w:p>
    <w:p>
      <w:pPr>
        <w:spacing w:after="80" w:before="80"/>
      </w:pPr>
      <w:r>
        <w:rPr>
          <w:rFonts w:ascii="Arial" w:cs="Arial" w:eastAsia="Arial" w:hAnsi="Arial"/>
          <w:b w:val="false"/>
          <w:bCs w:val="false"/>
          <w:color w:val="5C6370"/>
          <w:sz w:val="20"/>
          <w:szCs w:val="20"/>
        </w:rPr>
        <w:t xml:space="preserve">— Daily Financial Brief | Wednesday, April 15,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pPr>
    <w:r>
      <w:rPr>
        <w:rFonts w:ascii="Arial" w:cs="Arial" w:eastAsia="Arial" w:hAnsi="Arial"/>
        <w:color w:val="5C6370"/>
        <w:sz w:val="16"/>
        <w:szCs w:val="16"/>
      </w:rPr>
      <w:t xml:space="preserve">Daily Financial Brief  |  For informational purposes only  |  Page </w:t>
    </w:r>
    <w:r>
      <w:rPr>
        <w:rFonts w:ascii="Arial" w:cs="Arial" w:eastAsia="Arial" w:hAnsi="Arial"/>
        <w:color w:val="5C6370"/>
        <w:sz w:val="16"/>
        <w:szCs w:val="16"/>
      </w:rPr>
      <w:fldChar w:fldCharType="begin"/>
      <w:instrText xml:space="preserve">PAGE</w:instrText>
      <w:fldChar w:fldCharType="separate"/>
      <w:fldChar w:fldCharType="end"/>
    </w:r>
    <w:r>
      <w:rPr>
        <w:rFonts w:ascii="Arial" w:cs="Arial" w:eastAsia="Arial" w:hAnsi="Arial"/>
        <w:color w:val="5C6370"/>
        <w:sz w:val="16"/>
        <w:szCs w:val="16"/>
      </w:rPr>
      <w:t xml:space="preserve"> of </w:t>
    </w:r>
    <w:r>
      <w:rPr>
        <w:rFonts w:ascii="Arial" w:cs="Arial" w:eastAsia="Arial" w:hAnsi="Arial"/>
        <w:color w:val="5C63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DAILY FINANCIAL BRIEF</w:t>
          </w:r>
        </w:p>
        <w:p>
          <w:r>
            <w:rPr>
              <w:rFonts w:ascii="Arial" w:cs="Arial" w:eastAsia="Arial" w:hAnsi="Arial"/>
              <w:color w:val="C9A84C"/>
              <w:sz w:val="18"/>
              <w:szCs w:val="18"/>
            </w:rPr>
            <w:t xml:space="preserve">Markets &amp; Macro Intelligence</w:t>
          </w:r>
        </w:p>
      </w:tc>
      <w:tc>
        <w:tcPr>
          <w:tcW w:type="dxa" w:w="408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vAlign w:val="center"/>
        </w:tcPr>
        <w:p>
          <w:pPr>
            <w:jc w:val="right"/>
          </w:pPr>
          <w:r>
            <w:rPr>
              <w:rFonts w:ascii="Arial" w:cs="Arial" w:eastAsia="Arial" w:hAnsi="Arial"/>
              <w:b/>
              <w:bCs/>
              <w:color w:val="FFFFFF"/>
              <w:sz w:val="20"/>
              <w:szCs w:val="20"/>
            </w:rPr>
            <w:t xml:space="preserve">Wednesday, April 15, 2026</w:t>
          </w:r>
        </w:p>
        <w:p>
          <w:pPr>
            <w:jc w:val="right"/>
          </w:pPr>
          <w:r>
            <w:rPr>
              <w:rFonts w:ascii="Arial" w:cs="Arial" w:eastAsia="Arial" w:hAnsi="Arial"/>
              <w:color w:val="C9A84C"/>
              <w:sz w:val="17"/>
              <w:szCs w:val="17"/>
            </w:rPr>
            <w:t xml:space="preserve">NYSE Open: 9:30 AM ET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2026-04-15T13:44:46.213Z</dcterms:created>
  <dcterms:modified xsi:type="dcterms:W3CDTF">2026-04-15T13:44:46.213Z</dcterms:modified>
</cp:coreProperties>
</file>

<file path=docProps/custom.xml><?xml version="1.0" encoding="utf-8"?>
<Properties xmlns="http://schemas.openxmlformats.org/officeDocument/2006/custom-properties" xmlns:vt="http://schemas.openxmlformats.org/officeDocument/2006/docPropsVTypes"/>
</file>