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3A6B" w:sz="8" w:space="4"/>
        </w:pBdr>
        <w:spacing w:after="160" w:before="360"/>
      </w:pPr>
      <w:r>
        <w:rPr>
          <w:rFonts w:ascii="Arial" w:cs="Arial" w:eastAsia="Arial" w:hAnsi="Arial"/>
          <w:b/>
          <w:bCs/>
          <w:color w:val="1B3A6B"/>
          <w:sz w:val="28"/>
          <w:szCs w:val="28"/>
        </w:rPr>
        <w:t xml:space="preserve">1. THE MORNING SETUP</w:t>
      </w:r>
    </w:p>
    <w:p>
      <w:pPr>
        <w:spacing w:after="120" w:before="80"/>
      </w:pPr>
      <w:r>
        <w:rPr>
          <w:rFonts w:ascii="Arial" w:cs="Arial" w:eastAsia="Arial" w:hAnsi="Arial"/>
          <w:color w:val="2C2C2C"/>
          <w:sz w:val="22"/>
          <w:szCs w:val="22"/>
        </w:rPr>
        <w:t xml:space="preserve">Markets are riding an extraordinary wave of optimism this Thursday morning as investors dare to price in the end of a war. After the S&amp;P 500 closed at a record 7,022.95 and the Nasdaq posted its eleventh consecutive gain — both indices erasing all losses suffered since the U.S.-Iran conflict erupted — futures are nudging modestly higher in pre-market trade. The single most important dynamic shaping every asset class today is the same one that has dominated global markets for weeks: the fate of U.S.-Iran ceasefire negotiations, and whether a fragile two-week truce can be extended into a durable peace.</w:t>
      </w:r>
    </w:p>
    <w:p>
      <w:pPr>
        <w:spacing w:after="120" w:before="80"/>
      </w:pPr>
      <w:r>
        <w:rPr>
          <w:rFonts w:ascii="Arial" w:cs="Arial" w:eastAsia="Arial" w:hAnsi="Arial"/>
          <w:color w:val="2C2C2C"/>
          <w:sz w:val="22"/>
          <w:szCs w:val="22"/>
        </w:rPr>
        <w:t xml:space="preserve">President Trump declared the Iran war is 'very close to over,' and equity bulls have taken him at face value. The dollar has slid to six-week lows near 98 on the DXY, crude oil has retreated sharply from its blockade-era highs, gold is holding near $4,820 an ounce — elevated, but off its peak — and Asian equities have extended the global rally on the back of surprisingly strong Chinese GDP data. Yet the ceasefire remains fragile, talks in Islamabad concluded without a final deal, and the Strait of Hormuz blockade has not been formally lifted. Peace optimism and energy-supply anxiety are colliding in real time, making this market both celebratory and treacherous in equal measure. Buckle up.</w:t>
      </w:r>
    </w:p>
    <w:p>
      <w:pPr>
        <w:pBdr>
          <w:bottom w:val="single" w:color="1B3A6B" w:sz="8" w:space="4"/>
        </w:pBdr>
        <w:spacing w:after="160" w:before="360"/>
      </w:pPr>
      <w:r>
        <w:rPr>
          <w:rFonts w:ascii="Arial" w:cs="Arial" w:eastAsia="Arial" w:hAnsi="Arial"/>
          <w:b/>
          <w:bCs/>
          <w:color w:val="1B3A6B"/>
          <w:sz w:val="28"/>
          <w:szCs w:val="28"/>
        </w:rPr>
        <w:t xml:space="preserve">2. MARKETS AT A GLANCE</w:t>
      </w:r>
    </w:p>
    <w:p>
      <w:pPr>
        <w:spacing w:after="18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200"/>
        <w:gridCol w:w="1200"/>
        <w:gridCol w:w="2360"/>
      </w:tblGrid>
      <w:tr>
        <w:trPr>
          <w:tblHeader/>
        </w:trPr>
        <w:tc>
          <w:tcPr>
            <w:tcW w:type="auto" w:w="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INSTRUMENT</w:t>
            </w:r>
          </w:p>
        </w:tc>
        <w:tc>
          <w:tcPr>
            <w:tcW w:type="auto" w:w="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PRICE / LEVEL</w:t>
            </w:r>
          </w:p>
        </w:tc>
        <w:tc>
          <w:tcPr>
            <w:tcW w:type="auto" w:w="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1D CHANGE</w:t>
            </w:r>
          </w:p>
        </w:tc>
        <w:tc>
          <w:tcPr>
            <w:tcW w:type="auto" w:w="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5D CHANGE</w:t>
            </w:r>
          </w:p>
        </w:tc>
        <w:tc>
          <w:tcPr>
            <w:tcW w:type="auto" w:w="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YTD / NOTE</w:t>
            </w:r>
          </w:p>
        </w:tc>
      </w:tr>
      <w:tr>
        <w:tc>
          <w:tcPr>
            <w:gridSpan w:val="5"/>
            <w:tcBorders>
              <w:top w:val="single" w:color="CCCCCC" w:sz="1"/>
              <w:left w:val="single" w:color="CCCCCC" w:sz="1"/>
              <w:bottom w:val="single" w:color="CCCCCC" w:sz="1"/>
              <w:right w:val="single" w:color="CCCCCC" w:sz="1"/>
            </w:tcBorders>
            <w:shd w:fill="D9E8F5" w:val="clear"/>
            <w:tcMar>
              <w:top w:type="dxa" w:w="60"/>
              <w:left w:type="dxa" w:w="120"/>
              <w:bottom w:type="dxa" w:w="60"/>
              <w:right w:type="dxa" w:w="120"/>
            </w:tcMar>
          </w:tcPr>
          <w:p>
            <w:r>
              <w:rPr>
                <w:rFonts w:ascii="Arial" w:cs="Arial" w:eastAsia="Arial" w:hAnsi="Arial"/>
                <w:b/>
                <w:bCs/>
                <w:color w:val="1B3A6B"/>
                <w:sz w:val="19"/>
                <w:szCs w:val="19"/>
              </w:rPr>
              <w:t xml:space="preserve">US EQUITIES — Prior Session (April 15) &amp; Futures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S&amp;P 500 (Close)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C2C2C"/>
                <w:sz w:val="18"/>
                <w:szCs w:val="18"/>
              </w:rPr>
              <w:t xml:space="preserve">7,022.95</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E7D32"/>
                <w:sz w:val="18"/>
                <w:szCs w:val="18"/>
              </w:rPr>
              <w:t xml:space="preserve">+0.80%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+3.2%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+8.1% YTD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S&amp;P 500 Futures (ES)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C2C2C"/>
                <w:sz w:val="18"/>
                <w:szCs w:val="18"/>
              </w:rPr>
              <w:t xml:space="preserve">~7,037</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E7D32"/>
                <w:sz w:val="18"/>
                <w:szCs w:val="18"/>
              </w:rPr>
              <w:t xml:space="preserve">+0.19%</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Record run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Nasdaq Comp. (Close)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C2C2C"/>
                <w:sz w:val="18"/>
                <w:szCs w:val="18"/>
              </w:rPr>
              <w:t xml:space="preserve">24,016.02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E7D32"/>
                <w:sz w:val="18"/>
                <w:szCs w:val="18"/>
              </w:rPr>
              <w:t xml:space="preserve">+1.59%</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+4.1%</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+11.3% YTD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Nasdaq Futures (NQ)</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C2C2C"/>
                <w:sz w:val="18"/>
                <w:szCs w:val="18"/>
              </w:rPr>
              <w:t xml:space="preserve">~24,060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E7D32"/>
                <w:sz w:val="18"/>
                <w:szCs w:val="18"/>
              </w:rPr>
              <w:t xml:space="preserve">+0.21%</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11-session win streak</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Dow Jones (Close)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C2C2C"/>
                <w:sz w:val="18"/>
                <w:szCs w:val="18"/>
              </w:rPr>
              <w:t xml:space="preserve">48,463.72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C62828"/>
                <w:sz w:val="18"/>
                <w:szCs w:val="18"/>
              </w:rPr>
              <w:t xml:space="preserve">-0.15%</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+1.1%</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+4.4% YTD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Russell 2000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C2C2C"/>
                <w:sz w:val="18"/>
                <w:szCs w:val="18"/>
              </w:rPr>
              <w:t xml:space="preserve">~2,180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E7D32"/>
                <w:sz w:val="18"/>
                <w:szCs w:val="18"/>
              </w:rPr>
              <w:t xml:space="preserve">+0.30%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+1.5%</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+2.8% YTD</w:t>
            </w:r>
          </w:p>
        </w:tc>
      </w:tr>
      <w:tr>
        <w:tc>
          <w:tcPr>
            <w:gridSpan w:val="5"/>
            <w:tcBorders>
              <w:top w:val="single" w:color="CCCCCC" w:sz="1"/>
              <w:left w:val="single" w:color="CCCCCC" w:sz="1"/>
              <w:bottom w:val="single" w:color="CCCCCC" w:sz="1"/>
              <w:right w:val="single" w:color="CCCCCC" w:sz="1"/>
            </w:tcBorders>
            <w:shd w:fill="D9E8F5" w:val="clear"/>
            <w:tcMar>
              <w:top w:type="dxa" w:w="60"/>
              <w:left w:type="dxa" w:w="120"/>
              <w:bottom w:type="dxa" w:w="60"/>
              <w:right w:type="dxa" w:w="120"/>
            </w:tcMar>
          </w:tcPr>
          <w:p>
            <w:r>
              <w:rPr>
                <w:rFonts w:ascii="Arial" w:cs="Arial" w:eastAsia="Arial" w:hAnsi="Arial"/>
                <w:b/>
                <w:bCs/>
                <w:color w:val="1B3A6B"/>
                <w:sz w:val="19"/>
                <w:szCs w:val="19"/>
              </w:rPr>
              <w:t xml:space="preserve">VOLATILITY</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VIX (Fear Gauge)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C2C2C"/>
                <w:sz w:val="18"/>
                <w:szCs w:val="18"/>
              </w:rPr>
              <w:t xml:space="preserve">18.17</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E7D32"/>
                <w:sz w:val="18"/>
                <w:szCs w:val="18"/>
              </w:rPr>
              <w:t xml:space="preserve">Declining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Below 20 = stable</w:t>
            </w:r>
          </w:p>
        </w:tc>
      </w:tr>
      <w:tr>
        <w:tc>
          <w:tcPr>
            <w:gridSpan w:val="5"/>
            <w:tcBorders>
              <w:top w:val="single" w:color="CCCCCC" w:sz="1"/>
              <w:left w:val="single" w:color="CCCCCC" w:sz="1"/>
              <w:bottom w:val="single" w:color="CCCCCC" w:sz="1"/>
              <w:right w:val="single" w:color="CCCCCC" w:sz="1"/>
            </w:tcBorders>
            <w:shd w:fill="D9E8F5" w:val="clear"/>
            <w:tcMar>
              <w:top w:type="dxa" w:w="60"/>
              <w:left w:type="dxa" w:w="120"/>
              <w:bottom w:type="dxa" w:w="60"/>
              <w:right w:type="dxa" w:w="120"/>
            </w:tcMar>
          </w:tcPr>
          <w:p>
            <w:r>
              <w:rPr>
                <w:rFonts w:ascii="Arial" w:cs="Arial" w:eastAsia="Arial" w:hAnsi="Arial"/>
                <w:b/>
                <w:bCs/>
                <w:color w:val="1B3A6B"/>
                <w:sz w:val="19"/>
                <w:szCs w:val="19"/>
              </w:rPr>
              <w:t xml:space="preserve">ASIA CLOSE (April 16 AM)</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Nikkei 225 (Japan)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C2C2C"/>
                <w:sz w:val="18"/>
                <w:szCs w:val="18"/>
              </w:rPr>
              <w:t xml:space="preserve">Record High</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E7D32"/>
                <w:sz w:val="18"/>
                <w:szCs w:val="18"/>
              </w:rPr>
              <w:t xml:space="preserve">Positive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+2.1% wk</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All-time high</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Hang Seng (HK)</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C2C2C"/>
                <w:sz w:val="18"/>
                <w:szCs w:val="18"/>
              </w:rPr>
              <w:t xml:space="preserve">+1.71%</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E7D32"/>
                <w:sz w:val="18"/>
                <w:szCs w:val="18"/>
              </w:rPr>
              <w:t xml:space="preserve">+1.71%</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+3.5%</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Rally cont.</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CSI 300 (China)</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C2C2C"/>
                <w:sz w:val="18"/>
                <w:szCs w:val="18"/>
              </w:rPr>
              <w:t xml:space="preserve">4,736.61</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E7D32"/>
                <w:sz w:val="18"/>
                <w:szCs w:val="18"/>
              </w:rPr>
              <w:t xml:space="preserve">+1.10%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+2.3%</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GDP beat</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KOSPI (S. Korea)</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C2C2C"/>
                <w:sz w:val="18"/>
                <w:szCs w:val="18"/>
              </w:rPr>
              <w:t xml:space="preserve">Positive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E7D32"/>
                <w:sz w:val="18"/>
                <w:szCs w:val="18"/>
              </w:rPr>
              <w:t xml:space="preserve">+~0.6%</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ASX 200 (Australia)</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C2C2C"/>
                <w:sz w:val="18"/>
                <w:szCs w:val="18"/>
              </w:rPr>
              <w:t xml:space="preserve">Positive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E7D32"/>
                <w:sz w:val="18"/>
                <w:szCs w:val="18"/>
              </w:rPr>
              <w:t xml:space="preserve">+~0.5%</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w:t>
            </w:r>
          </w:p>
        </w:tc>
      </w:tr>
      <w:tr>
        <w:tc>
          <w:tcPr>
            <w:gridSpan w:val="5"/>
            <w:tcBorders>
              <w:top w:val="single" w:color="CCCCCC" w:sz="1"/>
              <w:left w:val="single" w:color="CCCCCC" w:sz="1"/>
              <w:bottom w:val="single" w:color="CCCCCC" w:sz="1"/>
              <w:right w:val="single" w:color="CCCCCC" w:sz="1"/>
            </w:tcBorders>
            <w:shd w:fill="D9E8F5" w:val="clear"/>
            <w:tcMar>
              <w:top w:type="dxa" w:w="60"/>
              <w:left w:type="dxa" w:w="120"/>
              <w:bottom w:type="dxa" w:w="60"/>
              <w:right w:type="dxa" w:w="120"/>
            </w:tcMar>
          </w:tcPr>
          <w:p>
            <w:r>
              <w:rPr>
                <w:rFonts w:ascii="Arial" w:cs="Arial" w:eastAsia="Arial" w:hAnsi="Arial"/>
                <w:b/>
                <w:bCs/>
                <w:color w:val="1B3A6B"/>
                <w:sz w:val="19"/>
                <w:szCs w:val="19"/>
              </w:rPr>
              <w:t xml:space="preserve">EUROPE (Wednesday Close)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FTSE 100 (UK)</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C2C2C"/>
                <w:sz w:val="18"/>
                <w:szCs w:val="18"/>
              </w:rPr>
              <w:t xml:space="preserve">10,617.08</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E7D32"/>
                <w:sz w:val="18"/>
                <w:szCs w:val="18"/>
              </w:rPr>
              <w:t xml:space="preserve">+0.08%</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+0.9%</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Flat on Iran fears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DAX (Germany)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C2C2C"/>
                <w:sz w:val="18"/>
                <w:szCs w:val="18"/>
              </w:rPr>
              <w:t xml:space="preserve">24,053.65</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E7D32"/>
                <w:sz w:val="18"/>
                <w:szCs w:val="18"/>
              </w:rPr>
              <w:t xml:space="preserve">+0.04%</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+1.2%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Marginal gain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CAC 40 (France)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C2C2C"/>
                <w:sz w:val="18"/>
                <w:szCs w:val="18"/>
              </w:rPr>
              <w:t xml:space="preserve">8,279.58</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C62828"/>
                <w:sz w:val="18"/>
                <w:szCs w:val="18"/>
              </w:rPr>
              <w:t xml:space="preserve">-0.58%</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-0.3%</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Kering drag</w:t>
            </w:r>
          </w:p>
        </w:tc>
      </w:tr>
      <w:tr>
        <w:tc>
          <w:tcPr>
            <w:gridSpan w:val="5"/>
            <w:tcBorders>
              <w:top w:val="single" w:color="CCCCCC" w:sz="1"/>
              <w:left w:val="single" w:color="CCCCCC" w:sz="1"/>
              <w:bottom w:val="single" w:color="CCCCCC" w:sz="1"/>
              <w:right w:val="single" w:color="CCCCCC" w:sz="1"/>
            </w:tcBorders>
            <w:shd w:fill="D9E8F5" w:val="clear"/>
            <w:tcMar>
              <w:top w:type="dxa" w:w="60"/>
              <w:left w:type="dxa" w:w="120"/>
              <w:bottom w:type="dxa" w:w="60"/>
              <w:right w:type="dxa" w:w="120"/>
            </w:tcMar>
          </w:tcPr>
          <w:p>
            <w:r>
              <w:rPr>
                <w:rFonts w:ascii="Arial" w:cs="Arial" w:eastAsia="Arial" w:hAnsi="Arial"/>
                <w:b/>
                <w:bCs/>
                <w:color w:val="1B3A6B"/>
                <w:sz w:val="19"/>
                <w:szCs w:val="19"/>
              </w:rPr>
              <w:t xml:space="preserve">US TREASURIES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2-Year Treasury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C2C2C"/>
                <w:sz w:val="18"/>
                <w:szCs w:val="18"/>
              </w:rPr>
              <w:t xml:space="preserve">3.81%</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E7D32"/>
                <w:sz w:val="18"/>
                <w:szCs w:val="18"/>
              </w:rPr>
              <w:t xml:space="preserve">Flat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Fed anchored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10-Year Treasury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C2C2C"/>
                <w:sz w:val="18"/>
                <w:szCs w:val="18"/>
              </w:rPr>
              <w:t xml:space="preserve">4.31%</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E7D32"/>
                <w:sz w:val="18"/>
                <w:szCs w:val="18"/>
              </w:rPr>
              <w:t xml:space="preserve">Slight dip</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+50bp YTD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30-Year Treasury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C2C2C"/>
                <w:sz w:val="18"/>
                <w:szCs w:val="18"/>
              </w:rPr>
              <w:t xml:space="preserve">~4.60%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E7D32"/>
                <w:sz w:val="18"/>
                <w:szCs w:val="18"/>
              </w:rPr>
              <w:t xml:space="preserve">Flat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Curve steepening</w:t>
            </w:r>
          </w:p>
        </w:tc>
      </w:tr>
      <w:tr>
        <w:tc>
          <w:tcPr>
            <w:gridSpan w:val="5"/>
            <w:tcBorders>
              <w:top w:val="single" w:color="CCCCCC" w:sz="1"/>
              <w:left w:val="single" w:color="CCCCCC" w:sz="1"/>
              <w:bottom w:val="single" w:color="CCCCCC" w:sz="1"/>
              <w:right w:val="single" w:color="CCCCCC" w:sz="1"/>
            </w:tcBorders>
            <w:shd w:fill="D9E8F5" w:val="clear"/>
            <w:tcMar>
              <w:top w:type="dxa" w:w="60"/>
              <w:left w:type="dxa" w:w="120"/>
              <w:bottom w:type="dxa" w:w="60"/>
              <w:right w:type="dxa" w:w="120"/>
            </w:tcMar>
          </w:tcPr>
          <w:p>
            <w:r>
              <w:rPr>
                <w:rFonts w:ascii="Arial" w:cs="Arial" w:eastAsia="Arial" w:hAnsi="Arial"/>
                <w:b/>
                <w:bCs/>
                <w:color w:val="1B3A6B"/>
                <w:sz w:val="19"/>
                <w:szCs w:val="19"/>
              </w:rPr>
              <w:t xml:space="preserve">FOREIGN EXCHANGE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DXY (Dollar Index)</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C2C2C"/>
                <w:sz w:val="18"/>
                <w:szCs w:val="18"/>
              </w:rPr>
              <w:t xml:space="preserve">~98.00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C62828"/>
                <w:sz w:val="18"/>
                <w:szCs w:val="18"/>
              </w:rPr>
              <w:t xml:space="preserve">-0.1%</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-1.4%</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6-week low</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EUR/USD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C2C2C"/>
                <w:sz w:val="18"/>
                <w:szCs w:val="18"/>
              </w:rPr>
              <w:t xml:space="preserve">~1.088</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E7D32"/>
                <w:sz w:val="18"/>
                <w:szCs w:val="18"/>
              </w:rPr>
              <w:t xml:space="preserve">+0.1%</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+1.1%</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Dollar weakness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GBP/USD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C2C2C"/>
                <w:sz w:val="18"/>
                <w:szCs w:val="18"/>
              </w:rPr>
              <w:t xml:space="preserve">~1.302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E7D32"/>
                <w:sz w:val="18"/>
                <w:szCs w:val="18"/>
              </w:rPr>
              <w:t xml:space="preserve">+0.2%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+0.8%</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USD/JPY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C2C2C"/>
                <w:sz w:val="18"/>
                <w:szCs w:val="18"/>
              </w:rPr>
              <w:t xml:space="preserve">~142.5</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E7D32"/>
                <w:sz w:val="18"/>
                <w:szCs w:val="18"/>
              </w:rPr>
              <w:t xml:space="preserve">-0.3%</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-1.5%</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Yen strengthening</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USD/CNY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C2C2C"/>
                <w:sz w:val="18"/>
                <w:szCs w:val="18"/>
              </w:rPr>
              <w:t xml:space="preserve">~7.21</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E7D32"/>
                <w:sz w:val="18"/>
                <w:szCs w:val="18"/>
              </w:rPr>
              <w:t xml:space="preserve">-0.1%</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-0.4%</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Yuan firm on GDP</w:t>
            </w:r>
          </w:p>
        </w:tc>
      </w:tr>
      <w:tr>
        <w:tc>
          <w:tcPr>
            <w:gridSpan w:val="5"/>
            <w:tcBorders>
              <w:top w:val="single" w:color="CCCCCC" w:sz="1"/>
              <w:left w:val="single" w:color="CCCCCC" w:sz="1"/>
              <w:bottom w:val="single" w:color="CCCCCC" w:sz="1"/>
              <w:right w:val="single" w:color="CCCCCC" w:sz="1"/>
            </w:tcBorders>
            <w:shd w:fill="D9E8F5" w:val="clear"/>
            <w:tcMar>
              <w:top w:type="dxa" w:w="60"/>
              <w:left w:type="dxa" w:w="120"/>
              <w:bottom w:type="dxa" w:w="60"/>
              <w:right w:type="dxa" w:w="120"/>
            </w:tcMar>
          </w:tcPr>
          <w:p>
            <w:r>
              <w:rPr>
                <w:rFonts w:ascii="Arial" w:cs="Arial" w:eastAsia="Arial" w:hAnsi="Arial"/>
                <w:b/>
                <w:bCs/>
                <w:color w:val="1B3A6B"/>
                <w:sz w:val="19"/>
                <w:szCs w:val="19"/>
              </w:rPr>
              <w:t xml:space="preserve">COMMODITIES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WTI Crude Oil</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C2C2C"/>
                <w:sz w:val="18"/>
                <w:szCs w:val="18"/>
              </w:rPr>
              <w:t xml:space="preserve">~$91.91/bbl</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C62828"/>
                <w:sz w:val="18"/>
                <w:szCs w:val="18"/>
              </w:rPr>
              <w:t xml:space="preserve">-0.5%</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-4.0%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+43% vs year ago</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Brent Crude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C2C2C"/>
                <w:sz w:val="18"/>
                <w:szCs w:val="18"/>
              </w:rPr>
              <w:t xml:space="preserve">~$95.50/bbl</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C62828"/>
                <w:sz w:val="18"/>
                <w:szCs w:val="18"/>
              </w:rPr>
              <w:t xml:space="preserve">-0.4%</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-3.8%</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Iran premium</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Natural Gas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C2C2C"/>
                <w:sz w:val="18"/>
                <w:szCs w:val="18"/>
              </w:rPr>
              <w:t xml:space="preserve">~$4.20/MMBtu</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E7D32"/>
                <w:sz w:val="18"/>
                <w:szCs w:val="18"/>
              </w:rPr>
              <w:t xml:space="preserve">+0.3%</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+2.1%</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Elevated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Gold (XAU/USD)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C2C2C"/>
                <w:sz w:val="18"/>
                <w:szCs w:val="18"/>
              </w:rPr>
              <w:t xml:space="preserve">~$4,820/oz</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E7D32"/>
                <w:sz w:val="18"/>
                <w:szCs w:val="18"/>
              </w:rPr>
              <w:t xml:space="preserve">+0.2%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+2.5%</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Near 1-mo high</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Silver</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C2C2C"/>
                <w:sz w:val="18"/>
                <w:szCs w:val="18"/>
              </w:rPr>
              <w:t xml:space="preserve">~$31.50/oz</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E7D32"/>
                <w:sz w:val="18"/>
                <w:szCs w:val="18"/>
              </w:rPr>
              <w:t xml:space="preserve">+0.4%</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+1.8%</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Copper</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C2C2C"/>
                <w:sz w:val="18"/>
                <w:szCs w:val="18"/>
              </w:rPr>
              <w:t xml:space="preserve">~$4.45/lb</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E7D32"/>
                <w:sz w:val="18"/>
                <w:szCs w:val="18"/>
              </w:rPr>
              <w:t xml:space="preserve">+0.5%</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+1.2%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China GDP boost</w:t>
            </w:r>
          </w:p>
        </w:tc>
      </w:tr>
      <w:tr>
        <w:tc>
          <w:tcPr>
            <w:gridSpan w:val="5"/>
            <w:tcBorders>
              <w:top w:val="single" w:color="CCCCCC" w:sz="1"/>
              <w:left w:val="single" w:color="CCCCCC" w:sz="1"/>
              <w:bottom w:val="single" w:color="CCCCCC" w:sz="1"/>
              <w:right w:val="single" w:color="CCCCCC" w:sz="1"/>
            </w:tcBorders>
            <w:shd w:fill="D9E8F5" w:val="clear"/>
            <w:tcMar>
              <w:top w:type="dxa" w:w="60"/>
              <w:left w:type="dxa" w:w="120"/>
              <w:bottom w:type="dxa" w:w="60"/>
              <w:right w:type="dxa" w:w="120"/>
            </w:tcMar>
          </w:tcPr>
          <w:p>
            <w:r>
              <w:rPr>
                <w:rFonts w:ascii="Arial" w:cs="Arial" w:eastAsia="Arial" w:hAnsi="Arial"/>
                <w:b/>
                <w:bCs/>
                <w:color w:val="1B3A6B"/>
                <w:sz w:val="19"/>
                <w:szCs w:val="19"/>
              </w:rPr>
              <w:t xml:space="preserve">CRYPTOCURRENCIES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Bitcoin (BTC)</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C2C2C"/>
                <w:sz w:val="18"/>
                <w:szCs w:val="18"/>
              </w:rPr>
              <w:t xml:space="preserve">~$89,200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E7D32"/>
                <w:sz w:val="18"/>
                <w:szCs w:val="18"/>
              </w:rPr>
              <w:t xml:space="preserve">+0.9%</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+3.2%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Iran rally fades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Ethereum (ETH)</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2C2C2C"/>
                <w:sz w:val="18"/>
                <w:szCs w:val="18"/>
              </w:rPr>
              <w:t xml:space="preserve">~$2,332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C62828"/>
                <w:sz w:val="18"/>
                <w:szCs w:val="18"/>
              </w:rPr>
              <w:t xml:space="preserve">-0.1%</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+2.8%</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2C2C"/>
                <w:sz w:val="18"/>
                <w:szCs w:val="18"/>
              </w:rPr>
              <w:t xml:space="preserve">Profit-taking</w:t>
            </w:r>
          </w:p>
        </w:tc>
      </w:tr>
    </w:tbl>
    <w:p>
      <w:pPr>
        <w:pBdr>
          <w:bottom w:val="single" w:color="1B3A6B" w:sz="8" w:space="4"/>
        </w:pBdr>
        <w:spacing w:after="160" w:before="360"/>
      </w:pPr>
      <w:r>
        <w:rPr>
          <w:rFonts w:ascii="Arial" w:cs="Arial" w:eastAsia="Arial" w:hAnsi="Arial"/>
          <w:b/>
          <w:bCs/>
          <w:color w:val="1B3A6B"/>
          <w:sz w:val="28"/>
          <w:szCs w:val="28"/>
        </w:rPr>
        <w:t xml:space="preserve">3. TOP STORIES</w:t>
      </w:r>
    </w:p>
    <w:p>
      <w:pPr>
        <w:spacing w:after="120" w:before="240"/>
      </w:pPr>
      <w:r>
        <w:rPr>
          <w:rFonts w:ascii="Arial" w:cs="Arial" w:eastAsia="Arial" w:hAnsi="Arial"/>
          <w:b/>
          <w:bCs/>
          <w:color w:val="1B3A6B"/>
          <w:sz w:val="24"/>
          <w:szCs w:val="24"/>
        </w:rPr>
        <w:t xml:space="preserve">I. Iran Ceasefire Hangs by a Thread — Markets Bet on Peace</w:t>
      </w:r>
    </w:p>
    <w:p>
      <w:pPr>
        <w:spacing w:after="120" w:before="80"/>
      </w:pPr>
      <w:r>
        <w:rPr>
          <w:rFonts w:ascii="Arial" w:cs="Arial" w:eastAsia="Arial" w:hAnsi="Arial"/>
          <w:color w:val="2C2C2C"/>
          <w:sz w:val="22"/>
          <w:szCs w:val="22"/>
        </w:rPr>
        <w:t xml:space="preserve">The Iran-U.S. conflict — now roughly six weeks old — has remade the global macroeconomic landscape more dramatically than any geopolitical event since the 2022 Ukraine invasion. The Strait of Hormuz, through which approximately 20% of the world's seaborne oil typically flows, remains effectively shuttered under a U.S. naval blockade of Iranian ports. Energy markets have recalibrated: WTI crude surged more than 40% year-over-year before retreating in recent days on ceasefire hopes, and the price shock has been a primary driver of the IMF's decision this week to slash its 2026 global growth forecast.</w:t>
      </w:r>
    </w:p>
    <w:p>
      <w:pPr>
        <w:spacing w:after="120" w:before="80"/>
      </w:pPr>
      <w:r>
        <w:rPr>
          <w:rFonts w:ascii="Arial" w:cs="Arial" w:eastAsia="Arial" w:hAnsi="Arial"/>
          <w:color w:val="2C2C2C"/>
          <w:sz w:val="22"/>
          <w:szCs w:val="22"/>
        </w:rPr>
        <w:t xml:space="preserve">Pakistan brokered a new round of talks, and Trump's rhetoric has shifted notably more optimistic — 'very close to over,' the President said Tuesday — but senior U.S. officials have been careful to note that no formal ceasefire extension has been agreed. The sticking points are significant: Iran's nuclear program and the exact terms for reopening Hormuz remain unresolved. Markets are priced for a deal. If one fails to materialize before the current truce expires next week, expect an immediate and violent reversal — crude could spike 8-10% on any breakdown, taking equities with it.</w:t>
      </w:r>
    </w:p>
    <w:p>
      <w:pPr>
        <w:spacing w:after="120" w:before="80"/>
      </w:pPr>
      <w:r>
        <w:rPr>
          <w:rFonts w:ascii="Arial" w:cs="Arial" w:eastAsia="Arial" w:hAnsi="Arial"/>
          <w:color w:val="2C2C2C"/>
          <w:sz w:val="22"/>
          <w:szCs w:val="22"/>
        </w:rPr>
        <w:t xml:space="preserve">What to watch: Any White House or State Department statement on ceasefire extension. Hormuz shipping data. Iran's Foreign Ministry messaging.</w:t>
      </w:r>
    </w:p>
    <w:p>
      <w:pPr>
        <w:spacing w:after="120" w:before="240"/>
      </w:pPr>
      <w:r>
        <w:rPr>
          <w:rFonts w:ascii="Arial" w:cs="Arial" w:eastAsia="Arial" w:hAnsi="Arial"/>
          <w:b/>
          <w:bCs/>
          <w:color w:val="1B3A6B"/>
          <w:sz w:val="24"/>
          <w:szCs w:val="24"/>
        </w:rPr>
        <w:t xml:space="preserve">II. Taiwan Semiconductor Posts Record Quarter — AI Demand Proves Durable</w:t>
      </w:r>
    </w:p>
    <w:p>
      <w:pPr>
        <w:spacing w:after="120" w:before="80"/>
      </w:pPr>
      <w:r>
        <w:rPr>
          <w:rFonts w:ascii="Arial" w:cs="Arial" w:eastAsia="Arial" w:hAnsi="Arial"/>
          <w:color w:val="2C2C2C"/>
          <w:sz w:val="22"/>
          <w:szCs w:val="22"/>
        </w:rPr>
        <w:t xml:space="preserve">Taiwan Semiconductor Manufacturing Company (TSM) delivered a blockbuster Q1 before the U.S. open Thursday, reporting revenue of $35.9 billion — a 40.6% year-over-year surge that beat the $35.35 billion consensus — and GAAP EPS of $3.49, exceeding the $3.30 estimate by 6%. Gross margin of 66.2% and operating margin of 58.1% both topped expectations, and management raised its full-year 2026 revenue growth guidance to above 30% in U.S. dollar terms. The results are the clearest confirmation yet that the AI infrastructure buildout is not a paper thesis — it is generating real revenue at scale.</w:t>
      </w:r>
    </w:p>
    <w:p>
      <w:pPr>
        <w:spacing w:after="120" w:before="80"/>
      </w:pPr>
      <w:r>
        <w:rPr>
          <w:rFonts w:ascii="Arial" w:cs="Arial" w:eastAsia="Arial" w:hAnsi="Arial"/>
          <w:color w:val="2C2C2C"/>
          <w:sz w:val="22"/>
          <w:szCs w:val="22"/>
        </w:rPr>
        <w:t xml:space="preserve">TSMC manufactures chips for Apple, Nvidia, AMD, Qualcomm, and virtually every major technology company on earth. A blowout here validates the spending plans of hyperscalers (Microsoft, Amazon, Alphabet, Meta), whose capex commitments have drawn skepticism from value investors. For semiconductor investors, the report effectively closes the debate about near-term demand: TSMC's 3nm and 5nm nodes are running at full utilization. For macro investors, the report adds a data point that the AI productivity cycle has sufficient momentum to partially offset geopolitical headwinds.</w:t>
      </w:r>
    </w:p>
    <w:p>
      <w:pPr>
        <w:spacing w:after="120" w:before="80"/>
      </w:pPr>
      <w:r>
        <w:rPr>
          <w:rFonts w:ascii="Arial" w:cs="Arial" w:eastAsia="Arial" w:hAnsi="Arial"/>
          <w:color w:val="2C2C2C"/>
          <w:sz w:val="22"/>
          <w:szCs w:val="22"/>
        </w:rPr>
        <w:t xml:space="preserve">What to watch: Nvidia earnings (next week), ASML guidance update (April 18 — key gauge of leading-edge chip equipment demand).</w:t>
      </w:r>
    </w:p>
    <w:p>
      <w:pPr>
        <w:spacing w:after="120" w:before="240"/>
      </w:pPr>
      <w:r>
        <w:rPr>
          <w:rFonts w:ascii="Arial" w:cs="Arial" w:eastAsia="Arial" w:hAnsi="Arial"/>
          <w:b/>
          <w:bCs/>
          <w:color w:val="1B3A6B"/>
          <w:sz w:val="24"/>
          <w:szCs w:val="24"/>
        </w:rPr>
        <w:t xml:space="preserve">III. Netflix Reports After the Close — The Ad-Tier Reckoning</w:t>
      </w:r>
    </w:p>
    <w:p>
      <w:pPr>
        <w:spacing w:after="120" w:before="80"/>
      </w:pPr>
      <w:r>
        <w:rPr>
          <w:rFonts w:ascii="Arial" w:cs="Arial" w:eastAsia="Arial" w:hAnsi="Arial"/>
          <w:color w:val="2C2C2C"/>
          <w:sz w:val="22"/>
          <w:szCs w:val="22"/>
        </w:rPr>
        <w:t xml:space="preserve">Netflix is the marquee earnings event of Thursday's session, reporting after the 4:00 PM close. Analysts expect Q1 revenue of $12.16-12.18 billion (+15% YoY) and EPS of approximately $5.72, reflecting guided operating margins of 32.1%. But the headline number is almost beside the point. Wall Street's attention is laser-focused on advertising revenue growth — management guided for a doubling of its $1.5B ad-revenue base in 2026 to $3 billion — and whether subscriber growth on the ad-supported tier is tracking that trajectory. Netflix stopped routinely disclosing subscriber counts, making revenue-per-user and engagement metrics the new primary reads.</w:t>
      </w:r>
    </w:p>
    <w:p>
      <w:pPr>
        <w:spacing w:after="120" w:before="80"/>
      </w:pPr>
      <w:r>
        <w:rPr>
          <w:rFonts w:ascii="Arial" w:cs="Arial" w:eastAsia="Arial" w:hAnsi="Arial"/>
          <w:color w:val="2C2C2C"/>
          <w:sz w:val="22"/>
          <w:szCs w:val="22"/>
        </w:rPr>
        <w:t xml:space="preserve">The broader question Netflix must answer is whether its pivot from a pure subscription model to an ad-supported, live sports, and commerce-enabled platform is creating a structurally higher earnings power than even bulls have modeled. The company's options-implied move into earnings is approximately 7-8%, suggesting significant investor uncertainty. A revenue miss or cautious Q2 revenue guidance would punish the stock disproportionately given its premium valuation. A beat on both revenue and margin — particularly if advertising growth is ahead of plan — could add meaningfully to the S&amp;P 500's record-setting run.</w:t>
      </w:r>
    </w:p>
    <w:p>
      <w:pPr>
        <w:spacing w:after="120" w:before="80"/>
      </w:pPr>
      <w:r>
        <w:rPr>
          <w:rFonts w:ascii="Arial" w:cs="Arial" w:eastAsia="Arial" w:hAnsi="Arial"/>
          <w:color w:val="2C2C2C"/>
          <w:sz w:val="22"/>
          <w:szCs w:val="22"/>
        </w:rPr>
        <w:t xml:space="preserve">What to watch: Ad-supported tier subscriber numbers, Q2 revenue guidance, advertising revenue disclosure, any comments on live sports rights strategy.</w:t>
      </w:r>
    </w:p>
    <w:p>
      <w:pPr>
        <w:spacing w:after="120" w:before="240"/>
      </w:pPr>
      <w:r>
        <w:rPr>
          <w:rFonts w:ascii="Arial" w:cs="Arial" w:eastAsia="Arial" w:hAnsi="Arial"/>
          <w:b/>
          <w:bCs/>
          <w:color w:val="1B3A6B"/>
          <w:sz w:val="24"/>
          <w:szCs w:val="24"/>
        </w:rPr>
        <w:t xml:space="preserve">IV. IMF Cuts Global Growth Forecast — War Darkens Outlook</w:t>
      </w:r>
    </w:p>
    <w:p>
      <w:pPr>
        <w:spacing w:after="120" w:before="80"/>
      </w:pPr>
      <w:r>
        <w:rPr>
          <w:rFonts w:ascii="Arial" w:cs="Arial" w:eastAsia="Arial" w:hAnsi="Arial"/>
          <w:color w:val="2C2C2C"/>
          <w:sz w:val="22"/>
          <w:szCs w:val="22"/>
        </w:rPr>
        <w:t xml:space="preserve">The International Monetary Fund delivered a sobering message from its Spring Meetings this week: the Iran war has materially darkened the global economic outlook. The Fund cut its 2026 global growth forecast to 3.1% — down from January's projection and well below pre-pandemic averages — while raising its headline inflation forecast to 4.4%. The Middle East and Central Asia region bore the steepest downgrade, with growth slashed by 2 percentage points to 1.9%. Emerging market growth was cut to 3.9% from 4.2%.</w:t>
      </w:r>
    </w:p>
    <w:p>
      <w:pPr>
        <w:spacing w:after="120" w:before="80"/>
      </w:pPr>
      <w:r>
        <w:rPr>
          <w:rFonts w:ascii="Arial" w:cs="Arial" w:eastAsia="Arial" w:hAnsi="Arial"/>
          <w:color w:val="2C2C2C"/>
          <w:sz w:val="22"/>
          <w:szCs w:val="22"/>
        </w:rPr>
        <w:t xml:space="preserve">The IMF's adverse scenario paints a grimmer picture: if energy prices spike further, growth could fall to 2.5% globally while inflation rises to 5.4%. For central banks already navigating the tension between elevated inflation and slowing growth, this stagflationary backdrop narrows the policy space dramatically. The Fed, which already projected only one cut in 2026 at its March meeting, faces a world in which energy-driven inflation could linger — and some officials have begun to openly discuss the possibility that the next move could be a hike rather than a cut.</w:t>
      </w:r>
    </w:p>
    <w:p>
      <w:pPr>
        <w:spacing w:after="120" w:before="80"/>
      </w:pPr>
      <w:r>
        <w:rPr>
          <w:rFonts w:ascii="Arial" w:cs="Arial" w:eastAsia="Arial" w:hAnsi="Arial"/>
          <w:color w:val="2C2C2C"/>
          <w:sz w:val="22"/>
          <w:szCs w:val="22"/>
        </w:rPr>
        <w:t xml:space="preserve">What to watch: IMF Spring Meeting communique (this weekend), World Bank growth update, G7 energy security statements.</w:t>
      </w:r>
    </w:p>
    <w:p>
      <w:pPr>
        <w:spacing w:after="120" w:before="240"/>
      </w:pPr>
      <w:r>
        <w:rPr>
          <w:rFonts w:ascii="Arial" w:cs="Arial" w:eastAsia="Arial" w:hAnsi="Arial"/>
          <w:b/>
          <w:bCs/>
          <w:color w:val="1B3A6B"/>
          <w:sz w:val="24"/>
          <w:szCs w:val="24"/>
        </w:rPr>
        <w:t xml:space="preserve">V. China GDP Beats — 5% Growth Reaffirms Stimulus Success</w:t>
      </w:r>
    </w:p>
    <w:p>
      <w:pPr>
        <w:spacing w:after="120" w:before="80"/>
      </w:pPr>
      <w:r>
        <w:rPr>
          <w:rFonts w:ascii="Arial" w:cs="Arial" w:eastAsia="Arial" w:hAnsi="Arial"/>
          <w:color w:val="2C2C2C"/>
          <w:sz w:val="22"/>
          <w:szCs w:val="22"/>
        </w:rPr>
        <w:t xml:space="preserve">China reported Q1 2026 GDP growth of 5.0% year-over-year Thursday morning — ahead of the 4.8% consensus and an acceleration from Q4's 4.5% pace. On a sequential basis, the economy expanded 1.3%, slightly below the 1.4% forecast but an improvement over the prior quarter. Strong infrastructure investment (up 11.4% YoY in January-February, driven by 15th Five-Year Plan projects), Lunar New Year consumer spending, and a pre-conflict export surge all contributed. Belt and Road trade with partner nations rose 20% YoY.</w:t>
      </w:r>
    </w:p>
    <w:p>
      <w:pPr>
        <w:spacing w:after="120" w:before="80"/>
      </w:pPr>
      <w:r>
        <w:rPr>
          <w:rFonts w:ascii="Arial" w:cs="Arial" w:eastAsia="Arial" w:hAnsi="Arial"/>
          <w:color w:val="2C2C2C"/>
          <w:sz w:val="22"/>
          <w:szCs w:val="22"/>
        </w:rPr>
        <w:t xml:space="preserve">The data provided a meaningful tailwind for Asian equity markets Thursday, with Hong Kong's Hang Seng rising 1.71%, mainland China's CSI 300 gaining 1.10%, and Japan's Nikkei setting a fresh record high. Copper — the commodity most tightly linked to Chinese industrial demand — gained 0.5% to $4.45 per pound on the news. The caveat: March export growth slowed dramatically to 2.5% YoY from January-February's 21.8% pace, as the Iran war's energy shock began to weigh on global demand. The second quarter will be the real test of whether China's economy can sustain momentum in a more hostile global environment.</w:t>
      </w:r>
    </w:p>
    <w:p>
      <w:pPr>
        <w:spacing w:after="120" w:before="80"/>
      </w:pPr>
      <w:r>
        <w:rPr>
          <w:rFonts w:ascii="Arial" w:cs="Arial" w:eastAsia="Arial" w:hAnsi="Arial"/>
          <w:color w:val="2C2C2C"/>
          <w:sz w:val="22"/>
          <w:szCs w:val="22"/>
        </w:rPr>
        <w:t xml:space="preserve">What to watch: April PMI data (late month), China Q2 guidance from PBOC, retail sales and industrial production for March.</w:t>
      </w:r>
    </w:p>
    <w:p>
      <w:pPr>
        <w:spacing w:after="120" w:before="240"/>
      </w:pPr>
      <w:r>
        <w:rPr>
          <w:rFonts w:ascii="Arial" w:cs="Arial" w:eastAsia="Arial" w:hAnsi="Arial"/>
          <w:b/>
          <w:bCs/>
          <w:color w:val="1B3A6B"/>
          <w:sz w:val="24"/>
          <w:szCs w:val="24"/>
        </w:rPr>
        <w:t xml:space="preserve">VI. The Dollar's Quiet Retreat — And What It Signals</w:t>
      </w:r>
    </w:p>
    <w:p>
      <w:pPr>
        <w:spacing w:after="120" w:before="80"/>
      </w:pPr>
      <w:r>
        <w:rPr>
          <w:rFonts w:ascii="Arial" w:cs="Arial" w:eastAsia="Arial" w:hAnsi="Arial"/>
          <w:color w:val="2C2C2C"/>
          <w:sz w:val="22"/>
          <w:szCs w:val="22"/>
        </w:rPr>
        <w:t xml:space="preserve">Almost unnoticed amid the geopolitical drama, the U.S. dollar has been quietly losing ground. The DXY dollar index settled near 98 Wednesday, a six-week low representing a seventh consecutive session of declines and a retreat to levels last seen before the Iran conflict began in earnest. The dollar is being squeezed from multiple directions: peace talks raise expectations that the energy shock — and its attendant inflationary pressure — will ease, reducing the probability of additional Fed tightening. Simultaneously, the strong Chinese growth print and the global equity rally are drawing capital toward risk assets and away from safe-haven dollar holdings.</w:t>
      </w:r>
    </w:p>
    <w:p>
      <w:pPr>
        <w:spacing w:after="120" w:before="80"/>
      </w:pPr>
      <w:r>
        <w:rPr>
          <w:rFonts w:ascii="Arial" w:cs="Arial" w:eastAsia="Arial" w:hAnsi="Arial"/>
          <w:color w:val="2C2C2C"/>
          <w:sz w:val="22"/>
          <w:szCs w:val="22"/>
        </w:rPr>
        <w:t xml:space="preserve">For U.S. multinationals, a weaker dollar is a tailwind to international earnings — a factor that could provide a positive surprise in Q1 results for companies with significant foreign revenue exposure. For emerging market economies, particularly commodity exporters, the dollar's retreat provides relief on debt servicing costs. But the move could reverse sharply if ceasefire talks collapse and energy prices spike anew. Currency traders are, in effect, making the same geopolitical bet as equity investors — just expressing it in the FX market.</w:t>
      </w:r>
    </w:p>
    <w:p>
      <w:pPr>
        <w:spacing w:after="120" w:before="80"/>
      </w:pPr>
      <w:r>
        <w:rPr>
          <w:rFonts w:ascii="Arial" w:cs="Arial" w:eastAsia="Arial" w:hAnsi="Arial"/>
          <w:color w:val="2C2C2C"/>
          <w:sz w:val="22"/>
          <w:szCs w:val="22"/>
        </w:rPr>
        <w:t xml:space="preserve">What to watch: Fed speakers this week, inflation expectations breakevens, any ceasefire news that could reverse dollar-bearish sentiment.</w:t>
      </w:r>
    </w:p>
    <w:p>
      <w:pPr>
        <w:pBdr>
          <w:bottom w:val="single" w:color="1B3A6B" w:sz="8" w:space="4"/>
        </w:pBdr>
        <w:spacing w:after="160" w:before="360"/>
      </w:pPr>
      <w:r>
        <w:rPr>
          <w:rFonts w:ascii="Arial" w:cs="Arial" w:eastAsia="Arial" w:hAnsi="Arial"/>
          <w:b/>
          <w:bCs/>
          <w:color w:val="1B3A6B"/>
          <w:sz w:val="28"/>
          <w:szCs w:val="28"/>
        </w:rPr>
        <w:t xml:space="preserve">4. MACRO &amp; FED WATCH</w:t>
      </w:r>
    </w:p>
    <w:p>
      <w:pPr>
        <w:spacing w:after="120" w:before="80"/>
      </w:pPr>
      <w:r>
        <w:rPr>
          <w:rFonts w:ascii="Arial" w:cs="Arial" w:eastAsia="Arial" w:hAnsi="Arial"/>
          <w:color w:val="2C2C2C"/>
          <w:sz w:val="22"/>
          <w:szCs w:val="22"/>
        </w:rPr>
        <w:t xml:space="preserve">The Federal Reserve held its target federal funds rate at 3.50%-3.75% at the March meeting, with nearly all voting members backing the hold and just one dissent in favor of a cut. The dot plot — updated at that meeting — signaled only one rate cut remains projected for 2026, a hawkish revision from the two cuts penciled in late last year. Fed officials have since been more forthright about upside inflation risks, with some explicitly discussing whether the next move might be a hike rather than a cut. The war-driven energy shock has been the catalytic shift.</w:t>
      </w:r>
    </w:p>
    <w:p>
      <w:pPr>
        <w:spacing w:after="120" w:before="80"/>
      </w:pPr>
      <w:r>
        <w:rPr>
          <w:rFonts w:ascii="Arial" w:cs="Arial" w:eastAsia="Arial" w:hAnsi="Arial"/>
          <w:color w:val="2C2C2C"/>
          <w:sz w:val="22"/>
          <w:szCs w:val="22"/>
        </w:rPr>
        <w:t xml:space="preserve">The yield curve provides a nuanced picture. The 2-year Treasury yield at 3.81% remains below the federal funds rate midpoint (3.625%), implying the market still prices some eventual easing — but the magnitude has compressed considerably. The 10-year at 4.31% reflects a market grappling with structurally higher 'neutral' rate assumptions and a Federal Reserve no longer rushing to cut. The spread between 10-year and 2-year yields (approximately +50 basis points) shows a steepening curve — more consistent with a 'higher for longer' regime where long-term inflation expectations are rising than with an imminent recession.</w:t>
      </w:r>
    </w:p>
    <w:p>
      <w:pPr>
        <w:spacing w:after="120" w:before="80"/>
      </w:pPr>
      <w:r>
        <w:rPr>
          <w:rFonts w:ascii="Arial" w:cs="Arial" w:eastAsia="Arial" w:hAnsi="Arial"/>
          <w:color w:val="2C2C2C"/>
          <w:sz w:val="22"/>
          <w:szCs w:val="22"/>
        </w:rPr>
        <w:t xml:space="preserve">Fed funds futures currently price approximately one 25-basis-point cut in late 2026, with the December meeting the most likely venue. Any upside surprise in today's jobless claims, industrial production, or the Philadelphia Fed data could further compress those expectations. A significant miss — particularly in claims — would give rate-cut advocates new ammunition. The Fed's next scheduled policy meeting is May 6-7, with the May CPI release (due May 13) potentially the deciding factor for whether easing remains on the table at all this year.</w:t>
      </w:r>
    </w:p>
    <w:p>
      <w:pPr>
        <w:spacing w:after="120" w:before="80"/>
      </w:pPr>
      <w:r>
        <w:rPr>
          <w:rFonts w:ascii="Arial" w:cs="Arial" w:eastAsia="Arial" w:hAnsi="Arial"/>
          <w:color w:val="2C2C2C"/>
          <w:sz w:val="22"/>
          <w:szCs w:val="22"/>
        </w:rPr>
        <w:t xml:space="preserve">Fed Chair Powell has not spoken publicly since the March meeting. Several regional Fed presidents are scheduled to speak this week — their commentary on the inflation vs. growth tradeoff in the context of the Iran energy shock will be closely watched. The core message so far: patience, vigilance on inflation, and no predetermined path.</w:t>
      </w:r>
    </w:p>
    <w:p>
      <w:pPr>
        <w:pBdr>
          <w:bottom w:val="single" w:color="1B3A6B" w:sz="8" w:space="4"/>
        </w:pBdr>
        <w:spacing w:after="160" w:before="360"/>
      </w:pPr>
      <w:r>
        <w:rPr>
          <w:rFonts w:ascii="Arial" w:cs="Arial" w:eastAsia="Arial" w:hAnsi="Arial"/>
          <w:b/>
          <w:bCs/>
          <w:color w:val="1B3A6B"/>
          <w:sz w:val="28"/>
          <w:szCs w:val="28"/>
        </w:rPr>
        <w:t xml:space="preserve">5. ECONOMIC CALENDAR — THURSDAY, APRIL 16, 2026</w:t>
      </w:r>
    </w:p>
    <w:p>
      <w:pPr>
        <w:spacing w:after="18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200"/>
        <w:gridCol w:w="1200"/>
        <w:gridCol w:w="3360"/>
      </w:tblGrid>
      <w:tr>
        <w:trPr>
          <w:tblHeader/>
        </w:trPr>
        <w:tc>
          <w:tcPr>
            <w:tcW w:type="auto" w:w="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TIME (ET)</w:t>
            </w:r>
          </w:p>
        </w:tc>
        <w:tc>
          <w:tcPr>
            <w:tcW w:type="auto" w:w="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INDICATOR</w:t>
            </w:r>
          </w:p>
        </w:tc>
        <w:tc>
          <w:tcPr>
            <w:tcW w:type="auto" w:w="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w:t>
            </w:r>
          </w:p>
        </w:tc>
        <w:tc>
          <w:tcPr>
            <w:tcW w:type="auto" w:w="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ESTIMATE</w:t>
            </w:r>
          </w:p>
        </w:tc>
        <w:tc>
          <w:tcPr>
            <w:tcW w:type="auto" w:w="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WHY IT MATTERS</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7:30 AM</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Philadelphia Fed Mfg. Index (Apr)</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18.1</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10.3</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Key read on mid-Atlantic factory conditions; drop signals softening demand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8:30 AM</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Initial Jobless Claims (Apr 11 wk)</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~210K</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~215K</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Weekly labor market pulse — rising claims would validate Fed patience on cuts</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8:30 AM</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Continuing Claims</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~1.85M</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~1.87M</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Signals how long unemployed workers remain out — measures labor tightness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9:15 AM</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Industrial Production (March)</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+0.2%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+0.3%</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Measures factory, mining and utility output — proxy for real-economy health</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9:15 AM</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Capacity Utilization (March)</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78.2%</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78.4%</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How efficiently industry uses resources — above 80% can signal inflationary pressure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10:00 AM</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Leading Economic Index (March)</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-0.3%</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-0.2%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Forward-looking composite — consecutive declines flag recession risk</w:t>
            </w:r>
          </w:p>
        </w:tc>
      </w:tr>
    </w:tbl>
    <w:p>
      <w:pPr>
        <w:pBdr>
          <w:bottom w:val="single" w:color="1B3A6B" w:sz="8" w:space="4"/>
        </w:pBdr>
        <w:spacing w:after="160" w:before="360"/>
      </w:pPr>
      <w:r>
        <w:rPr>
          <w:rFonts w:ascii="Arial" w:cs="Arial" w:eastAsia="Arial" w:hAnsi="Arial"/>
          <w:b/>
          <w:bCs/>
          <w:color w:val="1B3A6B"/>
          <w:sz w:val="28"/>
          <w:szCs w:val="28"/>
        </w:rPr>
        <w:t xml:space="preserve">6. EARNINGS WATCH</w:t>
      </w:r>
    </w:p>
    <w:p>
      <w:pPr>
        <w:spacing w:after="18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300"/>
        <w:gridCol w:w="1500"/>
        <w:gridCol w:w="3260"/>
      </w:tblGrid>
      <w:tr>
        <w:trPr>
          <w:tblHeader/>
        </w:trPr>
        <w:tc>
          <w:tcPr>
            <w:tcW w:type="auto" w:w="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TICKER</w:t>
            </w:r>
          </w:p>
        </w:tc>
        <w:tc>
          <w:tcPr>
            <w:tcW w:type="auto" w:w="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COMPANY</w:t>
            </w:r>
          </w:p>
        </w:tc>
        <w:tc>
          <w:tcPr>
            <w:tcW w:type="auto" w:w="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TIME</w:t>
            </w:r>
          </w:p>
        </w:tc>
        <w:tc>
          <w:tcPr>
            <w:tcW w:type="auto" w:w="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EPS EST.</w:t>
            </w:r>
          </w:p>
        </w:tc>
        <w:tc>
          <w:tcPr>
            <w:tcW w:type="auto" w:w="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FOCUS</w:t>
            </w:r>
          </w:p>
        </w:tc>
      </w:tr>
      <w:tr>
        <w:tc>
          <w:tcPr>
            <w:tcW w:type="auto" w:w="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TSM</w:t>
            </w:r>
          </w:p>
        </w:tc>
        <w:tc>
          <w:tcPr>
            <w:tcW w:type="auto" w:w="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Taiwan Semiconductor</w:t>
            </w:r>
          </w:p>
        </w:tc>
        <w:tc>
          <w:tcPr>
            <w:tcW w:type="auto" w:w="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vAlign w:val="center"/>
          </w:tcPr>
          <w:p>
            <w:pPr>
              <w:jc w:val="left"/>
            </w:pPr>
            <w:r>
              <w:rPr>
                <w:rFonts w:ascii="Arial" w:cs="Arial" w:eastAsia="Arial" w:hAnsi="Arial"/>
                <w:b w:val="false"/>
                <w:bCs w:val="false"/>
                <w:color w:val="2E7D32"/>
                <w:sz w:val="18"/>
                <w:szCs w:val="18"/>
              </w:rPr>
              <w:t xml:space="preserve">Pre-Mkt</w:t>
            </w:r>
          </w:p>
        </w:tc>
        <w:tc>
          <w:tcPr>
            <w:tcW w:type="auto" w:w="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vAlign w:val="center"/>
          </w:tcPr>
          <w:p>
            <w:pPr>
              <w:jc w:val="left"/>
            </w:pPr>
            <w:r>
              <w:rPr>
                <w:rFonts w:ascii="Arial" w:cs="Arial" w:eastAsia="Arial" w:hAnsi="Arial"/>
                <w:b w:val="false"/>
                <w:bCs w:val="false"/>
                <w:color w:val="2E7D32"/>
                <w:sz w:val="18"/>
                <w:szCs w:val="18"/>
              </w:rPr>
              <w:t xml:space="preserve">$3.30 → Beat $3.49</w:t>
            </w:r>
          </w:p>
        </w:tc>
        <w:tc>
          <w:tcPr>
            <w:tcW w:type="auto" w:w="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AI chip demand; raised FY2026 revenue guide &gt;30% growth</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NFLX</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Netflix</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After Close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$5.72E / Rev $12.18BE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Ad-tier subscribers, advertising revenue doubling, content pipeline</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PEP</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PepsiCo</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7D32"/>
                <w:sz w:val="18"/>
                <w:szCs w:val="18"/>
              </w:rPr>
              <w:t xml:space="preserve">Pre-Mkt</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Beat — Steady demand</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Pricing power in snacks/beverages; consumer resilience signal</w:t>
            </w:r>
          </w:p>
        </w:tc>
      </w:tr>
    </w:tbl>
    <w:p>
      <w:pPr>
        <w:spacing w:after="80" w:before="200"/>
      </w:pPr>
      <w:r>
        <w:rPr>
          <w:sz w:val="2"/>
          <w:szCs w:val="2"/>
        </w:rPr>
        <w:t xml:space="preserve"/>
      </w:r>
    </w:p>
    <w:p>
      <w:pPr>
        <w:spacing w:after="120" w:before="80"/>
      </w:pPr>
      <w:r>
        <w:rPr>
          <w:rFonts w:ascii="Arial" w:cs="Arial" w:eastAsia="Arial" w:hAnsi="Arial"/>
          <w:color w:val="2C2C2C"/>
          <w:sz w:val="22"/>
          <w:szCs w:val="22"/>
        </w:rPr>
        <w:t xml:space="preserve">Q1 2026 earnings season is off to a strong start, with TSMC's blowout report setting a bullish tone for the technology sector. The S&amp;P 500 is now on track to deliver mid-teens earnings growth for the quarter on the back of resilient technology and energy sector results. The key question as earnings season progresses: can consumer-facing and industrials companies demonstrate that the energy price shock has not yet passed through to margin compression? PepsiCo's pre-market beat suggests pricing power remains intact in staples. Tonight's Netflix report will provide a high-profile test of whether the consumer is still spending on discretionary services. With 39 companies reporting Thursday alone, the breadth of the data flow will help investors triangulate the health of the broader economy beyond the headline indices.</w:t>
      </w:r>
    </w:p>
    <w:p>
      <w:pPr>
        <w:pBdr>
          <w:bottom w:val="single" w:color="1B3A6B" w:sz="8" w:space="4"/>
        </w:pBdr>
        <w:spacing w:after="160" w:before="360"/>
      </w:pPr>
      <w:r>
        <w:rPr>
          <w:rFonts w:ascii="Arial" w:cs="Arial" w:eastAsia="Arial" w:hAnsi="Arial"/>
          <w:b/>
          <w:bCs/>
          <w:color w:val="1B3A6B"/>
          <w:sz w:val="28"/>
          <w:szCs w:val="28"/>
        </w:rPr>
        <w:t xml:space="preserve">7. SECTOR SPOTLIGHT</w:t>
      </w:r>
    </w:p>
    <w:p>
      <w:pPr>
        <w:spacing w:after="120" w:before="240"/>
      </w:pPr>
      <w:r>
        <w:rPr>
          <w:rFonts w:ascii="Arial" w:cs="Arial" w:eastAsia="Arial" w:hAnsi="Arial"/>
          <w:b/>
          <w:bCs/>
          <w:color w:val="1B3A6B"/>
          <w:sz w:val="24"/>
          <w:szCs w:val="24"/>
        </w:rPr>
        <w:t xml:space="preserve">Technology: AI Tailwinds Overpower Macro Headwinds</w:t>
      </w:r>
    </w:p>
    <w:p>
      <w:pPr>
        <w:spacing w:after="120" w:before="80"/>
      </w:pPr>
      <w:r>
        <w:rPr>
          <w:rFonts w:ascii="Arial" w:cs="Arial" w:eastAsia="Arial" w:hAnsi="Arial"/>
          <w:color w:val="2C2C2C"/>
          <w:sz w:val="22"/>
          <w:szCs w:val="22"/>
        </w:rPr>
        <w:t xml:space="preserve">Technology led Wednesday's session and has been the primary engine of the 11-session Nasdaq win streak. TSMC's blowout results validate the AI infrastructure thesis at the hardware layer. Microsoft surged 5.23% on Azure AI infrastructure developments; Salesforce added 4.24% on enterprise cloud momentum; IBM gained 2.26%. The analyst community is upgrading Nvidia and Cloudflare in anticipation of sustained AI-driven enterprise spending. The underlying dynamic: corporate IT budgets that were frozen during the initial Iran war shock are thawing as peace hopes rise, and AI projects — many of which have demonstrated tangible ROI in pilot phases — are the first priorities for resumption.</w:t>
      </w:r>
    </w:p>
    <w:p>
      <w:pPr>
        <w:spacing w:after="120" w:before="80"/>
      </w:pPr>
      <w:r>
        <w:rPr>
          <w:rFonts w:ascii="Arial" w:cs="Arial" w:eastAsia="Arial" w:hAnsi="Arial"/>
          <w:color w:val="2C2C2C"/>
          <w:sz w:val="22"/>
          <w:szCs w:val="22"/>
        </w:rPr>
        <w:t xml:space="preserve">The risk to this narrative is valuation. With the Nasdaq at all-time highs and many leading AI names trading at 30-50x forward earnings, the margin for error on execution is thin. Any stumble in hyperscaler capex guidance during Q1 earnings calls — or any diplomatic setback that reignites energy price pressure — could trigger a swift de-rating. Tonight's Netflix report will be an important sentiment check on whether premium valuation is still being rewarded.</w:t>
      </w:r>
    </w:p>
    <w:p>
      <w:pPr>
        <w:spacing w:after="120" w:before="240"/>
      </w:pPr>
      <w:r>
        <w:rPr>
          <w:rFonts w:ascii="Arial" w:cs="Arial" w:eastAsia="Arial" w:hAnsi="Arial"/>
          <w:b/>
          <w:bCs/>
          <w:color w:val="1B3A6B"/>
          <w:sz w:val="24"/>
          <w:szCs w:val="24"/>
        </w:rPr>
        <w:t xml:space="preserve">Energy: A Sector at a Crossroads</w:t>
      </w:r>
    </w:p>
    <w:p>
      <w:pPr>
        <w:spacing w:after="120" w:before="80"/>
      </w:pPr>
      <w:r>
        <w:rPr>
          <w:rFonts w:ascii="Arial" w:cs="Arial" w:eastAsia="Arial" w:hAnsi="Arial"/>
          <w:color w:val="2C2C2C"/>
          <w:sz w:val="22"/>
          <w:szCs w:val="22"/>
        </w:rPr>
        <w:t xml:space="preserve">Energy stocks face a uniquely bifurcated setup. Upstream producers benefit from elevated crude prices — WTI near $92, still some 40%+ above year-ago levels — but peace talks and the potential reopening of Hormuz create ceiling pressure. Oilfield services companies are getting analyst upgrades (ProPetro, Atlas Energy) as operators lock in drilling programs while prices remain elevated. The key risk event: any credible Hormuz reopening announcement could trigger a 5-10% crude selloff that would drag the entire sector lower. Energy is the market's geopolitical hedge — owning it is a bet that the conflict persists; selling it is a bet that diplomacy succeeds.</w:t>
      </w:r>
    </w:p>
    <w:p>
      <w:pPr>
        <w:pBdr>
          <w:bottom w:val="single" w:color="1B3A6B" w:sz="8" w:space="4"/>
        </w:pBdr>
        <w:spacing w:after="160" w:before="360"/>
      </w:pPr>
      <w:r>
        <w:rPr>
          <w:rFonts w:ascii="Arial" w:cs="Arial" w:eastAsia="Arial" w:hAnsi="Arial"/>
          <w:b/>
          <w:bCs/>
          <w:color w:val="1B3A6B"/>
          <w:sz w:val="28"/>
          <w:szCs w:val="28"/>
        </w:rPr>
        <w:t xml:space="preserve">8. ANALYST CALLS &amp; UPGRADES / DOWNGRADES</w:t>
      </w:r>
    </w:p>
    <w:p>
      <w:pPr>
        <w:spacing w:after="18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300"/>
        <w:gridCol w:w="1300"/>
        <w:gridCol w:w="3460"/>
      </w:tblGrid>
      <w:tr>
        <w:trPr>
          <w:tblHeader/>
        </w:trPr>
        <w:tc>
          <w:tcPr>
            <w:tcW w:type="auto" w:w="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FIRM</w:t>
            </w:r>
          </w:p>
        </w:tc>
        <w:tc>
          <w:tcPr>
            <w:tcW w:type="auto" w:w="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STOCK</w:t>
            </w:r>
          </w:p>
        </w:tc>
        <w:tc>
          <w:tcPr>
            <w:tcW w:type="auto" w:w="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w:t>
            </w:r>
          </w:p>
        </w:tc>
        <w:tc>
          <w:tcPr>
            <w:tcW w:type="auto" w:w="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PT</w:t>
            </w:r>
          </w:p>
        </w:tc>
        <w:tc>
          <w:tcPr>
            <w:tcW w:type="auto" w:w="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RATIONALE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Seeking Alpha / Multiple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NVDA (Nvidia)</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D32"/>
                <w:sz w:val="18"/>
                <w:szCs w:val="18"/>
              </w:rPr>
              <w:t xml:space="preserve">UPGRADE → Buy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AI trade momentum regaining; data center demand proving durable</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Multiple</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JNJ (Johnson &amp; Johnson)</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7D32"/>
                <w:sz w:val="18"/>
                <w:szCs w:val="18"/>
              </w:rPr>
              <w:t xml:space="preserve">RAISE → Strong Buy</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Robust Q1 earnings; raised full-year guidance above consensus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Piper Sandler</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NET (Cloudflare)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D32"/>
                <w:sz w:val="18"/>
                <w:szCs w:val="18"/>
              </w:rPr>
              <w:t xml:space="preserve">Upgrade → Overweight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$222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Bullish on enterprise security tailwinds; AI network infrastructure beneficiary</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Citigroup</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PUMP (ProPetro)</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7D32"/>
                <w:sz w:val="18"/>
                <w:szCs w:val="18"/>
              </w:rPr>
              <w:t xml:space="preserve">Upgrade → Buy</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$16</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Energy services rebound; higher WTI supports oilfield spending outlook</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Citigroup</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AESI (Atlas Energy)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D32"/>
                <w:sz w:val="18"/>
                <w:szCs w:val="18"/>
              </w:rPr>
              <w:t xml:space="preserve">Upgrade → Buy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$18</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Raised PT from $10.40; favorable proppant pricing and basin activity</w:t>
            </w:r>
          </w:p>
        </w:tc>
      </w:tr>
    </w:tbl>
    <w:p>
      <w:pPr>
        <w:pBdr>
          <w:bottom w:val="single" w:color="1B3A6B" w:sz="8" w:space="4"/>
        </w:pBdr>
        <w:spacing w:after="160" w:before="360"/>
      </w:pPr>
      <w:r>
        <w:rPr>
          <w:rFonts w:ascii="Arial" w:cs="Arial" w:eastAsia="Arial" w:hAnsi="Arial"/>
          <w:b/>
          <w:bCs/>
          <w:color w:val="1B3A6B"/>
          <w:sz w:val="28"/>
          <w:szCs w:val="28"/>
        </w:rPr>
        <w:t xml:space="preserve">9. STOCKS TO WATCH</w:t>
      </w:r>
    </w:p>
    <w:p>
      <w:pPr>
        <w:spacing w:after="120" w:before="240"/>
      </w:pPr>
      <w:r>
        <w:rPr>
          <w:rFonts w:ascii="Arial" w:cs="Arial" w:eastAsia="Arial" w:hAnsi="Arial"/>
          <w:b/>
          <w:bCs/>
          <w:color w:val="1B3A6B"/>
          <w:sz w:val="24"/>
          <w:szCs w:val="24"/>
        </w:rPr>
        <w:t xml:space="preserve">TSMC (TSM) — Beat and Raise, AI Demand Confirmed</w:t>
      </w:r>
    </w:p>
    <w:p>
      <w:pPr>
        <w:spacing w:after="120" w:before="80"/>
      </w:pPr>
      <w:r>
        <w:rPr>
          <w:rFonts w:ascii="Arial" w:cs="Arial" w:eastAsia="Arial" w:hAnsi="Arial"/>
          <w:color w:val="2C2C2C"/>
          <w:sz w:val="22"/>
          <w:szCs w:val="22"/>
        </w:rPr>
        <w:t xml:space="preserve">TSM exploded past estimates Thursday morning: $3.49 EPS (vs. $3.30 estimate), $35.9B revenue (+40.6% YoY), gross margins of 66.2%. Management raised full-year revenue growth guidance to above 30% in USD terms. The stock is likely to open sharply higher. Key levels to watch: the stock was consolidating near $185-190 ahead of earnings. A breakout through $195-200 on strong volume would signal new institutional interest. Watch for derivative activity — implied volatility will collapse post-earnings, creating roll opportunities for options traders. Longer term, the TSMC story is a direct proxy for AI infrastructure spending, and today's results reinforce the bull case for the entire semiconductor value chain.</w:t>
      </w:r>
    </w:p>
    <w:p>
      <w:pPr>
        <w:spacing w:after="120" w:before="240"/>
      </w:pPr>
      <w:r>
        <w:rPr>
          <w:rFonts w:ascii="Arial" w:cs="Arial" w:eastAsia="Arial" w:hAnsi="Arial"/>
          <w:b/>
          <w:bCs/>
          <w:color w:val="1B3A6B"/>
          <w:sz w:val="24"/>
          <w:szCs w:val="24"/>
        </w:rPr>
        <w:t xml:space="preserve">Netflix (NFLX) — The $12 Billion Revenue Test</w:t>
      </w:r>
    </w:p>
    <w:p>
      <w:pPr>
        <w:spacing w:after="120" w:before="80"/>
      </w:pPr>
      <w:r>
        <w:rPr>
          <w:rFonts w:ascii="Arial" w:cs="Arial" w:eastAsia="Arial" w:hAnsi="Arial"/>
          <w:color w:val="2C2C2C"/>
          <w:sz w:val="22"/>
          <w:szCs w:val="22"/>
        </w:rPr>
        <w:t xml:space="preserve">NFLX reports after tonight's close with $12.16-18B revenue expected and 32.1% operating margin guided. The stock has appreciated meaningfully in recent weeks as Iran optimism lifted risk appetite broadly. Options-implied move is approximately 7-8% in either direction. The bull case: advertising revenue is doubling, engagement metrics are strong, and the company is monetizing its user base more effectively than at any point in its history. The bear case: the stock already prices a lot of good news, and any softness in ad-revenue ramp or subscriber growth trends could trigger a significant pullback. Key level to watch on the upside: $1,050; downside support around $920.</w:t>
      </w:r>
    </w:p>
    <w:p>
      <w:pPr>
        <w:spacing w:after="120" w:before="240"/>
      </w:pPr>
      <w:r>
        <w:rPr>
          <w:rFonts w:ascii="Arial" w:cs="Arial" w:eastAsia="Arial" w:hAnsi="Arial"/>
          <w:b/>
          <w:bCs/>
          <w:color w:val="1B3A6B"/>
          <w:sz w:val="24"/>
          <w:szCs w:val="24"/>
        </w:rPr>
        <w:t xml:space="preserve">Microsoft (MSFT) — AI Infrastructure Breakout</w:t>
      </w:r>
    </w:p>
    <w:p>
      <w:pPr>
        <w:spacing w:after="120" w:before="80"/>
      </w:pPr>
      <w:r>
        <w:rPr>
          <w:rFonts w:ascii="Arial" w:cs="Arial" w:eastAsia="Arial" w:hAnsi="Arial"/>
          <w:color w:val="2C2C2C"/>
          <w:sz w:val="22"/>
          <w:szCs w:val="22"/>
        </w:rPr>
        <w:t xml:space="preserve">MSFT surged 5.23% Wednesday to $413.65 following a breakthrough announcement on Azure AI infrastructure. The move positions Microsoft as a direct beneficiary of TSMC's record AI chip demand. Microsoft reports earnings April 29 — the market is now pricing in a strong quarter on Azure AI revenue acceleration. Watch whether the stock can hold above $410 in the near term; that level was significant resistance in early 2026. The institutional consensus is shifting from 'wait and see on AI monetization' to 'the monetization is happening now.' MSFT has the most credible near-term AI revenue story of any mega-cap stock.</w:t>
      </w:r>
    </w:p>
    <w:p>
      <w:pPr>
        <w:spacing w:after="120" w:before="240"/>
      </w:pPr>
      <w:r>
        <w:rPr>
          <w:rFonts w:ascii="Arial" w:cs="Arial" w:eastAsia="Arial" w:hAnsi="Arial"/>
          <w:b/>
          <w:bCs/>
          <w:color w:val="1B3A6B"/>
          <w:sz w:val="24"/>
          <w:szCs w:val="24"/>
        </w:rPr>
        <w:t xml:space="preserve">Caterpillar (CAT) — Macro Canary</w:t>
      </w:r>
    </w:p>
    <w:p>
      <w:pPr>
        <w:spacing w:after="120" w:before="80"/>
      </w:pPr>
      <w:r>
        <w:rPr>
          <w:rFonts w:ascii="Arial" w:cs="Arial" w:eastAsia="Arial" w:hAnsi="Arial"/>
          <w:color w:val="2C2C2C"/>
          <w:sz w:val="22"/>
          <w:szCs w:val="22"/>
        </w:rPr>
        <w:t xml:space="preserve">CAT was Wednesday's biggest Dow laggard, tumbling 3.62% to $764.95 on slowing global demand concerns. As the world's premier heavy equipment maker, Caterpillar is a real-time barometer of global industrial activity — and its weakness amid a broad market rally is worth noting. The company's order book is sensitive to emerging market construction and mining activity, both of which are being pressured by the Iran war's impact on energy costs and emerging market financing conditions. CAT's divergence from the broader market rally is a warning sign that beneath the tech-driven headline indices, the real economy is feeling the strain of elevated energy prices.</w:t>
      </w:r>
    </w:p>
    <w:p>
      <w:pPr>
        <w:pBdr>
          <w:bottom w:val="single" w:color="1B3A6B" w:sz="8" w:space="4"/>
        </w:pBdr>
        <w:spacing w:after="160" w:before="360"/>
      </w:pPr>
      <w:r>
        <w:rPr>
          <w:rFonts w:ascii="Arial" w:cs="Arial" w:eastAsia="Arial" w:hAnsi="Arial"/>
          <w:b/>
          <w:bCs/>
          <w:color w:val="1B3A6B"/>
          <w:sz w:val="28"/>
          <w:szCs w:val="28"/>
        </w:rPr>
        <w:t xml:space="preserve">10. GLOBAL MACRO SNAPSHOT</w:t>
      </w:r>
    </w:p>
    <w:p>
      <w:pPr>
        <w:spacing w:after="120" w:before="80"/>
      </w:pPr>
      <w:r>
        <w:rPr>
          <w:rFonts w:ascii="Arial" w:cs="Arial" w:eastAsia="Arial" w:hAnsi="Arial"/>
          <w:color w:val="2C2C2C"/>
          <w:sz w:val="22"/>
          <w:szCs w:val="22"/>
        </w:rPr>
        <w:t xml:space="preserve">China's better-than-expected Q1 GDP print (5.0% vs. 4.8% expected) was the standout international story Thursday morning, but the deceleration in March export growth (2.5% vs. 21.8% in January-February) suggests the tailwind from front-loading trade activity ahead of anticipated tariffs and sanctions is fading. The PBOC has been cautiously accommodative — rate cuts and reserve requirement reductions earlier this year provided a buffer — but the second quarter will test whether domestic demand can sustain momentum without export support. Property sector stabilization remains incomplete, and consumer confidence, while improved from 2025 lows, has not fully recovered.</w:t>
      </w:r>
    </w:p>
    <w:p>
      <w:pPr>
        <w:spacing w:after="120" w:before="80"/>
      </w:pPr>
      <w:r>
        <w:rPr>
          <w:rFonts w:ascii="Arial" w:cs="Arial" w:eastAsia="Arial" w:hAnsi="Arial"/>
          <w:color w:val="2C2C2C"/>
          <w:sz w:val="22"/>
          <w:szCs w:val="22"/>
        </w:rPr>
        <w:t xml:space="preserve">In Europe, markets are navigating a dual challenge: elevated energy import costs from the Hormuz disruption (Europe has rerouted significant LNG supply but at higher prices) and weak domestic demand. The CAC 40's underperformance Wednesday (-0.58%) was partly driven by Kering's 9.3% plunge — luxury goods are highly sensitive to Chinese consumer sentiment and wealth effects, making the sector a bellwether for European earnings season. The ECB, which cut rates in 2025, now faces the same stagflationary dilemma as the Fed: inflation remains above target, but growth is softening. The May ECB meeting will be closely watched.</w:t>
      </w:r>
    </w:p>
    <w:p>
      <w:pPr>
        <w:spacing w:after="120" w:before="80"/>
      </w:pPr>
      <w:r>
        <w:rPr>
          <w:rFonts w:ascii="Arial" w:cs="Arial" w:eastAsia="Arial" w:hAnsi="Arial"/>
          <w:color w:val="2C2C2C"/>
          <w:sz w:val="22"/>
          <w:szCs w:val="22"/>
        </w:rPr>
        <w:t xml:space="preserve">Emerging markets face the sharpest divergence: energy exporters (Gulf states, Russia, certain African nations) benefit from elevated crude prices, while energy importers (India, most of Southeast Asia, sub-Saharan Africa) are absorbing a significant terms-of-trade shock. India's equity market has been relatively resilient, but the current account deficit is widening under the weight of oil import costs. The IMF's 2-percentage-point cut to Middle East growth forecasts illustrates the concentrated pain in the conflict's epicenter.</w:t>
      </w:r>
    </w:p>
    <w:p>
      <w:pPr>
        <w:pBdr>
          <w:bottom w:val="single" w:color="1B3A6B" w:sz="8" w:space="4"/>
        </w:pBdr>
        <w:spacing w:after="160" w:before="360"/>
      </w:pPr>
      <w:r>
        <w:rPr>
          <w:rFonts w:ascii="Arial" w:cs="Arial" w:eastAsia="Arial" w:hAnsi="Arial"/>
          <w:b/>
          <w:bCs/>
          <w:color w:val="1B3A6B"/>
          <w:sz w:val="28"/>
          <w:szCs w:val="28"/>
        </w:rPr>
        <w:t xml:space="preserve">11. WEEK AHEAD PREVIEW</w:t>
      </w:r>
    </w:p>
    <w:p>
      <w:pPr>
        <w:spacing w:after="120" w:before="80"/>
      </w:pPr>
      <w:r>
        <w:rPr>
          <w:rFonts w:ascii="Arial" w:cs="Arial" w:eastAsia="Arial" w:hAnsi="Arial"/>
          <w:color w:val="2C2C2C"/>
          <w:sz w:val="22"/>
          <w:szCs w:val="22"/>
        </w:rPr>
        <w:t xml:space="preserve">Friday, April 17 brings 22 more earnings reports and 29 economic events. Notable among them: housing starts and building permits data (proxy for mortgage rate sensitivity and consumer confidence) and any follow-on commentary from Fed speakers following this week's data releases. The Producer Price Index release — already referenced as a key inflation gauge this week — will provide additional texture on pipeline price pressures.</w:t>
      </w:r>
    </w:p>
    <w:p>
      <w:pPr>
        <w:spacing w:after="120" w:before="80"/>
      </w:pPr>
      <w:r>
        <w:rPr>
          <w:rFonts w:ascii="Arial" w:cs="Arial" w:eastAsia="Arial" w:hAnsi="Arial"/>
          <w:color w:val="2C2C2C"/>
          <w:sz w:val="22"/>
          <w:szCs w:val="22"/>
        </w:rPr>
        <w:t xml:space="preserve">The most consequential potential event of the next 7 days has no scheduled time: a breakthrough (or breakdown) in U.S.-Iran ceasefire talks. With the current truce set to expire next week, market participants are effectively operating with an invisible countdown clock. A formal extension or framework agreement could unleash another leg of the equity rally and send crude oil meaningfully lower; a collapse could trigger a sharp reversal in risk assets and a flight to safe havens.</w:t>
      </w:r>
    </w:p>
    <w:p>
      <w:pPr>
        <w:spacing w:after="120" w:before="80"/>
      </w:pPr>
      <w:r>
        <w:rPr>
          <w:rFonts w:ascii="Arial" w:cs="Arial" w:eastAsia="Arial" w:hAnsi="Arial"/>
          <w:color w:val="2C2C2C"/>
          <w:sz w:val="22"/>
          <w:szCs w:val="22"/>
        </w:rPr>
        <w:t xml:space="preserve">On the earnings front, the week ahead continues with a parade of heavyweights. ASML reports Friday (a critical read on leading-edge semiconductor equipment orders, directly relevant to the AI chip buildout story validated by TSMC this morning). The following week brings Alphabet, Tesla, Meta Platforms, and eventually Microsoft (April 29) — the hyperscaler earnings wave that will either validate or challenge the AI-driven capex narrative. On the macro calendar, U.S. PMI data and existing home sales round out the domestic picture, while European PMIs will offer a read on whether the continent's manufacturing downturn has stabilized.</w:t>
      </w:r>
    </w:p>
    <w:p>
      <w:pPr>
        <w:spacing w:after="120" w:before="80"/>
      </w:pPr>
      <w:r>
        <w:rPr>
          <w:rFonts w:ascii="Arial" w:cs="Arial" w:eastAsia="Arial" w:hAnsi="Arial"/>
          <w:color w:val="2C2C2C"/>
          <w:sz w:val="22"/>
          <w:szCs w:val="22"/>
        </w:rPr>
        <w:t xml:space="preserve">The Fed's blackout period begins May 2 ahead of the May 6-7 FOMC meeting, meaning this week's speeches from regional Fed presidents represent the last public commentary before the next decision. Any shift in tone toward hawkishness — particularly in light of the Iran-driven inflation risks flagged by the IMF — should be treated as a meaningful signal for rate expectations.</w:t>
      </w:r>
    </w:p>
    <w:p>
      <w:pPr>
        <w:pBdr>
          <w:bottom w:val="single" w:color="1B3A6B" w:sz="8" w:space="4"/>
        </w:pBdr>
        <w:spacing w:after="160" w:before="360"/>
      </w:pPr>
      <w:r>
        <w:rPr>
          <w:rFonts w:ascii="Arial" w:cs="Arial" w:eastAsia="Arial" w:hAnsi="Arial"/>
          <w:b/>
          <w:bCs/>
          <w:color w:val="1B3A6B"/>
          <w:sz w:val="28"/>
          <w:szCs w:val="28"/>
        </w:rPr>
        <w:t xml:space="preserve">12. CLOSING THOUGHT</w:t>
      </w:r>
    </w:p>
    <w:p>
      <w:pPr>
        <w:pBdr>
          <w:top w:val="single" w:color="1B3A6B" w:sz="6" w:space="4"/>
          <w:bottom w:val="single" w:color="1B3A6B" w:sz="6" w:space="4"/>
        </w:pBdr>
        <w:shd w:fill="D9E8F5" w:val="clear"/>
        <w:spacing w:after="120" w:before="120"/>
      </w:pPr>
      <w:r>
        <w:rPr>
          <w:rFonts w:ascii="Arial" w:cs="Arial" w:eastAsia="Arial" w:hAnsi="Arial"/>
          <w:b/>
          <w:bCs/>
          <w:i/>
          <w:iCs/>
          <w:color w:val="1B3A6B"/>
          <w:sz w:val="22"/>
          <w:szCs w:val="22"/>
        </w:rPr>
        <w:t xml:space="preserve">The market has essentially already declared peace. </w:t>
      </w:r>
      <w:r>
        <w:rPr>
          <w:rFonts w:ascii="Arial" w:cs="Arial" w:eastAsia="Arial" w:hAnsi="Arial"/>
          <w:color w:val="2C2C2C"/>
          <w:sz w:val="22"/>
          <w:szCs w:val="22"/>
        </w:rPr>
        <w:t xml:space="preserve">The S&amp;P 500 at record highs, the Nasdaq on an 11-session win streak, oil retreating from its blockade peaks, the dollar weakening — every major asset class is pricing the successful conclusion of U.S.-Iran negotiations. That is a remarkable bet to have in a market where the ceasefire has not been formally extended, the nuclear sticking points remain unresolved, and one of the world's most critical waterways is still effectively closed. History offers a cautionary parallel: in August 1990, markets initially rallied on ceasefire optimism during the Gulf crisis before the reality of a protracted conflict set in. The risk being underpriced today is not that the war continues indefinitely, but that the diplomatic timeline slips by even a week or two past what markets have already discounted. In a world where equities are at record highs and volatility (VIX at 18) is relatively subdued, there is a meaningful asymmetry of outcomes: a deal is likely largely priced in; a deal delay is not. </w:t>
      </w:r>
      <w:r>
        <w:rPr>
          <w:rFonts w:ascii="Arial" w:cs="Arial" w:eastAsia="Arial" w:hAnsi="Arial"/>
          <w:b/>
          <w:bCs/>
          <w:i/>
          <w:iCs/>
          <w:color w:val="1B3A6B"/>
          <w:sz w:val="22"/>
          <w:szCs w:val="22"/>
        </w:rPr>
        <w:t xml:space="preserve">In the meantime, enjoy the record highs — just keep one eye on the Strait of Hormuz.</w:t>
      </w:r>
    </w:p>
    <w:p>
      <w:pPr>
        <w:spacing w:after="80" w:before="200"/>
      </w:pPr>
      <w:r>
        <w:rPr>
          <w:sz w:val="2"/>
          <w:szCs w:val="2"/>
        </w:rPr>
        <w:t xml:space="preserve"/>
      </w:r>
    </w:p>
    <w:p>
      <w:pPr>
        <w:pBdr>
          <w:top w:val="single" w:color="C9A84C" w:sz="4" w:space="4"/>
        </w:pBdr>
        <w:spacing w:after="120" w:before="120"/>
        <w:jc w:val="center"/>
      </w:pPr>
      <w:r>
        <w:rPr>
          <w:rFonts w:ascii="Arial" w:cs="Arial" w:eastAsia="Arial" w:hAnsi="Arial"/>
          <w:i/>
          <w:iCs/>
          <w:color w:val="555555"/>
          <w:sz w:val="16"/>
          <w:szCs w:val="16"/>
        </w:rPr>
        <w:t xml:space="preserve">Daily Financial Brief  |  Thursday, April 16, 2026  |  For informational purposes only. Not investment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space="2"/>
      </w:pBdr>
    </w:pPr>
    <w:r>
      <w:rPr>
        <w:rFonts w:ascii="Arial" w:cs="Arial" w:eastAsia="Arial" w:hAnsi="Arial"/>
        <w:color w:val="555555"/>
        <w:sz w:val="16"/>
        <w:szCs w:val="16"/>
      </w:rPr>
      <w:t xml:space="preserve">For informational purposes only. Not investment advice.   |   </w:t>
    </w:r>
    <w:r>
      <w:rPr>
        <w:rFonts w:ascii="Arial" w:cs="Arial" w:eastAsia="Arial" w:hAnsi="Arial"/>
        <w:color w:val="555555"/>
        <w:sz w:val="16"/>
        <w:szCs w:val="16"/>
      </w:rPr>
      <w:t xml:space="preserve">Page </w:t>
    </w:r>
    <w:r>
      <w:rPr>
        <w:rFonts w:ascii="Arial" w:cs="Arial" w:eastAsia="Arial" w:hAnsi="Arial"/>
        <w:color w:val="1B3A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12" w:space="4"/>
      </w:pBdr>
      <w:shd w:fill="1B3A6B" w:val="clear"/>
      <w:spacing w:after="0"/>
    </w:pPr>
    <w:r>
      <w:rPr>
        <w:rFonts w:ascii="Arial" w:cs="Arial" w:eastAsia="Arial" w:hAnsi="Arial"/>
        <w:b/>
        <w:bCs/>
        <w:color w:val="FFFFFF"/>
        <w:sz w:val="28"/>
        <w:szCs w:val="28"/>
      </w:rPr>
      <w:t xml:space="preserve">  DAILY FINANCIAL BRIEF</w:t>
    </w:r>
    <w:r>
      <w:rPr>
        <w:rFonts w:ascii="Arial" w:cs="Arial" w:eastAsia="Arial" w:hAnsi="Arial"/>
        <w:color w:val="C9A84C"/>
        <w:sz w:val="20"/>
        <w:szCs w:val="20"/>
      </w:rPr>
      <w:t xml:space="preserve">       Thursday, April 16,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2026-04-16T03:00:02.590Z</dcterms:created>
  <dcterms:modified xsi:type="dcterms:W3CDTF">2026-04-16T03:00:02.590Z</dcterms:modified>
</cp:coreProperties>
</file>

<file path=docProps/custom.xml><?xml version="1.0" encoding="utf-8"?>
<Properties xmlns="http://schemas.openxmlformats.org/officeDocument/2006/custom-properties" xmlns:vt="http://schemas.openxmlformats.org/officeDocument/2006/docPropsVTypes"/>
</file>