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6" w:space="4"/>
        </w:pBdr>
        <w:spacing w:after="120" w:before="280"/>
      </w:pPr>
      <w:r>
        <w:rPr>
          <w:rFonts w:ascii="Arial" w:cs="Arial" w:eastAsia="Arial" w:hAnsi="Arial"/>
          <w:b/>
          <w:bCs/>
          <w:color w:val="1B3A6B"/>
          <w:sz w:val="26"/>
          <w:szCs w:val="26"/>
        </w:rPr>
        <w:t xml:space="preserve">1. THE MORNING SETUP</w:t>
      </w:r>
    </w:p>
    <w:p>
      <w:pPr>
        <w:spacing w:after="80" w:before="60"/>
      </w:pPr>
      <w:r>
        <w:rPr>
          <w:rFonts w:ascii="Georgia" w:cs="Georgia" w:eastAsia="Georgia" w:hAnsi="Georgia"/>
          <w:color w:val="444444"/>
          <w:sz w:val="22"/>
          <w:szCs w:val="22"/>
        </w:rPr>
        <w:t xml:space="preserve">The Strait of Hormuz is open — and markets are doing exactly what you'd expect. Iran's announcement late Thursday that it would allow commercial shipping to transit freely through the world's most critical oil chokepoint triggered the single largest geopolitical relief trade in years: crude collapsed more than ten percent overnight, the S&amp;P 500 futures crept higher toward 7,150, and gold — reflecting the residual uncertainty — quietly pushed past $4,867 per troy ounce to yet another record high. After six weeks of war-driven volatility that at points threatened to push Brent above $110 and spiked inflation expectations, Thursday's announcement from Tehran represents a watershed moment for markets.</w:t>
      </w:r>
    </w:p>
    <w:p>
      <w:pPr>
        <w:spacing w:after="80" w:before="60"/>
      </w:pPr>
      <w:r>
        <w:rPr>
          <w:rFonts w:ascii="Georgia" w:cs="Georgia" w:eastAsia="Georgia" w:hAnsi="Georgia"/>
          <w:color w:val="444444"/>
          <w:sz w:val="22"/>
          <w:szCs w:val="22"/>
        </w:rPr>
        <w:t xml:space="preserve">Yet the word 'fragile' belongs in every sentence written about this ceasefire. President Trump insists the U.S. naval blockade of Iranian ports remains operative. Ceasefire violations have been documented on both sides since the original April 8 truce. And energy traders — burned repeatedly by false dawns in this conflict — are taking the sharp drawdown in crude as a trading opportunity rather than a structural verdict. The Nasdaq's 12-day win streak, its longest since July 2009, and the S&amp;P 500's breathtaking recovery from war-era lows to a fresh all-time high above 7,000 both tell you that the equity market has been pricing in this scenario for weeks. Friday's open will reveal whether the peace dividend has further room to run — or whether the rally has already priced in a resolution that doesn't yet exist on paper.</w:t>
      </w:r>
    </w:p>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2. MARKETS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200"/>
        <w:gridCol w:w="1200"/>
        <w:gridCol w:w="1560"/>
      </w:tblGrid>
      <w:tr>
        <w:tc>
          <w:tcPr>
            <w:tcW w:type="dxa" w:w="24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Instrument</w:t>
            </w:r>
          </w:p>
        </w:tc>
        <w:tc>
          <w:tcPr>
            <w:tcW w:type="dxa" w:w="18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 Level</w:t>
            </w:r>
          </w:p>
        </w:tc>
        <w:tc>
          <w:tcPr>
            <w:tcW w:type="dxa" w:w="1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1D Chg</w:t>
            </w:r>
          </w:p>
        </w:tc>
        <w:tc>
          <w:tcPr>
            <w:tcW w:type="dxa" w:w="1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1W Chg</w:t>
            </w:r>
          </w:p>
        </w:tc>
        <w:tc>
          <w:tcPr>
            <w:tcW w:type="dxa" w:w="1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YTD</w:t>
            </w:r>
          </w:p>
        </w:tc>
        <w:tc>
          <w:tcPr>
            <w:tcW w:type="dxa" w:w="156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9360"/>
            <w:gridSpan w:val="6"/>
            <w:tcBorders>
              <w:top w:val="single" w:color="DDDDDD" w:sz="1"/>
              <w:left w:val="none" w:color="FFFFFF" w:sz="0"/>
              <w:bottom w:val="single" w:color="DDDDDD" w:sz="1"/>
              <w:right w:val="none" w:color="FFFFFF" w:sz="0"/>
            </w:tcBorders>
            <w:shd w:fill="E8EDF5" w:val="clear"/>
            <w:tcMar>
              <w:top w:type="dxa" w:w="60"/>
              <w:left w:type="dxa" w:w="120"/>
              <w:bottom w:type="dxa" w:w="60"/>
              <w:right w:type="dxa" w:w="120"/>
            </w:tcMar>
          </w:tcPr>
          <w:p>
            <w:r>
              <w:rPr>
                <w:rFonts w:ascii="Arial" w:cs="Arial" w:eastAsia="Arial" w:hAnsi="Arial"/>
                <w:b/>
                <w:bCs/>
                <w:color w:val="1B3A6B"/>
                <w:sz w:val="18"/>
                <w:szCs w:val="18"/>
              </w:rPr>
              <w:t xml:space="preserve">── US EQUITIES ──</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S&amp;P 500 (SPX)</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7,041.28</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+0.26%</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+3.3%</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+8.1%</w:t>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Record ATH; 7th consec. weekly gain</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Nasdaq Composite</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24,102.70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+0.36%</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+5.2%</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+11.3%</w:t>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12-day win streak, longest since 2009</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Dow Jones (DJIA)</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48,578.72</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+0.24%</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+2.7%</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+6.4%</w:t>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S&amp;P 500 Futures</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~7,152</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+0.18%</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Pre-market; record high territory</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Nasdaq 100 Futures</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~21,640</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+0.13%</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VIX</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~13.4</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-2.1%</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Well off March highs; fear fading</w:t>
            </w:r>
          </w:p>
        </w:tc>
      </w:tr>
      <w:tr>
        <w:tc>
          <w:tcPr>
            <w:tcW w:type="dxa" w:w="9360"/>
            <w:gridSpan w:val="6"/>
            <w:tcBorders>
              <w:top w:val="single" w:color="DDDDDD" w:sz="1"/>
              <w:left w:val="none" w:color="FFFFFF" w:sz="0"/>
              <w:bottom w:val="single" w:color="DDDDDD" w:sz="1"/>
              <w:right w:val="none" w:color="FFFFFF" w:sz="0"/>
            </w:tcBorders>
            <w:shd w:fill="E8EDF5" w:val="clear"/>
            <w:tcMar>
              <w:top w:type="dxa" w:w="60"/>
              <w:left w:type="dxa" w:w="120"/>
              <w:bottom w:type="dxa" w:w="60"/>
              <w:right w:type="dxa" w:w="120"/>
            </w:tcMar>
          </w:tcPr>
          <w:p>
            <w:r>
              <w:rPr>
                <w:rFonts w:ascii="Arial" w:cs="Arial" w:eastAsia="Arial" w:hAnsi="Arial"/>
                <w:b/>
                <w:bCs/>
                <w:color w:val="1B3A6B"/>
                <w:sz w:val="18"/>
                <w:szCs w:val="18"/>
              </w:rPr>
              <w:t xml:space="preserve">── ASIA CLOSE ──</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Nikkei 225</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58,475.90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-1.75%</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+4.8%</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+9.2%</w:t>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Profit-taking after record highs</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Topix</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3,760.81</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-1.41%</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Hang Seng (HKG)</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~26,820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-1.01%</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Shanghai CSI 300</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~4,460</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-0.17%</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KOSPI</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6,191.92</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-0.55%</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9360"/>
            <w:gridSpan w:val="6"/>
            <w:tcBorders>
              <w:top w:val="single" w:color="DDDDDD" w:sz="1"/>
              <w:left w:val="none" w:color="FFFFFF" w:sz="0"/>
              <w:bottom w:val="single" w:color="DDDDDD" w:sz="1"/>
              <w:right w:val="none" w:color="FFFFFF" w:sz="0"/>
            </w:tcBorders>
            <w:shd w:fill="E8EDF5" w:val="clear"/>
            <w:tcMar>
              <w:top w:type="dxa" w:w="60"/>
              <w:left w:type="dxa" w:w="120"/>
              <w:bottom w:type="dxa" w:w="60"/>
              <w:right w:type="dxa" w:w="120"/>
            </w:tcMar>
          </w:tcPr>
          <w:p>
            <w:r>
              <w:rPr>
                <w:rFonts w:ascii="Arial" w:cs="Arial" w:eastAsia="Arial" w:hAnsi="Arial"/>
                <w:b/>
                <w:bCs/>
                <w:color w:val="1B3A6B"/>
                <w:sz w:val="18"/>
                <w:szCs w:val="18"/>
              </w:rPr>
              <w:t xml:space="preserve">── EUROPE ──</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DAX (Germany)</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~21,900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+0.63%</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+2.4%</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+7.8%</w:t>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CAC 40 (France)</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~7,960</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+0.50%</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FTSE 100 (UK)</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~8,540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-0.10%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9360"/>
            <w:gridSpan w:val="6"/>
            <w:tcBorders>
              <w:top w:val="single" w:color="DDDDDD" w:sz="1"/>
              <w:left w:val="none" w:color="FFFFFF" w:sz="0"/>
              <w:bottom w:val="single" w:color="DDDDDD" w:sz="1"/>
              <w:right w:val="none" w:color="FFFFFF" w:sz="0"/>
            </w:tcBorders>
            <w:shd w:fill="E8EDF5" w:val="clear"/>
            <w:tcMar>
              <w:top w:type="dxa" w:w="60"/>
              <w:left w:type="dxa" w:w="120"/>
              <w:bottom w:type="dxa" w:w="60"/>
              <w:right w:type="dxa" w:w="120"/>
            </w:tcMar>
          </w:tcPr>
          <w:p>
            <w:r>
              <w:rPr>
                <w:rFonts w:ascii="Arial" w:cs="Arial" w:eastAsia="Arial" w:hAnsi="Arial"/>
                <w:b/>
                <w:bCs/>
                <w:color w:val="1B3A6B"/>
                <w:sz w:val="18"/>
                <w:szCs w:val="18"/>
              </w:rPr>
              <w:t xml:space="preserve">── FIXED INCOME ──</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US 10Y Treasury</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4.31%</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+2bp</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+10bp</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Yield curve steepening</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US 2Y Treasury</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~4.01%</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+1bp</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US 30Y Treasury</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~4.60%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+3bp</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10Y-2Y spread: +30bp</w:t>
            </w:r>
          </w:p>
        </w:tc>
      </w:tr>
      <w:tr>
        <w:tc>
          <w:tcPr>
            <w:tcW w:type="dxa" w:w="9360"/>
            <w:gridSpan w:val="6"/>
            <w:tcBorders>
              <w:top w:val="single" w:color="DDDDDD" w:sz="1"/>
              <w:left w:val="none" w:color="FFFFFF" w:sz="0"/>
              <w:bottom w:val="single" w:color="DDDDDD" w:sz="1"/>
              <w:right w:val="none" w:color="FFFFFF" w:sz="0"/>
            </w:tcBorders>
            <w:shd w:fill="E8EDF5" w:val="clear"/>
            <w:tcMar>
              <w:top w:type="dxa" w:w="60"/>
              <w:left w:type="dxa" w:w="120"/>
              <w:bottom w:type="dxa" w:w="60"/>
              <w:right w:type="dxa" w:w="120"/>
            </w:tcMar>
          </w:tcPr>
          <w:p>
            <w:r>
              <w:rPr>
                <w:rFonts w:ascii="Arial" w:cs="Arial" w:eastAsia="Arial" w:hAnsi="Arial"/>
                <w:b/>
                <w:bCs/>
                <w:color w:val="1B3A6B"/>
                <w:sz w:val="18"/>
                <w:szCs w:val="18"/>
              </w:rPr>
              <w:t xml:space="preserve">── CURRENCIES ──</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DXY (USD Index)</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97.70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-0.52%</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-1.8%</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-4.2%</w:t>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Near multi-month lows</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EUR/USD</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~1.108</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+0.4%</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GBP/USD</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~1.328</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+0.3%</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USD/JPY</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~143.5</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-0.6%</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Yen strengthening</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USD/CNY</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~7.195</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-0.2%</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9360"/>
            <w:gridSpan w:val="6"/>
            <w:tcBorders>
              <w:top w:val="single" w:color="DDDDDD" w:sz="1"/>
              <w:left w:val="none" w:color="FFFFFF" w:sz="0"/>
              <w:bottom w:val="single" w:color="DDDDDD" w:sz="1"/>
              <w:right w:val="none" w:color="FFFFFF" w:sz="0"/>
            </w:tcBorders>
            <w:shd w:fill="E8EDF5" w:val="clear"/>
            <w:tcMar>
              <w:top w:type="dxa" w:w="60"/>
              <w:left w:type="dxa" w:w="120"/>
              <w:bottom w:type="dxa" w:w="60"/>
              <w:right w:type="dxa" w:w="120"/>
            </w:tcMar>
          </w:tcPr>
          <w:p>
            <w:r>
              <w:rPr>
                <w:rFonts w:ascii="Arial" w:cs="Arial" w:eastAsia="Arial" w:hAnsi="Arial"/>
                <w:b/>
                <w:bCs/>
                <w:color w:val="1B3A6B"/>
                <w:sz w:val="18"/>
                <w:szCs w:val="18"/>
              </w:rPr>
              <w:t xml:space="preserve">── COMMODITIES ──</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WTI Crude ($/bbl)</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$83.20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-12.0%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-18.5%</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Hormuz open; 4-month low</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Brent Crude ($/bbl)</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$88.96</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-10.5%</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-16.2%</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Biggest 1-day drop since Apr 2020</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Natural Gas</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~$2.95/MMBtu</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-1.2%</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Gold ($/oz)</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$4,867</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+1.65%</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+4.2%</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+22.1%</w:t>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New record; safe-haven bid holds</w:t>
            </w:r>
          </w:p>
        </w:tc>
      </w:tr>
      <w:tr>
        <w:tc>
          <w:tcPr>
            <w:tcW w:type="dxa" w:w="2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Silver ($/oz)</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$79.00</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+0.5%</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+3.8%</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+18.4%</w:t>
            </w:r>
          </w:p>
        </w:tc>
        <w:tc>
          <w:tcPr>
            <w:tcW w:type="dxa" w:w="15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4-week rally</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Copper ($/lb)</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$6.07</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+0.8%</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+2.1%</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+14.3%</w:t>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Global growth proxy holds up</w:t>
            </w:r>
          </w:p>
        </w:tc>
      </w:tr>
      <w:tr>
        <w:tc>
          <w:tcPr>
            <w:tcW w:type="dxa" w:w="9360"/>
            <w:gridSpan w:val="6"/>
            <w:tcBorders>
              <w:top w:val="single" w:color="DDDDDD" w:sz="1"/>
              <w:left w:val="none" w:color="FFFFFF" w:sz="0"/>
              <w:bottom w:val="single" w:color="DDDDDD" w:sz="1"/>
              <w:right w:val="none" w:color="FFFFFF" w:sz="0"/>
            </w:tcBorders>
            <w:shd w:fill="E8EDF5" w:val="clear"/>
            <w:tcMar>
              <w:top w:type="dxa" w:w="60"/>
              <w:left w:type="dxa" w:w="120"/>
              <w:bottom w:type="dxa" w:w="60"/>
              <w:right w:type="dxa" w:w="120"/>
            </w:tcMar>
          </w:tcPr>
          <w:p>
            <w:r>
              <w:rPr>
                <w:rFonts w:ascii="Arial" w:cs="Arial" w:eastAsia="Arial" w:hAnsi="Arial"/>
                <w:b/>
                <w:bCs/>
                <w:color w:val="1B3A6B"/>
                <w:sz w:val="18"/>
                <w:szCs w:val="18"/>
              </w:rPr>
              <w:t xml:space="preserve">── CRYPTO ──</w:t>
            </w:r>
          </w:p>
        </w:tc>
      </w:tr>
      <w:tr>
        <w:tc>
          <w:tcPr>
            <w:tcW w:type="dxa" w:w="2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Bitcoin (BTC)</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$75,429</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+0.5%</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+5.1%</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+18.2%</w:t>
            </w:r>
          </w:p>
        </w:tc>
        <w:tc>
          <w:tcPr>
            <w:tcW w:type="dxa" w:w="15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Highest open since Feb 4</w:t>
            </w:r>
          </w:p>
        </w:tc>
      </w:tr>
      <w:tr>
        <w:tc>
          <w:tcPr>
            <w:tcW w:type="dxa" w:w="2400"/>
            <w:tcBorders>
              <w:top w:val="single" w:color="DDDDDD" w:sz="1"/>
              <w:left w:val="none" w:color="FFFFFF" w:sz="0"/>
              <w:bottom w:val="single" w:color="C9A84C" w:sz="2"/>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Ethereum (ETH)</w:t>
            </w:r>
          </w:p>
        </w:tc>
        <w:tc>
          <w:tcPr>
            <w:tcW w:type="dxa" w:w="1800"/>
            <w:tcBorders>
              <w:top w:val="single" w:color="DDDDDD" w:sz="1"/>
              <w:left w:val="none" w:color="FFFFFF" w:sz="0"/>
              <w:bottom w:val="single" w:color="C9A84C" w:sz="2"/>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$2,351</w:t>
            </w:r>
          </w:p>
        </w:tc>
        <w:tc>
          <w:tcPr>
            <w:tcW w:type="dxa" w:w="1200"/>
            <w:tcBorders>
              <w:top w:val="single" w:color="DDDDDD" w:sz="1"/>
              <w:left w:val="none" w:color="FFFFFF" w:sz="0"/>
              <w:bottom w:val="single" w:color="C9A84C" w:sz="2"/>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-0.5%</w:t>
            </w:r>
          </w:p>
        </w:tc>
        <w:tc>
          <w:tcPr>
            <w:tcW w:type="dxa" w:w="1200"/>
            <w:tcBorders>
              <w:top w:val="single" w:color="DDDDDD" w:sz="1"/>
              <w:left w:val="none" w:color="FFFFFF" w:sz="0"/>
              <w:bottom w:val="single" w:color="C9A84C" w:sz="2"/>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+2.3%</w:t>
            </w:r>
          </w:p>
        </w:tc>
        <w:tc>
          <w:tcPr>
            <w:tcW w:type="dxa" w:w="1200"/>
            <w:tcBorders>
              <w:top w:val="single" w:color="DDDDDD" w:sz="1"/>
              <w:left w:val="none" w:color="FFFFFF" w:sz="0"/>
              <w:bottom w:val="single" w:color="C9A84C" w:sz="2"/>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bCs/>
                <w:color w:val="1A7A3C"/>
                <w:sz w:val="18"/>
                <w:szCs w:val="18"/>
              </w:rPr>
              <w:t xml:space="preserve">+4.6%</w:t>
            </w:r>
          </w:p>
        </w:tc>
        <w:tc>
          <w:tcPr>
            <w:tcW w:type="dxa" w:w="1560"/>
            <w:tcBorders>
              <w:top w:val="single" w:color="DDDDDD" w:sz="1"/>
              <w:left w:val="none" w:color="FFFFFF" w:sz="0"/>
              <w:bottom w:val="single" w:color="C9A84C" w:sz="2"/>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Lagging BTC on risk-on rotation</w:t>
            </w:r>
          </w:p>
        </w:tc>
      </w:tr>
    </w:tbl>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3. TOP STORIES</w:t>
      </w:r>
    </w:p>
    <w:p>
      <w:pPr>
        <w:spacing w:after="80" w:before="180"/>
      </w:pPr>
      <w:r>
        <w:rPr>
          <w:rFonts w:ascii="Arial" w:cs="Arial" w:eastAsia="Arial" w:hAnsi="Arial"/>
          <w:b/>
          <w:bCs/>
          <w:color w:val="1B3A6B"/>
          <w:sz w:val="24"/>
          <w:szCs w:val="24"/>
        </w:rPr>
        <w:t xml:space="preserve">IRAN OPENS THE STRAIT: Oil Crashes 10%+ in Single Session</w:t>
      </w:r>
    </w:p>
    <w:p>
      <w:pPr>
        <w:spacing w:after="80" w:before="60"/>
      </w:pPr>
      <w:r>
        <w:rPr>
          <w:rFonts w:ascii="Georgia" w:cs="Georgia" w:eastAsia="Georgia" w:hAnsi="Georgia"/>
          <w:color w:val="444444"/>
          <w:sz w:val="22"/>
          <w:szCs w:val="22"/>
        </w:rPr>
        <w:t xml:space="preserve">In a move that sent shockwaves through energy markets, Iran's government announced Thursday evening that the Strait of Hormuz — the 21-mile-wide passage through which roughly 20% of the world's seaborne oil transits — would be reopened to all commercial shipping. WTI crude plunged 12% to $83.20 per barrel while Brent fell 10.5% to $88.96, marking the sharpest single-session decline for global benchmarks since the early days of the COVID-19 pandemic in April 2020. At its peak during the 2026 Iran war, Brent had briefly touched $109/barrel, so Thursday's close still represents a roughly 20% premium to pre-conflict levels.</w:t>
      </w:r>
    </w:p>
    <w:p>
      <w:pPr>
        <w:spacing w:after="80" w:before="60"/>
      </w:pPr>
      <w:r>
        <w:rPr>
          <w:rFonts w:ascii="Georgia" w:cs="Georgia" w:eastAsia="Georgia" w:hAnsi="Georgia"/>
          <w:color w:val="444444"/>
          <w:sz w:val="22"/>
          <w:szCs w:val="22"/>
        </w:rPr>
        <w:t xml:space="preserve">The geopolitical mechanics matter: the U.S.-Iran ceasefire was technically declared on April 8, brokered by Pakistan, but markets remained skeptical as both sides reported violations in the days that followed. What changed Thursday was Iran's decision to unilaterally reopen the strait — even as the White House maintained that the U.S. naval blockade of Iranian ports remains in effect. This ambiguity is precisely why oil strategists are cautious: the Hormuz announcement without a formal, verified treaty leaves room for rapid reversal.</w:t>
      </w:r>
    </w:p>
    <w:p>
      <w:pPr>
        <w:spacing w:after="80" w:before="60"/>
      </w:pPr>
      <w:r>
        <w:rPr>
          <w:rFonts w:ascii="Georgia" w:cs="Georgia" w:eastAsia="Georgia" w:hAnsi="Georgia"/>
          <w:color w:val="444444"/>
          <w:sz w:val="22"/>
          <w:szCs w:val="22"/>
        </w:rPr>
        <w:t xml:space="preserve">The market implication runs well beyond crude. Shipping rates that had surged on rerouting demand are collapsing. LNG prices are easing. Airline fuel hedging desks are scrambling. More broadly, the reduction in the oil price — if sustained — would remove roughly 0.3-0.4 percentage points from headline CPI over the next two months, handing the Federal Reserve additional flexibility it currently does not need but may welcome.</w:t>
      </w:r>
    </w:p>
    <w:p>
      <w:pPr>
        <w:spacing w:after="80" w:before="60"/>
      </w:pPr>
      <w:r>
        <w:rPr>
          <w:rFonts w:ascii="Georgia" w:cs="Georgia" w:eastAsia="Georgia" w:hAnsi="Georgia"/>
          <w:color w:val="444444"/>
          <w:sz w:val="22"/>
          <w:szCs w:val="22"/>
        </w:rPr>
        <w:t xml:space="preserve">What to watch: Confirmation that commercial tankers are actually transiting the Strait unmolested. Any resumption of hostilities — or Trump executive action tightening the blockade — would see crude gap higher rapidly.</w:t>
      </w:r>
    </w:p>
    <w:p>
      <w:pPr>
        <w:pBdr>
          <w:bottom w:val="single" w:color="DDDDDD" w:sz="2" w:space="1"/>
        </w:pBdr>
        <w:spacing w:after="120" w:before="120"/>
      </w:pPr>
    </w:p>
    <w:p>
      <w:pPr>
        <w:spacing w:after="80" w:before="180"/>
      </w:pPr>
      <w:r>
        <w:rPr>
          <w:rFonts w:ascii="Arial" w:cs="Arial" w:eastAsia="Arial" w:hAnsi="Arial"/>
          <w:b/>
          <w:bCs/>
          <w:color w:val="1B3A6B"/>
          <w:sz w:val="24"/>
          <w:szCs w:val="24"/>
        </w:rPr>
        <w:t xml:space="preserve">NASDAQ'S 12-DAY WIN STREAK: The Last Time This Happened, Obama Was President</w:t>
      </w:r>
    </w:p>
    <w:p>
      <w:pPr>
        <w:spacing w:after="80" w:before="60"/>
      </w:pPr>
      <w:r>
        <w:rPr>
          <w:rFonts w:ascii="Georgia" w:cs="Georgia" w:eastAsia="Georgia" w:hAnsi="Georgia"/>
          <w:color w:val="444444"/>
          <w:sz w:val="22"/>
          <w:szCs w:val="22"/>
        </w:rPr>
        <w:t xml:space="preserve">The Nasdaq Composite has now posted gains for 12 consecutive sessions — its longest uninterrupted winning run since July 2009, in the early months of recovery from the global financial crisis. Thursday's +0.36% close brought the index to 24,102.70, a fresh all-time high, capping a week-to-date advance of 5.2%. The S&amp;P 500 has gained 3.3% over the same period and closed at a record 7,041.28 — the first close ever above 7,000 for the large-cap index.</w:t>
      </w:r>
    </w:p>
    <w:p>
      <w:pPr>
        <w:spacing w:after="80" w:before="60"/>
      </w:pPr>
      <w:r>
        <w:rPr>
          <w:rFonts w:ascii="Georgia" w:cs="Georgia" w:eastAsia="Georgia" w:hAnsi="Georgia"/>
          <w:color w:val="444444"/>
          <w:sz w:val="22"/>
          <w:szCs w:val="22"/>
        </w:rPr>
        <w:t xml:space="preserve">The streak is being driven by a confluence of forces: geopolitical optimism around the Iran situation, a resilient U.S. economy that has sidestepped recession fears, strong first-quarter earnings from the megacap technology sector, and a Federal Reserve that — despite persistent inflation — has stopped actively tightening. The setup structurally mirrors the 2009 run, when a market that had been devastated by catastrophic uncertainty began pricing in recovery faster than consensus expected.</w:t>
      </w:r>
    </w:p>
    <w:p>
      <w:pPr>
        <w:spacing w:after="80" w:before="60"/>
      </w:pPr>
      <w:r>
        <w:rPr>
          <w:rFonts w:ascii="Georgia" w:cs="Georgia" w:eastAsia="Georgia" w:hAnsi="Georgia"/>
          <w:color w:val="444444"/>
          <w:sz w:val="22"/>
          <w:szCs w:val="22"/>
        </w:rPr>
        <w:t xml:space="preserve">The risk is complacency. Twelve-day streaks are statistically rare and tend to resolve with at least a brief pullback, if not a more meaningful consolidation. Breadth indicators suggest the rally remains narrow — mega-cap technology and communication services are carrying the index while defensive sectors like utilities and healthcare trail. A genuine broadening into cyclicals and small-caps would be the bull case signal to watch.</w:t>
      </w:r>
    </w:p>
    <w:p>
      <w:pPr>
        <w:spacing w:after="80" w:before="60"/>
      </w:pPr>
      <w:r>
        <w:rPr>
          <w:rFonts w:ascii="Georgia" w:cs="Georgia" w:eastAsia="Georgia" w:hAnsi="Georgia"/>
          <w:color w:val="444444"/>
          <w:sz w:val="22"/>
          <w:szCs w:val="22"/>
        </w:rPr>
        <w:t xml:space="preserve">What to watch: Friday's open and whether profit-taking arrives following the Asian market declines. The Russell 2000 small-cap index has significantly underperformed and represents either a warning sign or an opportunity depending on your view of rate trajectory.</w:t>
      </w:r>
    </w:p>
    <w:p>
      <w:pPr>
        <w:pBdr>
          <w:bottom w:val="single" w:color="DDDDDD" w:sz="2" w:space="1"/>
        </w:pBdr>
        <w:spacing w:after="120" w:before="120"/>
      </w:pPr>
    </w:p>
    <w:p>
      <w:pPr>
        <w:spacing w:after="80" w:before="180"/>
      </w:pPr>
      <w:r>
        <w:rPr>
          <w:rFonts w:ascii="Arial" w:cs="Arial" w:eastAsia="Arial" w:hAnsi="Arial"/>
          <w:b/>
          <w:bCs/>
          <w:color w:val="1B3A6B"/>
          <w:sz w:val="24"/>
          <w:szCs w:val="24"/>
        </w:rPr>
        <w:t xml:space="preserve">GOLD HITS $4,867: The Safe-Haven Bid That Won't Quit</w:t>
      </w:r>
    </w:p>
    <w:p>
      <w:pPr>
        <w:spacing w:after="80" w:before="60"/>
      </w:pPr>
      <w:r>
        <w:rPr>
          <w:rFonts w:ascii="Georgia" w:cs="Georgia" w:eastAsia="Georgia" w:hAnsi="Georgia"/>
          <w:color w:val="444444"/>
          <w:sz w:val="22"/>
          <w:szCs w:val="22"/>
        </w:rPr>
        <w:t xml:space="preserve">Gold pushed to yet another record high Thursday, touching $4,867.39 per troy ounce — up 1.65% on the session — and extending its remarkable 2026 rally to over 22% year-to-date. The metal's persistence in the face of a broad equity risk-on rally is telling: while oil is pricing in peace, gold is pricing in ongoing structural uncertainty. That uncertainty encompasses not just the Middle East conflict but also dollar weakness (DXY is down 4.2% YTD and near multi-month lows at 97.70), concerns about long-term U.S. fiscal sustainability, and elevated central bank demand from emerging market institutions diversifying away from Treasury holdings.</w:t>
      </w:r>
    </w:p>
    <w:p>
      <w:pPr>
        <w:spacing w:after="80" w:before="60"/>
      </w:pPr>
      <w:r>
        <w:rPr>
          <w:rFonts w:ascii="Georgia" w:cs="Georgia" w:eastAsia="Georgia" w:hAnsi="Georgia"/>
          <w:color w:val="444444"/>
          <w:sz w:val="22"/>
          <w:szCs w:val="22"/>
        </w:rPr>
        <w:t xml:space="preserve">Silver has also been strong, holding near $79/ounce and on pace for a fourth consecutive weekly advance. Copper — the economy's canonical growth proxy — has held up well at $6.07/lb despite the geopolitical turbulence, suggesting that the base case for global industrial demand remains constructive even as energy costs fluctuate wildly.</w:t>
      </w:r>
    </w:p>
    <w:p>
      <w:pPr>
        <w:spacing w:after="80" w:before="60"/>
      </w:pPr>
      <w:r>
        <w:rPr>
          <w:rFonts w:ascii="Georgia" w:cs="Georgia" w:eastAsia="Georgia" w:hAnsi="Georgia"/>
          <w:color w:val="444444"/>
          <w:sz w:val="22"/>
          <w:szCs w:val="22"/>
        </w:rPr>
        <w:t xml:space="preserve">What to watch: Whether gold can hold above $4,800 as risk sentiment improves and safe-haven demand potentially moderates. A sustained drop in the 10-year real yield could be the next catalyst higher.</w:t>
      </w:r>
    </w:p>
    <w:p>
      <w:pPr>
        <w:pBdr>
          <w:bottom w:val="single" w:color="DDDDDD" w:sz="2" w:space="1"/>
        </w:pBdr>
        <w:spacing w:after="120" w:before="120"/>
      </w:pPr>
    </w:p>
    <w:p>
      <w:pPr>
        <w:spacing w:after="80" w:before="180"/>
      </w:pPr>
      <w:r>
        <w:rPr>
          <w:rFonts w:ascii="Arial" w:cs="Arial" w:eastAsia="Arial" w:hAnsi="Arial"/>
          <w:b/>
          <w:bCs/>
          <w:color w:val="1B3A6B"/>
          <w:sz w:val="24"/>
          <w:szCs w:val="24"/>
        </w:rPr>
        <w:t xml:space="preserve">HOMEBUILDERS HIT: Seaport Global Issues Double Downgrade</w:t>
      </w:r>
    </w:p>
    <w:p>
      <w:pPr>
        <w:spacing w:after="80" w:before="60"/>
      </w:pPr>
      <w:r>
        <w:rPr>
          <w:rFonts w:ascii="Georgia" w:cs="Georgia" w:eastAsia="Georgia" w:hAnsi="Georgia"/>
          <w:color w:val="444444"/>
          <w:sz w:val="22"/>
          <w:szCs w:val="22"/>
        </w:rPr>
        <w:t xml:space="preserve">In one of the day's most striking analyst calls, Seaport Global simultaneously downgraded both Lennar (LEN) and PulteGroup (PHM) from Buy to Sell — cutting their price targets by 47% and 35%, respectively. LEN goes to $74 from $140; PHM to $100 from $155. The firm's thesis is stark: the combination of mortgage rates that remain persistently elevated (30-year conventional rates still above 6.5%), a construction cost environment that shows no near-term relief, and household affordability metrics that have deteriorated to multi-decade lows are creating a structural demand problem that new home incentives can only partially offset.</w:t>
      </w:r>
    </w:p>
    <w:p>
      <w:pPr>
        <w:spacing w:after="80" w:before="60"/>
      </w:pPr>
      <w:r>
        <w:rPr>
          <w:rFonts w:ascii="Georgia" w:cs="Georgia" w:eastAsia="Georgia" w:hAnsi="Georgia"/>
          <w:color w:val="444444"/>
          <w:sz w:val="22"/>
          <w:szCs w:val="22"/>
        </w:rPr>
        <w:t xml:space="preserve">The double-downgrade is particularly notable because homebuilders had been one of the few sectors where analyst consensus remained constructive well into 2026. The thesis had been that limited existing home inventory — homeowners 'locked in' by low-rate mortgages — would redirect demand toward new construction. Seaport's note challenges that logic, arguing that at current price points, the typical buyer simply cannot qualify, and that incentive spending is eroding builder margins without meaningfully stimulating volumes.</w:t>
      </w:r>
    </w:p>
    <w:p>
      <w:pPr>
        <w:spacing w:after="80" w:before="60"/>
      </w:pPr>
      <w:r>
        <w:rPr>
          <w:rFonts w:ascii="Georgia" w:cs="Georgia" w:eastAsia="Georgia" w:hAnsi="Georgia"/>
          <w:color w:val="444444"/>
          <w:sz w:val="22"/>
          <w:szCs w:val="22"/>
        </w:rPr>
        <w:t xml:space="preserve">What to watch: This morning's session in LEN and PHM will test whether institutional holders agree with Seaport's bearish case. The SPDR S&amp;P Homebuilders ETF (XHB) will be a useful real-time sentiment gauge.</w:t>
      </w:r>
    </w:p>
    <w:p>
      <w:pPr>
        <w:pBdr>
          <w:bottom w:val="single" w:color="DDDDDD" w:sz="2" w:space="1"/>
        </w:pBdr>
        <w:spacing w:after="120" w:before="120"/>
      </w:pPr>
    </w:p>
    <w:p>
      <w:pPr>
        <w:spacing w:after="80" w:before="180"/>
      </w:pPr>
      <w:r>
        <w:rPr>
          <w:rFonts w:ascii="Arial" w:cs="Arial" w:eastAsia="Arial" w:hAnsi="Arial"/>
          <w:b/>
          <w:bCs/>
          <w:color w:val="1B3A6B"/>
          <w:sz w:val="24"/>
          <w:szCs w:val="24"/>
        </w:rPr>
        <w:t xml:space="preserve">FED WATCH: April Hold Locked In; June Is the Real Question</w:t>
      </w:r>
    </w:p>
    <w:p>
      <w:pPr>
        <w:spacing w:after="80" w:before="60"/>
      </w:pPr>
      <w:r>
        <w:rPr>
          <w:rFonts w:ascii="Georgia" w:cs="Georgia" w:eastAsia="Georgia" w:hAnsi="Georgia"/>
          <w:color w:val="444444"/>
          <w:sz w:val="22"/>
          <w:szCs w:val="22"/>
        </w:rPr>
        <w:t xml:space="preserve">With the April 28-29 FOMC meeting just under two weeks away, CME FedWatch pricing shows approximately 85% probability of no change to the 3.50%-3.75% target range established following late 2025 cuts. March CPI data — which printed slightly above expectations — has effectively closed the door on any near-term easing, and several Fed officials have echoed this view in recent speeches, citing the need for 'further evidence of disinflation' before adjusting policy.</w:t>
      </w:r>
    </w:p>
    <w:p>
      <w:pPr>
        <w:spacing w:after="80" w:before="60"/>
      </w:pPr>
      <w:r>
        <w:rPr>
          <w:rFonts w:ascii="Georgia" w:cs="Georgia" w:eastAsia="Georgia" w:hAnsi="Georgia"/>
          <w:color w:val="444444"/>
          <w:sz w:val="22"/>
          <w:szCs w:val="22"/>
        </w:rPr>
        <w:t xml:space="preserve">The more meaningful question is June. The June 16-17 meeting carries 55-60% odds of a 25bp reduction in Fed funds futures markets. If today's oil price collapse proves sustained — shaving meaningful basis points from near-term headline CPI projections — the disinflation narrative gets a meaningful boost. Conversely, if the Iran situation deteriorates and oil retraces, the inflation picture becomes murkier and June odds will drift lower. The Fed is essentially hostage to a geopolitical situation that neither its models nor its communications framework were designed to navigate.</w:t>
      </w:r>
    </w:p>
    <w:p>
      <w:pPr>
        <w:spacing w:after="80" w:before="60"/>
      </w:pPr>
      <w:r>
        <w:rPr>
          <w:rFonts w:ascii="Georgia" w:cs="Georgia" w:eastAsia="Georgia" w:hAnsi="Georgia"/>
          <w:color w:val="444444"/>
          <w:sz w:val="22"/>
          <w:szCs w:val="22"/>
        </w:rPr>
        <w:t xml:space="preserve">What to watch: Fed officials scheduled to speak next week before the pre-meeting blackout period. Any hawkish commentary would push June odds back below 50% and reprice the front end of the Treasury curve.</w:t>
      </w:r>
    </w:p>
    <w:p>
      <w:pPr>
        <w:pBdr>
          <w:bottom w:val="single" w:color="DDDDDD" w:sz="2" w:space="1"/>
        </w:pBdr>
        <w:spacing w:after="120" w:before="120"/>
      </w:pPr>
    </w:p>
    <w:p>
      <w:pPr>
        <w:spacing w:after="80" w:before="180"/>
      </w:pPr>
      <w:r>
        <w:rPr>
          <w:rFonts w:ascii="Arial" w:cs="Arial" w:eastAsia="Arial" w:hAnsi="Arial"/>
          <w:b/>
          <w:bCs/>
          <w:color w:val="1B3A6B"/>
          <w:sz w:val="24"/>
          <w:szCs w:val="24"/>
        </w:rPr>
        <w:t xml:space="preserve">BANKS IN FOCUS: Regional Lenders Report as Credit Quality Holds — For Now</w:t>
      </w:r>
    </w:p>
    <w:p>
      <w:pPr>
        <w:spacing w:after="80" w:before="60"/>
      </w:pPr>
      <w:r>
        <w:rPr>
          <w:rFonts w:ascii="Georgia" w:cs="Georgia" w:eastAsia="Georgia" w:hAnsi="Georgia"/>
          <w:color w:val="444444"/>
          <w:sz w:val="22"/>
          <w:szCs w:val="22"/>
        </w:rPr>
        <w:t xml:space="preserve">Friday is a marquee day for regional banking earnings, with Truist Financial (TFC), Fifth Third (FITB), Regions Financial (RF), Ally Financial (ALLY), and State Street (STT) all reporting. The sector has had a complex 2026: rising provisions for credit losses, compressed net interest margins as the rate cycle plateaued, and — unlike the money-center banks — relatively limited revenue diversification into investment banking fees that surged on renewed deal activity. Truist faces particular scrutiny, with analysts watching for any deterioration in the commercial real estate portfolio that management has previously flagged as a risk area. State Street, by contrast, should benefit from elevated market volatility driving custody and trading revenue.</w:t>
      </w:r>
    </w:p>
    <w:p>
      <w:pPr>
        <w:spacing w:after="80" w:before="60"/>
      </w:pPr>
      <w:r>
        <w:rPr>
          <w:rFonts w:ascii="Georgia" w:cs="Georgia" w:eastAsia="Georgia" w:hAnsi="Georgia"/>
          <w:color w:val="444444"/>
          <w:sz w:val="22"/>
          <w:szCs w:val="22"/>
        </w:rPr>
        <w:t xml:space="preserve">What to watch: Provision expense guidance for Q2 will be the most market-moving disclosure. Any guidance cut driven by credit quality concerns could ripple across the regional banking sector.</w:t>
      </w:r>
    </w:p>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4. MACRO &amp; FED WATCH</w:t>
      </w:r>
    </w:p>
    <w:p>
      <w:pPr>
        <w:spacing w:after="80" w:before="60"/>
      </w:pPr>
      <w:r>
        <w:rPr>
          <w:rFonts w:ascii="Georgia" w:cs="Georgia" w:eastAsia="Georgia" w:hAnsi="Georgia"/>
          <w:color w:val="444444"/>
          <w:sz w:val="22"/>
          <w:szCs w:val="22"/>
        </w:rPr>
        <w:t xml:space="preserve">The Federal Reserve's current stance can be summarized in two words: constructive patience. Having cut rates three times in late 2025 to bring the fed funds target to 3.50%-3.75%, the FOMC has since paused, watching as inflation proved stickier than the 2025 dot plot implied. Core PCE — the Fed's preferred inflation gauge — is running at approximately 2.7%, above the 2% target and above the year-end projection of 2.5% embedded in the March dot plot.</w:t>
      </w:r>
    </w:p>
    <w:p>
      <w:pPr>
        <w:spacing w:after="80" w:before="60"/>
      </w:pPr>
      <w:r>
        <w:rPr>
          <w:rFonts w:ascii="Georgia" w:cs="Georgia" w:eastAsia="Georgia" w:hAnsi="Georgia"/>
          <w:color w:val="444444"/>
          <w:sz w:val="22"/>
          <w:szCs w:val="22"/>
        </w:rPr>
        <w:t xml:space="preserve">The March FOMC minutes, released last month, revealed a committee wrestling with dual uncertainties: resilient labor markets that argue against further easing, and a geopolitical shock to energy prices that temporarily lifted inflation but is now reversing sharply. Thursday's oil price collapse — if it holds — could remove 30-40 basis points from annualized headline CPI over the following two months. That would be a meaningful change, potentially allowing the Fed to characterize inflation as 'returning to target' rather than 'sticky.'</w:t>
      </w:r>
    </w:p>
    <w:p>
      <w:pPr>
        <w:spacing w:after="80" w:before="60"/>
      </w:pPr>
      <w:r>
        <w:rPr>
          <w:rFonts w:ascii="Georgia" w:cs="Georgia" w:eastAsia="Georgia" w:hAnsi="Georgia"/>
          <w:color w:val="444444"/>
          <w:sz w:val="22"/>
          <w:szCs w:val="22"/>
        </w:rPr>
        <w:t xml:space="preserve">The yield curve has been steepening modestly. The 10-year Treasury sits at 4.31% while the 2-year is near 4.01%, producing a 10Y-2Y spread of approximately 30 basis points — a far cry from the deeply inverted curve of 2023-2024, and consistent with a market that believes the Fed's next move is a cut rather than a hike. The 30-year bond at roughly 4.60% reflects ongoing concerns about fiscal trajectory and long-duration supply. The DXY's weakness (down 4.2% YTD to 97.70) is providing a de facto easing of financial conditions even without formal rate cuts — another factor the Fed will be watching with some concern.</w:t>
      </w:r>
    </w:p>
    <w:p>
      <w:pPr>
        <w:spacing w:after="80" w:before="60"/>
      </w:pPr>
      <w:r>
        <w:rPr>
          <w:rFonts w:ascii="Georgia" w:cs="Georgia" w:eastAsia="Georgia" w:hAnsi="Georgia"/>
          <w:color w:val="444444"/>
          <w:sz w:val="22"/>
          <w:szCs w:val="22"/>
        </w:rPr>
        <w:t xml:space="preserve">Looking at rate expectations: the base case reflected in futures is one cut in 2026 (June, 55-60% probability), with a second possible if data cooperates. The Fed's own dot plot from March showed only one cut as the median projection. A significant divergence between market pricing and Fed communication would represent a risk to both equities and credit.</w:t>
      </w:r>
    </w:p>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5. ECONOMIC CALENDAR — TODAY (APRIL 17, 2026)</w:t>
      </w:r>
    </w:p>
    <w:p>
      <w:pPr>
        <w:spacing w:after="80" w:before="60"/>
      </w:pPr>
      <w:r>
        <w:rPr>
          <w:rFonts w:ascii="Georgia" w:cs="Georgia" w:eastAsia="Georgia" w:hAnsi="Georgia"/>
          <w:color w:val="444444"/>
          <w:sz w:val="22"/>
          <w:szCs w:val="22"/>
        </w:rPr>
        <w:t xml:space="preserve">Note: The key housing starts and building permits data release has been rescheduled by the Census Bureau to April 29, 2026. Today is relatively light on scheduled US economic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200"/>
        <w:gridCol w:w="2960"/>
      </w:tblGrid>
      <w:tr>
        <w:tc>
          <w:tcPr>
            <w:tcW w:type="dxa" w:w="1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 (ET)</w:t>
            </w:r>
          </w:p>
        </w:tc>
        <w:tc>
          <w:tcPr>
            <w:tcW w:type="dxa" w:w="28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dxa" w:w="1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w:t>
            </w:r>
          </w:p>
        </w:tc>
        <w:tc>
          <w:tcPr>
            <w:tcW w:type="dxa" w:w="1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Consensus</w:t>
            </w:r>
          </w:p>
        </w:tc>
        <w:tc>
          <w:tcPr>
            <w:tcW w:type="dxa" w:w="296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Matters</w:t>
            </w:r>
          </w:p>
        </w:tc>
      </w:tr>
      <w:tr>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8:30 AM</w:t>
            </w:r>
          </w:p>
        </w:tc>
        <w:tc>
          <w:tcPr>
            <w:tcW w:type="dxa" w:w="2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Housing Starts (Mar) — RESCHEDULED</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w:t>
            </w:r>
          </w:p>
        </w:tc>
        <w:tc>
          <w:tcPr>
            <w:tcW w:type="dxa" w:w="29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POSTPONED to Apr 29; Census Bureau delay</w:t>
            </w:r>
          </w:p>
        </w:tc>
      </w:tr>
      <w:tr>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8:30 AM</w:t>
            </w:r>
          </w:p>
        </w:tc>
        <w:tc>
          <w:tcPr>
            <w:tcW w:type="dxa" w:w="2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Building Permits (Mar) — RESCHEDULED</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w:t>
            </w:r>
          </w:p>
        </w:tc>
        <w:tc>
          <w:tcPr>
            <w:tcW w:type="dxa" w:w="29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POSTPONED to Apr 29; key for housing supply outlook</w:t>
            </w:r>
          </w:p>
        </w:tc>
      </w:tr>
      <w:tr>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12:45 PM</w:t>
            </w:r>
          </w:p>
        </w:tc>
        <w:tc>
          <w:tcPr>
            <w:tcW w:type="dxa" w:w="2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NY Fed Staff Nowcast (Weekly)</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w:t>
            </w:r>
          </w:p>
        </w:tc>
        <w:tc>
          <w:tcPr>
            <w:tcW w:type="dxa" w:w="29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Real-time GDP tracking; watch for Q1 print signal</w:t>
            </w:r>
          </w:p>
        </w:tc>
      </w:tr>
      <w:tr>
        <w:tc>
          <w:tcPr>
            <w:tcW w:type="dxa" w:w="12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1:00 PM</w:t>
            </w:r>
          </w:p>
        </w:tc>
        <w:tc>
          <w:tcPr>
            <w:tcW w:type="dxa" w:w="28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Baker Hughes Rig Count (Weekly)</w:t>
            </w:r>
          </w:p>
        </w:tc>
        <w:tc>
          <w:tcPr>
            <w:tcW w:type="dxa" w:w="12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486</w:t>
            </w:r>
          </w:p>
        </w:tc>
        <w:tc>
          <w:tcPr>
            <w:tcW w:type="dxa" w:w="12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~490</w:t>
            </w:r>
          </w:p>
        </w:tc>
        <w:tc>
          <w:tcPr>
            <w:tcW w:type="dxa" w:w="296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Signals near-term oil/gas supply intentions</w:t>
            </w:r>
          </w:p>
        </w:tc>
      </w:tr>
    </w:tbl>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6. EARNINGS WATCH</w:t>
      </w:r>
    </w:p>
    <w:p>
      <w:pPr>
        <w:spacing w:after="80" w:before="60"/>
      </w:pPr>
      <w:r>
        <w:rPr>
          <w:rFonts w:ascii="Georgia" w:cs="Georgia" w:eastAsia="Georgia" w:hAnsi="Georgia"/>
          <w:color w:val="444444"/>
          <w:sz w:val="22"/>
          <w:szCs w:val="22"/>
        </w:rPr>
        <w:t xml:space="preserve">Today's earnings slate is dominated by regional banks, providing the clearest read yet on credit health in the real economy after a period of elevated geopolitical uncertainty. With 22 companies reporting today, the financial sector commands the most attention — but Ericsson offers a useful window into global 5G capex trends, and Autoliv will speak to the health of the global auto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1500"/>
        <w:gridCol w:w="1500"/>
        <w:gridCol w:w="1860"/>
      </w:tblGrid>
      <w:tr>
        <w:tc>
          <w:tcPr>
            <w:tcW w:type="dxa" w:w="1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8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15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EPS Est.</w:t>
            </w:r>
          </w:p>
        </w:tc>
        <w:tc>
          <w:tcPr>
            <w:tcW w:type="dxa" w:w="15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 Est.</w:t>
            </w:r>
          </w:p>
        </w:tc>
        <w:tc>
          <w:tcPr>
            <w:tcW w:type="dxa" w:w="15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 EPS</w:t>
            </w:r>
          </w:p>
        </w:tc>
        <w:tc>
          <w:tcPr>
            <w:tcW w:type="dxa" w:w="186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Focus</w:t>
            </w:r>
          </w:p>
        </w:tc>
      </w:tr>
      <w:tr>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STT</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State Street</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$2.62</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$3.66B</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$2.41</w:t>
            </w:r>
          </w:p>
        </w:tc>
        <w:tc>
          <w:tcPr>
            <w:tcW w:type="dxa" w:w="18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Fee revenue growth; AUM flows in volatile mkt</w:t>
            </w:r>
          </w:p>
        </w:tc>
      </w:tr>
      <w:tr>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TFC</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Truist Financial</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$1.00</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$5.17B</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$0.89</w:t>
            </w:r>
          </w:p>
        </w:tc>
        <w:tc>
          <w:tcPr>
            <w:tcW w:type="dxa" w:w="18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NIM trajectory; expense discipline</w:t>
            </w:r>
          </w:p>
        </w:tc>
      </w:tr>
      <w:tr>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FITB</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Fifth Third Bancorp</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$0.47</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$2.85B</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$0.94*</w:t>
            </w:r>
          </w:p>
        </w:tc>
        <w:tc>
          <w:tcPr>
            <w:tcW w:type="dxa" w:w="18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Credit quality; commercial loan demand</w:t>
            </w:r>
          </w:p>
        </w:tc>
      </w:tr>
      <w:tr>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RF</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Regions Financial</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$0.60</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$1.92B</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$0.55</w:t>
            </w:r>
          </w:p>
        </w:tc>
        <w:tc>
          <w:tcPr>
            <w:tcW w:type="dxa" w:w="18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Rate sensitivity; mortgage banking</w:t>
            </w:r>
          </w:p>
        </w:tc>
      </w:tr>
      <w:tr>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ALLY</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Ally Financial</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$0.94</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$2.15B</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$0.88</w:t>
            </w:r>
          </w:p>
        </w:tc>
        <w:tc>
          <w:tcPr>
            <w:tcW w:type="dxa" w:w="18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Auto loan credit; delinquency trends</w:t>
            </w:r>
          </w:p>
        </w:tc>
      </w:tr>
      <w:tr>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ALV</w:t>
            </w:r>
          </w:p>
        </w:tc>
        <w:tc>
          <w:tcPr>
            <w:tcW w:type="dxa" w:w="18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Autoliv</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$1.80</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$2.61B</w:t>
            </w:r>
          </w:p>
        </w:tc>
        <w:tc>
          <w:tcPr>
            <w:tcW w:type="dxa" w:w="15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$1.71</w:t>
            </w:r>
          </w:p>
        </w:tc>
        <w:tc>
          <w:tcPr>
            <w:tcW w:type="dxa" w:w="18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Auto production volumes; FX impact</w:t>
            </w:r>
          </w:p>
        </w:tc>
      </w:tr>
      <w:tr>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ERIC</w:t>
            </w:r>
          </w:p>
        </w:tc>
        <w:tc>
          <w:tcPr>
            <w:tcW w:type="dxa" w:w="18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Ericsson</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$0.13</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$5.72B</w:t>
            </w:r>
          </w:p>
        </w:tc>
        <w:tc>
          <w:tcPr>
            <w:tcW w:type="dxa" w:w="15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$0.10</w:t>
            </w:r>
          </w:p>
        </w:tc>
        <w:tc>
          <w:tcPr>
            <w:tcW w:type="dxa" w:w="18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5G capex recovery; NA market share</w:t>
            </w:r>
          </w:p>
        </w:tc>
      </w:tr>
      <w:tr>
        <w:tc>
          <w:tcPr>
            <w:tcW w:type="dxa" w:w="12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BMI</w:t>
            </w:r>
          </w:p>
        </w:tc>
        <w:tc>
          <w:tcPr>
            <w:tcW w:type="dxa" w:w="18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Badger Meter</w:t>
            </w:r>
          </w:p>
        </w:tc>
        <w:tc>
          <w:tcPr>
            <w:tcW w:type="dxa" w:w="15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$1.22</w:t>
            </w:r>
          </w:p>
        </w:tc>
        <w:tc>
          <w:tcPr>
            <w:tcW w:type="dxa" w:w="15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$230.9M</w:t>
            </w:r>
          </w:p>
        </w:tc>
        <w:tc>
          <w:tcPr>
            <w:tcW w:type="dxa" w:w="15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$1.08</w:t>
            </w:r>
          </w:p>
        </w:tc>
        <w:tc>
          <w:tcPr>
            <w:tcW w:type="dxa" w:w="186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Water infrastructure demand; backlog</w:t>
            </w:r>
          </w:p>
        </w:tc>
      </w:tr>
    </w:tbl>
    <w:p>
      <w:pPr>
        <w:spacing w:after="0" w:before="40"/>
      </w:pPr>
    </w:p>
    <w:p>
      <w:pPr>
        <w:spacing w:after="80" w:before="60"/>
      </w:pPr>
      <w:r>
        <w:rPr>
          <w:rFonts w:ascii="Georgia" w:cs="Georgia" w:eastAsia="Georgia" w:hAnsi="Georgia"/>
          <w:color w:val="444444"/>
          <w:sz w:val="22"/>
          <w:szCs w:val="22"/>
        </w:rPr>
        <w:t xml:space="preserve">Q1 2026 earnings season context: With roughly 45% of S&amp;P 500 companies having reported, the blended earnings growth rate sits at approximately +8.2% year-over-year, above the +6.1% consensus estimate that prevailed at the start of the season. Revenue growth is tracking at +4.8%. The key beat rate — companies exceeding EPS estimates — sits at 73%, modestly below the 5-year average of 77%, but solid given the macro backdrop. Financial sector results have been the primary source of disappointment, while technology and healthcare have exceeded.</w:t>
      </w:r>
    </w:p>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7. SECTOR SPOTLIGHT</w:t>
      </w:r>
    </w:p>
    <w:p>
      <w:pPr>
        <w:spacing w:after="80" w:before="180"/>
      </w:pPr>
      <w:r>
        <w:rPr>
          <w:rFonts w:ascii="Arial" w:cs="Arial" w:eastAsia="Arial" w:hAnsi="Arial"/>
          <w:b/>
          <w:bCs/>
          <w:color w:val="1B3A6B"/>
          <w:sz w:val="24"/>
          <w:szCs w:val="24"/>
        </w:rPr>
        <w:t xml:space="preserve">Energy: The Great Oil Unwinding</w:t>
      </w:r>
    </w:p>
    <w:p>
      <w:pPr>
        <w:spacing w:after="80" w:before="60"/>
      </w:pPr>
      <w:r>
        <w:rPr>
          <w:rFonts w:ascii="Georgia" w:cs="Georgia" w:eastAsia="Georgia" w:hAnsi="Georgia"/>
          <w:color w:val="444444"/>
          <w:sz w:val="22"/>
          <w:szCs w:val="22"/>
        </w:rPr>
        <w:t xml:space="preserve">The energy sector faces its most volatile single session of the year as the Hormuz news triggers forced selling across the complex. E&amp;P companies — which had been pricing in sustained $90+ Brent for capital allocation purposes — now face a rapid re-rating. Offshore drillers, whose order books had filled at elevated day-rates premised on structurally tight supply, are in a particularly difficult position. The XLE Energy Select Sector ETF will almost certainly be the worst-performing sector ETF on the day. The key question is whether today's move represents a complete repricing of risk or merely an initial shock that moderates as the physical market catches up to futures. OPEC+ will be closely watching — their credibility in managing the price floor is now directly tested.</w:t>
      </w:r>
    </w:p>
    <w:p>
      <w:pPr>
        <w:spacing w:after="80" w:before="180"/>
      </w:pPr>
      <w:r>
        <w:rPr>
          <w:rFonts w:ascii="Arial" w:cs="Arial" w:eastAsia="Arial" w:hAnsi="Arial"/>
          <w:b/>
          <w:bCs/>
          <w:color w:val="1B3A6B"/>
          <w:sz w:val="24"/>
          <w:szCs w:val="24"/>
        </w:rPr>
        <w:t xml:space="preserve">Financials: Regional Banks Under the Microscope</w:t>
      </w:r>
    </w:p>
    <w:p>
      <w:pPr>
        <w:spacing w:after="80" w:before="60"/>
      </w:pPr>
      <w:r>
        <w:rPr>
          <w:rFonts w:ascii="Georgia" w:cs="Georgia" w:eastAsia="Georgia" w:hAnsi="Georgia"/>
          <w:color w:val="444444"/>
          <w:sz w:val="22"/>
          <w:szCs w:val="22"/>
        </w:rPr>
        <w:t xml:space="preserve">Regional banks enter Q1 reporting season with significant uncertainty hanging over credit quality, particularly in commercial real estate and consumer lending. The macro environment — rates that have paused at levels still restrictive relative to history, moderating but persistent inflation, and a labor market that has been resilient — has been a mixed bag for net interest margins. Banks that funded long-duration assets with short-duration liabilities during the 2020-2021 era are still working through the consequences. State Street, which derives revenue from custody, asset management, and trading rather than traditional lending, may be the relative standout today given elevated market volatility's positive effect on fee income.</w:t>
      </w:r>
    </w:p>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8. ANALYST CALLS &amp; UPGRADES / 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400"/>
        <w:gridCol w:w="1400"/>
        <w:gridCol w:w="2360"/>
      </w:tblGrid>
      <w:tr>
        <w:tc>
          <w:tcPr>
            <w:tcW w:type="dxa" w:w="14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Firm</w:t>
            </w:r>
          </w:p>
        </w:tc>
        <w:tc>
          <w:tcPr>
            <w:tcW w:type="dxa" w:w="1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W w:type="dxa" w:w="1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14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Old PT</w:t>
            </w:r>
          </w:p>
        </w:tc>
        <w:tc>
          <w:tcPr>
            <w:tcW w:type="dxa" w:w="14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PT</w:t>
            </w:r>
          </w:p>
        </w:tc>
        <w:tc>
          <w:tcPr>
            <w:tcW w:type="dxa" w:w="236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Seaport Global</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LEN</w:t>
            </w:r>
          </w:p>
        </w:tc>
        <w:tc>
          <w:tcPr>
            <w:tcW w:type="dxa" w:w="16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Downgrade Buy→Sell</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$140</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$74</w:t>
            </w:r>
          </w:p>
        </w:tc>
        <w:tc>
          <w:tcPr>
            <w:tcW w:type="dxa" w:w="23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Affordability crisis deepening; rate-sensitive demand collapse</w:t>
            </w:r>
          </w:p>
        </w:tc>
      </w:tr>
      <w:tr>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Seaport Global</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PHM</w:t>
            </w:r>
          </w:p>
        </w:tc>
        <w:tc>
          <w:tcPr>
            <w:tcW w:type="dxa" w:w="16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Downgrade Buy→Sell</w:t>
            </w:r>
          </w:p>
        </w:tc>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$155</w:t>
            </w:r>
          </w:p>
        </w:tc>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$100</w:t>
            </w:r>
          </w:p>
        </w:tc>
        <w:tc>
          <w:tcPr>
            <w:tcW w:type="dxa" w:w="23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Same affordability headwinds; cuts across homebuilder sector</w:t>
            </w:r>
          </w:p>
        </w:tc>
      </w:tr>
      <w:tr>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Mizuho</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NXPI</w:t>
            </w:r>
          </w:p>
        </w:tc>
        <w:tc>
          <w:tcPr>
            <w:tcW w:type="dxa" w:w="16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Downgrade Outperform→Underperform</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$255</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$188</w:t>
            </w:r>
          </w:p>
        </w:tc>
        <w:tc>
          <w:tcPr>
            <w:tcW w:type="dxa" w:w="23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Auto/industrial cycle weaker; inventory still elevated</w:t>
            </w:r>
          </w:p>
        </w:tc>
      </w:tr>
      <w:tr>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JP Morgan</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HRL</w:t>
            </w:r>
          </w:p>
        </w:tc>
        <w:tc>
          <w:tcPr>
            <w:tcW w:type="dxa" w:w="16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Downgrade OW→Neutral</w:t>
            </w:r>
          </w:p>
        </w:tc>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$28</w:t>
            </w:r>
          </w:p>
        </w:tc>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$23</w:t>
            </w:r>
          </w:p>
        </w:tc>
        <w:tc>
          <w:tcPr>
            <w:tcW w:type="dxa" w:w="23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Pork cost inflation eroding margin; demand softening</w:t>
            </w:r>
          </w:p>
        </w:tc>
      </w:tr>
      <w:tr>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JP Morgan</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SN</w:t>
            </w:r>
          </w:p>
        </w:tc>
        <w:tc>
          <w:tcPr>
            <w:tcW w:type="dxa" w:w="16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Maintain OW</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$152</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$144</w:t>
            </w:r>
          </w:p>
        </w:tc>
        <w:tc>
          <w:tcPr>
            <w:tcW w:type="dxa" w:w="23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Slight PT trim; growth thesis intact despite macro headwinds</w:t>
            </w:r>
          </w:p>
        </w:tc>
      </w:tr>
      <w:tr>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Goldman Sachs</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ARM</w:t>
            </w:r>
          </w:p>
        </w:tc>
        <w:tc>
          <w:tcPr>
            <w:tcW w:type="dxa" w:w="16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Maintain Sell</w:t>
            </w:r>
          </w:p>
        </w:tc>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$110</w:t>
            </w:r>
          </w:p>
        </w:tc>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$125</w:t>
            </w:r>
          </w:p>
        </w:tc>
        <w:tc>
          <w:tcPr>
            <w:tcW w:type="dxa" w:w="23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PT raised on IP licensing strength, but valuation still stretched</w:t>
            </w:r>
          </w:p>
        </w:tc>
      </w:tr>
      <w:tr>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Goldman Sachs</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ABT</w:t>
            </w:r>
          </w:p>
        </w:tc>
        <w:tc>
          <w:tcPr>
            <w:tcW w:type="dxa" w:w="16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Maintain Buy</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$140</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$121</w:t>
            </w:r>
          </w:p>
        </w:tc>
        <w:tc>
          <w:tcPr>
            <w:tcW w:type="dxa" w:w="23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PT cut on medical device pricing pressure; long-term story intact</w:t>
            </w:r>
          </w:p>
        </w:tc>
      </w:tr>
      <w:tr>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Morgan Stanley</w:t>
            </w:r>
          </w:p>
        </w:tc>
        <w:tc>
          <w:tcPr>
            <w:tcW w:type="dxa" w:w="12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JBHT</w:t>
            </w:r>
          </w:p>
        </w:tc>
        <w:tc>
          <w:tcPr>
            <w:tcW w:type="dxa" w:w="16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Maintain Equal-Weight</w:t>
            </w:r>
          </w:p>
        </w:tc>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$165</w:t>
            </w:r>
          </w:p>
        </w:tc>
        <w:tc>
          <w:tcPr>
            <w:tcW w:type="dxa" w:w="140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$180</w:t>
            </w:r>
          </w:p>
        </w:tc>
        <w:tc>
          <w:tcPr>
            <w:tcW w:type="dxa" w:w="2360"/>
            <w:tcBorders>
              <w:top w:val="single" w:color="DDDDDD" w:sz="1"/>
              <w:left w:val="none" w:color="FFFFFF" w:sz="0"/>
              <w:bottom w:val="single" w:color="DDDDDD" w:sz="1"/>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Intermodal recovery better than feared; modest upside</w:t>
            </w:r>
          </w:p>
        </w:tc>
      </w:tr>
      <w:tr>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Stifel</w:t>
            </w:r>
          </w:p>
        </w:tc>
        <w:tc>
          <w:tcPr>
            <w:tcW w:type="dxa" w:w="12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XPO</w:t>
            </w:r>
          </w:p>
        </w:tc>
        <w:tc>
          <w:tcPr>
            <w:tcW w:type="dxa" w:w="16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Maintain Buy</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$206</w:t>
            </w:r>
          </w:p>
        </w:tc>
        <w:tc>
          <w:tcPr>
            <w:tcW w:type="dxa" w:w="140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$232</w:t>
            </w:r>
          </w:p>
        </w:tc>
        <w:tc>
          <w:tcPr>
            <w:tcW w:type="dxa" w:w="2360"/>
            <w:tcBorders>
              <w:top w:val="single" w:color="DDDDDD" w:sz="1"/>
              <w:left w:val="none" w:color="FFFFFF" w:sz="0"/>
              <w:bottom w:val="single" w:color="DDDDDD" w:sz="1"/>
              <w:right w:val="none" w:color="FFFFFF" w:sz="0"/>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LTL market share gains; pricing power remains strong</w:t>
            </w:r>
          </w:p>
        </w:tc>
      </w:tr>
      <w:tr>
        <w:tc>
          <w:tcPr>
            <w:tcW w:type="dxa" w:w="14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color w:val="444444"/>
                <w:sz w:val="18"/>
                <w:szCs w:val="18"/>
              </w:rPr>
              <w:t xml:space="preserve">BTIG</w:t>
            </w:r>
          </w:p>
        </w:tc>
        <w:tc>
          <w:tcPr>
            <w:tcW w:type="dxa" w:w="12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SDRL</w:t>
            </w:r>
          </w:p>
        </w:tc>
        <w:tc>
          <w:tcPr>
            <w:tcW w:type="dxa" w:w="16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Maintain Buy</w:t>
            </w:r>
          </w:p>
        </w:tc>
        <w:tc>
          <w:tcPr>
            <w:tcW w:type="dxa" w:w="14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$50</w:t>
            </w:r>
          </w:p>
        </w:tc>
        <w:tc>
          <w:tcPr>
            <w:tcW w:type="dxa" w:w="140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$55</w:t>
            </w:r>
          </w:p>
        </w:tc>
        <w:tc>
          <w:tcPr>
            <w:tcW w:type="dxa" w:w="2360"/>
            <w:tcBorders>
              <w:top w:val="single" w:color="DDDDDD" w:sz="1"/>
              <w:left w:val="none" w:color="FFFFFF" w:sz="0"/>
              <w:bottom w:val="single" w:color="C9A84C" w:sz="2"/>
              <w:right w:val="none" w:color="FFFFFF" w:sz="0"/>
            </w:tcBorders>
            <w:shd w:fill="F5F5F5"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18"/>
                <w:szCs w:val="18"/>
              </w:rPr>
              <w:t xml:space="preserve">Offshore drilling tightening; day-rate improvement expected</w:t>
            </w:r>
          </w:p>
        </w:tc>
      </w:tr>
    </w:tbl>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9. STOCKS TO WATCH</w:t>
      </w:r>
    </w:p>
    <w:p>
      <w:pPr>
        <w:spacing w:after="80" w:before="180"/>
      </w:pPr>
      <w:r>
        <w:rPr>
          <w:rFonts w:ascii="Arial" w:cs="Arial" w:eastAsia="Arial" w:hAnsi="Arial"/>
          <w:b/>
          <w:bCs/>
          <w:color w:val="1B3A6B"/>
          <w:sz w:val="24"/>
          <w:szCs w:val="24"/>
        </w:rPr>
        <w:t xml:space="preserve">XOM / CVX — Energy Majors: A Forced Capitulation Trade?</w:t>
      </w:r>
    </w:p>
    <w:p>
      <w:pPr>
        <w:spacing w:after="80" w:before="60"/>
      </w:pPr>
      <w:r>
        <w:rPr>
          <w:rFonts w:ascii="Georgia" w:cs="Georgia" w:eastAsia="Georgia" w:hAnsi="Georgia"/>
          <w:color w:val="444444"/>
          <w:sz w:val="22"/>
          <w:szCs w:val="22"/>
        </w:rPr>
        <w:t xml:space="preserve">With WTI crashing 12%, Exxon Mobil (XOM) and Chevron (CVX) will open sharply lower. Both trade at valuations that assumed $85-90 Brent for extended periods. XOM has been particularly active in the Permian, with capex plans that assumed higher sustained pricing. The key level to watch: XOM's 200-day moving average near $108; if it breaks below, technical selling could accelerate. Options markets are implying single-day moves of 4-6% for both names — significant for mega-cap energy. Longer-term investors may see this as an entry point if they believe oil finds support at current levels; short-term momentum traders will likely stay away until the dust settles.</w:t>
      </w:r>
    </w:p>
    <w:p>
      <w:pPr>
        <w:pBdr>
          <w:bottom w:val="single" w:color="DDDDDD" w:sz="2" w:space="1"/>
        </w:pBdr>
        <w:spacing w:after="120" w:before="120"/>
      </w:pPr>
    </w:p>
    <w:p>
      <w:pPr>
        <w:spacing w:after="80" w:before="180"/>
      </w:pPr>
      <w:r>
        <w:rPr>
          <w:rFonts w:ascii="Arial" w:cs="Arial" w:eastAsia="Arial" w:hAnsi="Arial"/>
          <w:b/>
          <w:bCs/>
          <w:color w:val="1B3A6B"/>
          <w:sz w:val="24"/>
          <w:szCs w:val="24"/>
        </w:rPr>
        <w:t xml:space="preserve">NXPI — NXP Semiconductors: Mizuho's Double-Step-Down Downgrade</w:t>
      </w:r>
    </w:p>
    <w:p>
      <w:pPr>
        <w:spacing w:after="80" w:before="60"/>
      </w:pPr>
      <w:r>
        <w:rPr>
          <w:rFonts w:ascii="Georgia" w:cs="Georgia" w:eastAsia="Georgia" w:hAnsi="Georgia"/>
          <w:color w:val="444444"/>
          <w:sz w:val="22"/>
          <w:szCs w:val="22"/>
        </w:rPr>
        <w:t xml:space="preserve">Mizuho's move from Outperform all the way to Underperform on NXP Semiconductors — skipping Neutral entirely — is aggressive and noteworthy. The new $188 target implies roughly 20% downside from Thursday's close. The core thesis is that NXP's exposure to automotive and industrial end markets — which together account for more than 80% of revenue — leaves it vulnerable as auto production volumes remain below pre-COVID highs and OEM inventory destocking continues. This is a meaningful call given NXP's positioning as a bellwether for the automotive semiconductor cycle. Watch whether other semiconductor analysts follow with comparable actions.</w:t>
      </w:r>
    </w:p>
    <w:p>
      <w:pPr>
        <w:pBdr>
          <w:bottom w:val="single" w:color="DDDDDD" w:sz="2" w:space="1"/>
        </w:pBdr>
        <w:spacing w:after="120" w:before="120"/>
      </w:pPr>
    </w:p>
    <w:p>
      <w:pPr>
        <w:spacing w:after="80" w:before="180"/>
      </w:pPr>
      <w:r>
        <w:rPr>
          <w:rFonts w:ascii="Arial" w:cs="Arial" w:eastAsia="Arial" w:hAnsi="Arial"/>
          <w:b/>
          <w:bCs/>
          <w:color w:val="1B3A6B"/>
          <w:sz w:val="24"/>
          <w:szCs w:val="24"/>
        </w:rPr>
        <w:t xml:space="preserve">GLD / SLV — Gold and Silver ETFs: Monitoring the Safe-Haven Premium</w:t>
      </w:r>
    </w:p>
    <w:p>
      <w:pPr>
        <w:spacing w:after="80" w:before="60"/>
      </w:pPr>
      <w:r>
        <w:rPr>
          <w:rFonts w:ascii="Georgia" w:cs="Georgia" w:eastAsia="Georgia" w:hAnsi="Georgia"/>
          <w:color w:val="444444"/>
          <w:sz w:val="22"/>
          <w:szCs w:val="22"/>
        </w:rPr>
        <w:t xml:space="preserve">Gold at $4,867 is pricing in something more complex than pure Iran-war fear premium — it reflects structural dollar skepticism, central bank diversification demand, and concerns about U.S. fiscal trajectory. The SPDR Gold Trust (GLD) has seen substantial inflows year-to-date. The interesting question today: does gold hold its gains as risk sentiment improves and the oil price relief trade plays out? Historically, gold has shown resilience in post-crisis rallies when real yields remain compressed — which is the current configuration. Watch the 10-year TIPS yield; if it rises materially, gold faces a headwind.</w:t>
      </w:r>
    </w:p>
    <w:p>
      <w:pPr>
        <w:pBdr>
          <w:bottom w:val="single" w:color="DDDDDD" w:sz="2" w:space="1"/>
        </w:pBdr>
        <w:spacing w:after="120" w:before="120"/>
      </w:pPr>
    </w:p>
    <w:p>
      <w:pPr>
        <w:spacing w:after="80" w:before="180"/>
      </w:pPr>
      <w:r>
        <w:rPr>
          <w:rFonts w:ascii="Arial" w:cs="Arial" w:eastAsia="Arial" w:hAnsi="Arial"/>
          <w:b/>
          <w:bCs/>
          <w:color w:val="1B3A6B"/>
          <w:sz w:val="24"/>
          <w:szCs w:val="24"/>
        </w:rPr>
        <w:t xml:space="preserve">LEN / PHM — Homebuilders: Do You Trust Seaport's Bear Case?</w:t>
      </w:r>
    </w:p>
    <w:p>
      <w:pPr>
        <w:spacing w:after="80" w:before="60"/>
      </w:pPr>
      <w:r>
        <w:rPr>
          <w:rFonts w:ascii="Georgia" w:cs="Georgia" w:eastAsia="Georgia" w:hAnsi="Georgia"/>
          <w:color w:val="444444"/>
          <w:sz w:val="22"/>
          <w:szCs w:val="22"/>
        </w:rPr>
        <w:t xml:space="preserve">The Seaport Global double-downgrade creates an interesting test of market conviction in the homebuilder thesis. Lennar (LEN) has been one of the better-capitalized builders, with a balance sheet that can sustain elevated incentive spending. PulteGroup (PHM) has historically had stronger execution on cost control. If today's market reaction is severe — LEN breaking below $100, PHM below $110 — it would suggest institutional holders are taking Seaport's bearish case seriously. An options straddle on either name heading into next quarter's earnings could be worth examining given the elevated uncertainty.</w:t>
      </w:r>
    </w:p>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10. GLOBAL MACRO SNAPSHOT</w:t>
      </w:r>
    </w:p>
    <w:p>
      <w:pPr>
        <w:spacing w:after="80" w:before="60"/>
      </w:pPr>
      <w:r>
        <w:rPr>
          <w:rFonts w:ascii="Georgia" w:cs="Georgia" w:eastAsia="Georgia" w:hAnsi="Georgia"/>
          <w:color w:val="444444"/>
          <w:sz w:val="22"/>
          <w:szCs w:val="22"/>
        </w:rPr>
        <w:t xml:space="preserve">China: The mainland CSI 300 slipped only 0.17% on Friday, reflecting a relative insulation from the Iran news compared to energy-exposed markets. Beijing has been a net beneficiary of the conflict — having maintained informal diplomatic channels with both sides — and lower oil prices directly reduce import costs for the world's largest crude importer. Watch for any policy response to the yuan's modest strengthening; the PBOC has been managing USD/CNY carefully near 7.20.</w:t>
      </w:r>
    </w:p>
    <w:p>
      <w:pPr>
        <w:spacing w:after="80" w:before="60"/>
      </w:pPr>
      <w:r>
        <w:rPr>
          <w:rFonts w:ascii="Georgia" w:cs="Georgia" w:eastAsia="Georgia" w:hAnsi="Georgia"/>
          <w:color w:val="444444"/>
          <w:sz w:val="22"/>
          <w:szCs w:val="22"/>
        </w:rPr>
        <w:t xml:space="preserve">Europe: UK GDP surprised to the upside with 0.5% month-on-month growth in February versus a 0.1% consensus — providing a meaningful tailwind for the FTSE and GBP. Eurozone inflation printed at 2.6% for March, slightly above the 2.5% estimate, keeping the ECB in a 'data dependent' posture that mirrors the Fed. European energy companies face the same Hormuz-driven headwinds as their U.S. counterparts, but European manufacturers and consumers are among the biggest structural beneficiaries of lower oil prices given the region's import dependency.</w:t>
      </w:r>
    </w:p>
    <w:p>
      <w:pPr>
        <w:spacing w:after="80" w:before="60"/>
      </w:pPr>
      <w:r>
        <w:rPr>
          <w:rFonts w:ascii="Georgia" w:cs="Georgia" w:eastAsia="Georgia" w:hAnsi="Georgia"/>
          <w:color w:val="444444"/>
          <w:sz w:val="22"/>
          <w:szCs w:val="22"/>
        </w:rPr>
        <w:t xml:space="preserve">Japan: The Nikkei's 1.75% pullback from record highs reflects both profit-taking and yen strengthening — the classic inverse correlation that has defined Japanese equities for decades. USD/JPY at 143.5 (down 0.6% on the day) is tightening financial conditions for Japan's export-oriented economy. The Bank of Japan will be watching carefully; any rapid yen appreciation could complicate its gradual normalization path.</w:t>
      </w:r>
    </w:p>
    <w:p>
      <w:pPr>
        <w:spacing w:after="80" w:before="60"/>
      </w:pPr>
      <w:r>
        <w:rPr>
          <w:rFonts w:ascii="Georgia" w:cs="Georgia" w:eastAsia="Georgia" w:hAnsi="Georgia"/>
          <w:color w:val="444444"/>
          <w:sz w:val="22"/>
          <w:szCs w:val="22"/>
        </w:rPr>
        <w:t xml:space="preserve">Emerging Markets: The oil price collapse is a meaningful positive for oil-importing emerging market economies — India, Turkey, and South Korea among the largest beneficiaries. Oil-exporting EMs (Saudi Arabia, UAE, Nigeria) face the opposite dynamic. Currency stability in LATAM, which had been pressured during the conflict, should improve on the Hormuz news.</w:t>
      </w:r>
    </w:p>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11. WEEK AHEAD PREVIEW</w:t>
      </w:r>
    </w:p>
    <w:p>
      <w:pPr>
        <w:spacing w:after="80" w:before="60"/>
      </w:pPr>
      <w:r>
        <w:rPr>
          <w:rFonts w:ascii="Georgia" w:cs="Georgia" w:eastAsia="Georgia" w:hAnsi="Georgia"/>
          <w:color w:val="444444"/>
          <w:sz w:val="22"/>
          <w:szCs w:val="22"/>
        </w:rPr>
        <w:t xml:space="preserve">The week of April 20-25 brings several significant catalysts. On the earnings front, the mega-cap technology earnings parade begins in earnest, with Alphabet, Tesla, and Meta all expected to report. These names together account for roughly 15% of S&amp;P 500 market cap and will be the ultimate test of whether the current rally is supported by fundamental earnings quality or purely by the geopolitical sentiment shift.</w:t>
      </w:r>
    </w:p>
    <w:p>
      <w:pPr>
        <w:spacing w:after="80" w:before="60"/>
      </w:pPr>
      <w:r>
        <w:rPr>
          <w:rFonts w:ascii="Georgia" w:cs="Georgia" w:eastAsia="Georgia" w:hAnsi="Georgia"/>
          <w:color w:val="444444"/>
          <w:sz w:val="22"/>
          <w:szCs w:val="22"/>
        </w:rPr>
        <w:t xml:space="preserve">On the economic data front, the March PCE deflator — the Fed's preferred inflation gauge — is expected on Friday, April 25. Given the Iran oil price shock that unfolded this week, the March reading (which precedes the Hormuz announcement) will be interesting context but not the most forward-looking signal. The more important read will come in May PCE, which will capture the full disinflationary impact of lower energy prices.</w:t>
      </w:r>
    </w:p>
    <w:p>
      <w:pPr>
        <w:spacing w:after="80" w:before="60"/>
      </w:pPr>
      <w:r>
        <w:rPr>
          <w:rFonts w:ascii="Georgia" w:cs="Georgia" w:eastAsia="Georgia" w:hAnsi="Georgia"/>
          <w:color w:val="444444"/>
          <w:sz w:val="22"/>
          <w:szCs w:val="22"/>
        </w:rPr>
        <w:t xml:space="preserve">Geopolitically, President Trump's indication that in-person U.S.-Iran negotiations could occur 'next weekend' creates a potential binary event. A successful meeting producing a formal framework for ceasefire compliance would be additionally risk-positive; a breakdown would immediately reverse the oil relief trade. Keep a close eye on tanker tracking data — whether ships are actually transiting the Strait — as the real-world validation of the Hormuz announcement.</w:t>
      </w:r>
    </w:p>
    <w:p>
      <w:pPr>
        <w:spacing w:after="80" w:before="60"/>
      </w:pPr>
      <w:r>
        <w:rPr>
          <w:rFonts w:ascii="Georgia" w:cs="Georgia" w:eastAsia="Georgia" w:hAnsi="Georgia"/>
          <w:color w:val="444444"/>
          <w:sz w:val="22"/>
          <w:szCs w:val="22"/>
        </w:rPr>
        <w:t xml:space="preserve">Additionally, the FOMC pre-meeting blackout period begins Saturday, April 19. Any Fed communication before then — particularly from Chair Powell or Vice Chair Jefferson — will receive heightened scrutiny for signals on the June meeting.</w:t>
      </w:r>
    </w:p>
    <w:p>
      <w:pPr>
        <w:spacing w:after="0" w:before="60"/>
      </w:pPr>
    </w:p>
    <w:p>
      <w:pPr>
        <w:pBdr>
          <w:bottom w:val="single" w:color="C9A84C" w:sz="6" w:space="4"/>
        </w:pBdr>
        <w:spacing w:after="120" w:before="280"/>
      </w:pPr>
      <w:r>
        <w:rPr>
          <w:rFonts w:ascii="Arial" w:cs="Arial" w:eastAsia="Arial" w:hAnsi="Arial"/>
          <w:b/>
          <w:bCs/>
          <w:color w:val="1B3A6B"/>
          <w:sz w:val="26"/>
          <w:szCs w:val="26"/>
        </w:rPr>
        <w:t xml:space="preserve">12. CLOSING THOUGHT</w:t>
      </w:r>
    </w:p>
    <w:p>
      <w:pPr>
        <w:spacing w:after="80" w:before="60"/>
      </w:pPr>
      <w:r>
        <w:rPr>
          <w:rFonts w:ascii="Georgia" w:cs="Georgia" w:eastAsia="Georgia" w:hAnsi="Georgia"/>
          <w:color w:val="444444"/>
          <w:sz w:val="22"/>
          <w:szCs w:val="22"/>
        </w:rPr>
        <w:t xml:space="preserve">Here is the contrarian view worth holding in your head today: this market is priced for a resolution that has not been legally or verifiably confirmed. The Strait of Hormuz 'open' announcement came from Tehran, not from a jointly signed agreement between the United States and Iran. The U.S. blockade — which is the other side of the same coin — remains formally in place per the White House. In the history of geopolitical markets, the most dangerous trades are those that price in peace before peace actually exists.</w:t>
      </w:r>
    </w:p>
    <w:p>
      <w:pPr>
        <w:spacing w:after="80" w:before="60"/>
      </w:pPr>
      <w:r>
        <w:rPr>
          <w:rFonts w:ascii="Georgia" w:cs="Georgia" w:eastAsia="Georgia" w:hAnsi="Georgia"/>
          <w:color w:val="444444"/>
          <w:sz w:val="22"/>
          <w:szCs w:val="22"/>
        </w:rPr>
        <w:t xml:space="preserve">The Nasdaq's 12-day streak and the S&amp;P 500's burst above 7,000 are genuinely impressive achievements. But a market up 8% in two weeks on the back of war de-escalation talks is a market with asymmetric downside to any negative headline. Gold at $4,867 is telling you that not everyone believes the story. The S&amp;P 500 at 7,041 is telling you that most people do. The resolution of that tension — between the skeptics and the optimists — will define the next chapter of this remarkable market cycle.</w:t>
      </w:r>
    </w:p>
    <w:p>
      <w:pPr>
        <w:spacing w:after="80" w:before="60"/>
      </w:pPr>
      <w:r>
        <w:rPr>
          <w:rFonts w:ascii="Georgia" w:cs="Georgia" w:eastAsia="Georgia" w:hAnsi="Georgia"/>
          <w:i/>
          <w:iCs/>
          <w:color w:val="444444"/>
          <w:sz w:val="22"/>
          <w:szCs w:val="22"/>
        </w:rPr>
        <w:t xml:space="preserve">In markets, hope is a terrible strategy. But so is fighting a trend with 12 straight days of confirming data behind it.</w:t>
      </w:r>
    </w:p>
    <w:p>
      <w:pPr>
        <w:spacing w:after="0" w:before="120"/>
      </w:pPr>
    </w:p>
    <w:p>
      <w:pPr>
        <w:pBdr>
          <w:top w:val="single" w:color="DDDDDD" w:sz="4" w:space="4"/>
        </w:pBdr>
        <w:spacing w:after="0" w:before="60"/>
        <w:jc w:val="center"/>
      </w:pPr>
      <w:r>
        <w:rPr>
          <w:rFonts w:ascii="Arial" w:cs="Arial" w:eastAsia="Arial" w:hAnsi="Arial"/>
          <w:i/>
          <w:iCs/>
          <w:color w:val="888888"/>
          <w:sz w:val="16"/>
          <w:szCs w:val="16"/>
        </w:rPr>
        <w:t xml:space="preserve">Sources: CNBC, Yahoo Finance, Reuters, Fortune, TheStreet, IC Markets, FedWatch (CME), Benzinga, Seaport Global, Mizuho, JP Morgan, Goldman Sachs, Wikipedia (2026 Iran war). This brief is for informational purposes only and does not constitute investment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spacing w:after="0" w:before="60"/>
    </w:pPr>
    <w:r>
      <w:rPr>
        <w:rFonts w:ascii="Arial" w:cs="Arial" w:eastAsia="Arial" w:hAnsi="Arial"/>
        <w:color w:val="444444"/>
        <w:sz w:val="16"/>
        <w:szCs w:val="16"/>
      </w:rPr>
      <w:t xml:space="preserve">Daily Financial Brief  •  April 17, 2026  •  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i/>
        <w:iCs/>
        <w:color w:val="888888"/>
        <w:sz w:val="16"/>
        <w:szCs w:val="16"/>
      </w:rPr>
      <w:t xml:space="preserve">  •  For informational purposes only —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8" w:space="2"/>
      </w:pBdr>
      <w:shd w:fill="1B3A6B" w:val="clear"/>
      <w:spacing w:after="0" w:before="0"/>
      <w:jc w:val="center"/>
    </w:pPr>
    <w:r>
      <w:rPr>
        <w:rFonts w:ascii="Arial" w:cs="Arial" w:eastAsia="Arial" w:hAnsi="Arial"/>
        <w:b/>
        <w:bCs/>
        <w:color w:val="FFFFFF"/>
        <w:sz w:val="28"/>
        <w:szCs w:val="28"/>
      </w:rPr>
      <w:t xml:space="preserve">📊  DAILY FINANCIAL BRIEF</w:t>
    </w:r>
    <w:r>
      <w:rPr>
        <w:rFonts w:ascii="Arial" w:cs="Arial" w:eastAsia="Arial" w:hAnsi="Arial"/>
        <w:color w:val="C0C8DC"/>
        <w:sz w:val="22"/>
        <w:szCs w:val="22"/>
      </w:rPr>
      <w:t xml:space="preserve">   |   Friday, April 17, 2026</w:t>
    </w:r>
  </w:p>
  <w:p>
    <w:pPr>
      <w:spacing w:after="60" w:before="60"/>
      <w:jc w:val="center"/>
    </w:pPr>
    <w:r>
      <w:rPr>
        <w:rFonts w:ascii="Arial" w:cs="Arial" w:eastAsia="Arial" w:hAnsi="Arial"/>
        <w:i/>
        <w:iCs/>
        <w:color w:val="1B3A6B"/>
        <w:sz w:val="18"/>
        <w:szCs w:val="18"/>
      </w:rPr>
      <w:t xml:space="preserve">For James Flanagan  •  Markets Intelligence  •  9:30 AM 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2026-04-17T19:15:08.462Z</dcterms:created>
  <dcterms:modified xsi:type="dcterms:W3CDTF">2026-04-17T19:15:08.463Z</dcterms:modified>
</cp:coreProperties>
</file>

<file path=docProps/custom.xml><?xml version="1.0" encoding="utf-8"?>
<Properties xmlns="http://schemas.openxmlformats.org/officeDocument/2006/custom-properties" xmlns:vt="http://schemas.openxmlformats.org/officeDocument/2006/docPropsVTypes"/>
</file>