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Arial" w:cs="Arial" w:eastAsia="Arial" w:hAnsi="Arial"/>
          <w:b/>
          <w:bCs/>
          <w:color w:val="1B3A5C"/>
          <w:sz w:val="52"/>
          <w:szCs w:val="52"/>
        </w:rPr>
        <w:t xml:space="preserve">THE MORNING BRIEF</w:t>
      </w:r>
    </w:p>
    <w:p>
      <w:pPr>
        <w:pBdr>
          <w:bottom w:val="single" w:color="B8860B" w:sz="8" w:space="6"/>
        </w:pBdr>
        <w:spacing w:after="40" w:before="0"/>
        <w:jc w:val="center"/>
      </w:pPr>
      <w:r>
        <w:rPr>
          <w:rFonts w:ascii="Arial" w:cs="Arial" w:eastAsia="Arial" w:hAnsi="Arial"/>
          <w:color w:val="555555"/>
          <w:sz w:val="20"/>
          <w:szCs w:val="20"/>
        </w:rPr>
        <w:t xml:space="preserve">Monday, April 20, 2026  ·  Pre-Market Edition  ·  ~10-Minute Read</w:t>
      </w:r>
    </w:p>
    <w:p>
      <w:pPr>
        <w:pBdr>
          <w:bottom w:val="single" w:color="B8860B" w:sz="6" w:space="4"/>
        </w:pBdr>
        <w:spacing w:after="100" w:before="280"/>
      </w:pPr>
      <w:r>
        <w:rPr>
          <w:rFonts w:ascii="Arial" w:cs="Arial" w:eastAsia="Arial" w:hAnsi="Arial"/>
          <w:b/>
          <w:bCs/>
          <w:color w:val="1B3A5C"/>
          <w:sz w:val="26"/>
          <w:szCs w:val="26"/>
        </w:rPr>
        <w:t xml:space="preserve">1. THE MORNING SETUP</w:t>
      </w:r>
    </w:p>
    <w:p>
      <w:pPr>
        <w:spacing w:after="60" w:before="60"/>
        <w:jc w:val="left"/>
      </w:pPr>
      <w:r>
        <w:rPr>
          <w:rFonts w:ascii="Georgia" w:cs="Georgia" w:eastAsia="Georgia" w:hAnsi="Georgia"/>
          <w:b w:val="false"/>
          <w:bCs w:val="false"/>
          <w:color w:val="1A1A1A"/>
          <w:sz w:val="23"/>
          <w:szCs w:val="23"/>
        </w:rPr>
        <w:t xml:space="preserve">Markets open Monday on edge. After a spectacular week that saw the S&amp;P 500 surge 4.54% to fresh all-time highs and the Nasdaq post a blistering 6.84% weekly gain — both indexes roaring back from Iran-war-induced lows — futures are retreating this morning as geopolitical uncertainty refuses to fully clear. The catalyst: Brent crude's overnight snap-back of more than 5%, reversing part of last week's 10% plunge that followed Iran's announced Strait of Hormuz reopening, suggests the market got ahead of itself pricing in a clean ceasefire. The central question this week is whether the Middle East de-escalation narrative holds — and whether corporate America's first-quarter earnings season can sustain the rally's fundamental underpinning.</w:t>
      </w:r>
    </w:p>
    <w:p>
      <w:pPr>
        <w:spacing w:after="60" w:before="60"/>
        <w:jc w:val="left"/>
      </w:pPr>
      <w:r>
        <w:rPr>
          <w:rFonts w:ascii="Georgia" w:cs="Georgia" w:eastAsia="Georgia" w:hAnsi="Georgia"/>
          <w:b w:val="false"/>
          <w:bCs w:val="false"/>
          <w:color w:val="1A1A1A"/>
          <w:sz w:val="23"/>
          <w:szCs w:val="23"/>
        </w:rPr>
        <w:t xml:space="preserve">Against that backdrop, investors face a blockbuster earnings slate: Tesla reports Wednesday, headlining a week that also features UnitedHealth, GE Aerospace, Boeing, Alphabet, Meta, and PepsiCo. Economic data is dense too, with Flash PMIs, Durable Goods, and the final Michigan Consumer Sentiment reading all due. The Fed is in pre-meeting quiet mode — FOMC blackout begins Saturday, with the April 28-29 meeting approaching fast. One rate cut is priced for 2026. Gold remains at record highs above $4,870/oz. Bitcoin sits below $76K. The week is loaded. Buckle up.</w:t>
      </w:r>
    </w:p>
    <w:p>
      <w:pPr>
        <w:pBdr>
          <w:bottom w:val="single" w:color="B8860B"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2. MARKETS AT A GLANCE</w:t>
      </w:r>
    </w:p>
    <w:p>
      <w:pPr>
        <w:spacing w:after="60" w:before="60"/>
        <w:jc w:val="left"/>
      </w:pPr>
      <w:r>
        <w:rPr>
          <w:rFonts w:ascii="Georgia" w:cs="Georgia" w:eastAsia="Georgia" w:hAnsi="Georgia"/>
          <w:b w:val="false"/>
          <w:bCs w:val="false"/>
          <w:color w:val="777777"/>
          <w:sz w:val="19"/>
          <w:szCs w:val="19"/>
        </w:rPr>
        <w:t xml:space="preserve">All major data as of market open / last available print. Change figures are vs. prior session unless noted.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1700"/>
        <w:gridCol w:w="660"/>
      </w:tblGrid>
      <w:tr>
        <w:tc>
          <w:tcPr>
            <w:tcW w:type="dxa" w:w="30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Instrument</w:t>
            </w:r>
          </w:p>
        </w:tc>
        <w:tc>
          <w:tcPr>
            <w:tcW w:type="dxa" w:w="22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 Level</w:t>
            </w:r>
          </w:p>
        </w:tc>
        <w:tc>
          <w:tcPr>
            <w:tcW w:type="dxa" w:w="18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Day Chg</w:t>
            </w:r>
          </w:p>
        </w:tc>
        <w:tc>
          <w:tcPr>
            <w:tcW w:type="dxa" w:w="17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 Trend</w:t>
            </w:r>
          </w:p>
        </w:tc>
        <w:tc>
          <w:tcPr>
            <w:tcW w:type="dxa" w:w="66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US EQUITIES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S&amp;P 500 (prior close)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7,126.06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+1.20%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ATH week</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Fresh record last week</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Dow Jones (prior close)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49,447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+1.79%</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+3.19% wk</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3rd consec weekly gain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Nasdaq 100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~24,800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+1.60%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+6.84% wk</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New record highs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S&amp;P 500 Futures (Mon)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~7,100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-0.80%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Geopolitical jitters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Dow Futures (Mon)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~48,950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-1.00%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Iran uncertainty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Russell 2000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~2,100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+0.90%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Lagging</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Small-cap cautious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VIX</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~18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Elevated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&gt;15 = caution</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Geopolitical risk premium</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ASIA (Mon close)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Nikkei 225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58,475.90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-1.75%</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Near ATH</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Iran concerns weigh</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Hang Seng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26,160.33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-0.89%</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Mixed</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HK-China sentiment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Shanghai Composite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~3,280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-0.50%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Flat YTD</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Policy support watch</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Kospi (S.Korea)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~2,580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-0.70%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Export data sensitivity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ASX 200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~8,100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+0.40%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Resilient</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Commodities tailwind</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EUROPE (early trade)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FTSE 100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10,667.63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+0.73%</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Outperforming</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Energy cos. rally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DAX (Germany)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~22,200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+0.30%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Near highs</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Export concern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CAC 40 (France)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~7,950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+0.40%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Range-bound</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Luxury watch</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Euro Stoxx 50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~5,300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+0.35%</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Broad Europe</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US TREASURIES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2-Year Yield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3.81%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-2 bps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Below 4%</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Pricing ~1 cut 2026</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5-Year Yield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~4.05%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Flat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Mid-curve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10-Year Yield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4.31%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+1 bp</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Key 4.25-4.50 range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Spread 2Y-10Y: +50bp</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30-Year Yield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4.91%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+2 bps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Near 5%</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Long-end under pressure</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CURRENCIES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DXY (Dollar Index)</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98.31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+0.21%</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Below 100</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Below 52wk high 101.98</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EUR/USD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~1.150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-0.15%</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Off 1.20 highs</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US-DE spread 159bp</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GBP/USD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~1.32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Flat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UK data dependent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USD/JPY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~148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+0.30%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BOJ watch</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Intervention risk?</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USD/CNY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~7.25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Flat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PBOC managed</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COMMODITIES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WTI Crude Oil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$86.25/bbl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+5.85%</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Volatile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Hormuz reopening → rebound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Brent Crude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$95.42/bbl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+5.58%</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Volatile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Iran ceasefire uncertainty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Natural Gas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~$3.20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+1.50%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LNG demand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Gold (spot)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$4,878/oz</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+0.80%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+25% YTD</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Record high territory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Silver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~$49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+1.10%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Lagging gold</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Industrial/haven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Copper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~$4.65/lb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+0.60%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Global growth proxy</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China demand key</w:t>
            </w:r>
          </w:p>
        </w:tc>
      </w:tr>
      <w:tr>
        <w:tc>
          <w:tcPr>
            <w:tcW w:type="dxa" w:w="30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 CRYPTO ──</w:t>
            </w:r>
          </w:p>
        </w:tc>
        <w:tc>
          <w:tcPr>
            <w:tcW w:type="dxa" w:w="22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c>
          <w:tcPr>
            <w:tcW w:type="dxa" w:w="660"/>
            <w:tcBorders>
              <w:top w:val="single" w:color="DDDDDD" w:sz="1"/>
              <w:left w:val="single" w:color="DDDDDD" w:sz="1"/>
              <w:bottom w:val="single" w:color="DDDDDD" w:sz="1"/>
              <w:right w:val="single" w:color="DDDDDD" w:sz="1"/>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Bitcoin (BTC)</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$75,324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-1.20%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Off highs</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Iran tensions weigh</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Ethereum (ETH)</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~$1,850 est.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-0.90%</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Market cap $233B</w:t>
            </w:r>
          </w:p>
        </w:tc>
        <w:tc>
          <w:tcPr>
            <w:tcW w:type="dxa" w:w="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Layer-2 watch</w:t>
            </w:r>
          </w:p>
        </w:tc>
      </w:tr>
    </w:tbl>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3. TOP STORIES</w:t>
      </w:r>
    </w:p>
    <w:p>
      <w:pPr>
        <w:spacing w:after="60" w:before="180"/>
      </w:pPr>
      <w:r>
        <w:rPr>
          <w:rFonts w:ascii="Arial" w:cs="Arial" w:eastAsia="Arial" w:hAnsi="Arial"/>
          <w:b/>
          <w:bCs/>
          <w:color w:val="1B3A5C"/>
          <w:sz w:val="24"/>
          <w:szCs w:val="24"/>
        </w:rPr>
        <w:t xml:space="preserve">🛢  Story 1 — The Hormuz Whipsaw: Oil's Violent Two-Act Drama</w:t>
      </w:r>
    </w:p>
    <w:p>
      <w:pPr>
        <w:spacing w:after="60" w:before="60"/>
        <w:jc w:val="left"/>
      </w:pPr>
      <w:r>
        <w:rPr>
          <w:rFonts w:ascii="Georgia" w:cs="Georgia" w:eastAsia="Georgia" w:hAnsi="Georgia"/>
          <w:b w:val="false"/>
          <w:bCs w:val="false"/>
          <w:color w:val="1A1A1A"/>
          <w:sz w:val="22"/>
          <w:szCs w:val="22"/>
        </w:rPr>
        <w:t xml:space="preserve">Last week's single most important macro development was the partial reopening of the Strait of Hormuz, the 21-mile-wide chokepoint through which roughly 20% of global oil supply flows. Iran's Foreign Minister Abbas Araghchi announced the waterway was fully open to commercial traffic during the ceasefire period, triggering a historic single-session crude collapse — Brent fell nearly 10% to approach $85/barrel, its largest one-day drop in over a decade. WTI briefly touched $78.50 before recovering. Equity markets exploded higher on the inflation-relief read: lower energy prices mean less pressure on consumers, more room for the Fed to cut, and improved corporate margin profiles for transport and manufacturing industries.</w:t>
      </w:r>
    </w:p>
    <w:p>
      <w:pPr>
        <w:spacing w:after="60" w:before="60"/>
        <w:jc w:val="left"/>
      </w:pPr>
      <w:r>
        <w:rPr>
          <w:rFonts w:ascii="Georgia" w:cs="Georgia" w:eastAsia="Georgia" w:hAnsi="Georgia"/>
          <w:b w:val="false"/>
          <w:bCs w:val="false"/>
          <w:color w:val="1A1A1A"/>
          <w:sz w:val="22"/>
          <w:szCs w:val="22"/>
        </w:rPr>
        <w:t xml:space="preserve">But this morning tells a different story. Brent has rebounded to $95.42, up more than 5.5%, suggesting traders are not yet convinced the ceasefire is durable. The IEA's April report noted global oil supply had plummeted by 10.1 mb/d to 97 mb/d in March — the largest disruption in history — and warned that tail risks remain severe if the Strait closes again. With US-Iran talks described as 'fragile' and no formal peace framework in place, oil markets are effectively pricing event risk in real time. Energy sector stocks, which led last week's equity surge, face whipsaw risk as headline risk persists.</w:t>
      </w:r>
    </w:p>
    <w:p>
      <w:pPr>
        <w:spacing w:after="60" w:before="60"/>
        <w:jc w:val="left"/>
      </w:pPr>
      <w:r>
        <w:rPr>
          <w:rFonts w:ascii="Georgia" w:cs="Georgia" w:eastAsia="Georgia" w:hAnsi="Georgia"/>
          <w:b w:val="false"/>
          <w:bCs w:val="false"/>
          <w:color w:val="1A1A1A"/>
          <w:sz w:val="22"/>
          <w:szCs w:val="22"/>
        </w:rPr>
        <w:t xml:space="preserve">What to watch: Any diplomatic communiqué from Washington or Tehran. Oil's ability to hold below $100/bbl on Brent is crucial to the inflation narrative. An EIA inventory report Wednesday will be closely scrutinized.</w:t>
      </w:r>
    </w:p>
    <w:p>
      <w:pPr>
        <w:pBdr>
          <w:bottom w:val="single" w:color="DDDDDD" w:sz="2" w:space="1"/>
        </w:pBdr>
        <w:spacing w:after="120" w:before="120"/>
      </w:pPr>
      <w:r>
        <w:t xml:space="preserve"/>
      </w:r>
    </w:p>
    <w:p>
      <w:pPr>
        <w:spacing w:after="60" w:before="180"/>
      </w:pPr>
      <w:r>
        <w:rPr>
          <w:rFonts w:ascii="Arial" w:cs="Arial" w:eastAsia="Arial" w:hAnsi="Arial"/>
          <w:b/>
          <w:bCs/>
          <w:color w:val="1B3A5C"/>
          <w:sz w:val="24"/>
          <w:szCs w:val="24"/>
        </w:rPr>
        <w:t xml:space="preserve">🏦  Story 2 — The Fed's Tightrope: Inflation, Oil, and the April 28-29 FOMC</w:t>
      </w:r>
    </w:p>
    <w:p>
      <w:pPr>
        <w:spacing w:after="60" w:before="60"/>
        <w:jc w:val="left"/>
      </w:pPr>
      <w:r>
        <w:rPr>
          <w:rFonts w:ascii="Georgia" w:cs="Georgia" w:eastAsia="Georgia" w:hAnsi="Georgia"/>
          <w:b w:val="false"/>
          <w:bCs w:val="false"/>
          <w:color w:val="1A1A1A"/>
          <w:sz w:val="22"/>
          <w:szCs w:val="22"/>
        </w:rPr>
        <w:t xml:space="preserve">The Federal Reserve held the federal funds rate at its 3.50%-3.75% target range at the March 17-18 FOMC meeting — its second consecutive hold. But the meeting minutes reveal a committee walking a genuine tightrope. Participants broadly acknowledged that inflation 'remained above the Committee's 2% longer-run goal' and that 'further progress in reducing inflation had been absent in recent months.' More concerning for doves: the vast majority of participants flagged that upside risks to inflation have increased, with Middle East-driven energy price spikes cited explicitly as the mechanism.</w:t>
      </w:r>
    </w:p>
    <w:p>
      <w:pPr>
        <w:spacing w:after="60" w:before="60"/>
        <w:jc w:val="left"/>
      </w:pPr>
      <w:r>
        <w:rPr>
          <w:rFonts w:ascii="Georgia" w:cs="Georgia" w:eastAsia="Georgia" w:hAnsi="Georgia"/>
          <w:b w:val="false"/>
          <w:bCs w:val="false"/>
          <w:color w:val="1A1A1A"/>
          <w:sz w:val="22"/>
          <w:szCs w:val="22"/>
        </w:rPr>
        <w:t xml:space="preserve">The Fed's dot plot still calls for one rate cut in 2026, with another in 2027. Markets are pricing this roughly at face value, with the 2-year Treasury yield at 3.81% and the 10-year at 4.31% — a roughly 50-basis-point positive spread suggesting the yield curve has re-normalized from its prolonged inversion. The FOMC blackout period begins this Saturday, meaning no Fed speakers for the next 9 days. The April 28-29 meeting is widely expected to be another hold — but Chair Powell's press conference language around the inflation trajectory and the impact of Middle East supply shocks on the 2026 rate path will be the market's primary focus.</w:t>
      </w:r>
    </w:p>
    <w:p>
      <w:pPr>
        <w:spacing w:after="60" w:before="60"/>
        <w:jc w:val="left"/>
      </w:pPr>
      <w:r>
        <w:rPr>
          <w:rFonts w:ascii="Georgia" w:cs="Georgia" w:eastAsia="Georgia" w:hAnsi="Georgia"/>
          <w:b w:val="false"/>
          <w:bCs w:val="false"/>
          <w:color w:val="1A1A1A"/>
          <w:sz w:val="22"/>
          <w:szCs w:val="22"/>
        </w:rPr>
        <w:t xml:space="preserve">What to watch: Whether oil's Monday rebound changes the calculus. A sustained Brent above $95 would likely push the Fed's first cut further into the calendar — potentially to Q4 or 2027.</w:t>
      </w:r>
    </w:p>
    <w:p>
      <w:pPr>
        <w:pBdr>
          <w:bottom w:val="single" w:color="DDDDDD" w:sz="2" w:space="1"/>
        </w:pBdr>
        <w:spacing w:after="120" w:before="120"/>
      </w:pPr>
      <w:r>
        <w:t xml:space="preserve"/>
      </w:r>
    </w:p>
    <w:p>
      <w:pPr>
        <w:spacing w:after="60" w:before="180"/>
      </w:pPr>
      <w:r>
        <w:rPr>
          <w:rFonts w:ascii="Arial" w:cs="Arial" w:eastAsia="Arial" w:hAnsi="Arial"/>
          <w:b/>
          <w:bCs/>
          <w:color w:val="1B3A5C"/>
          <w:sz w:val="24"/>
          <w:szCs w:val="24"/>
        </w:rPr>
        <w:t xml:space="preserve">⚡  Story 3 — Tesla's Earnings Gauntlet: Deliveries Missed, But Is the Story Still Intact?</w:t>
      </w:r>
    </w:p>
    <w:p>
      <w:pPr>
        <w:spacing w:after="60" w:before="60"/>
        <w:jc w:val="left"/>
      </w:pPr>
      <w:r>
        <w:rPr>
          <w:rFonts w:ascii="Georgia" w:cs="Georgia" w:eastAsia="Georgia" w:hAnsi="Georgia"/>
          <w:b w:val="false"/>
          <w:bCs w:val="false"/>
          <w:color w:val="1A1A1A"/>
          <w:sz w:val="22"/>
          <w:szCs w:val="22"/>
        </w:rPr>
        <w:t xml:space="preserve">Tesla (TSLA) reports Q1 2026 earnings Wednesday after market close, and the setup is uniquely complex. The company delivered 358,023 vehicles in Q1, a 6.3% year-over-year improvement but a miss versus the analyst consensus of 365,645. More troubling was energy storage, where Tesla deployed just 8.8 GWh — a 38% sequential collapse from Q4 2025's 14.2 GWh, and dramatically below the 14.4 GWh consensus. Bears argue this signals execution problems; bulls counter that Q4 energy figures are seasonally strong and that Q2 will rebound.</w:t>
      </w:r>
    </w:p>
    <w:p>
      <w:pPr>
        <w:spacing w:after="60" w:before="60"/>
        <w:jc w:val="left"/>
      </w:pPr>
      <w:r>
        <w:rPr>
          <w:rFonts w:ascii="Georgia" w:cs="Georgia" w:eastAsia="Georgia" w:hAnsi="Georgia"/>
          <w:b w:val="false"/>
          <w:bCs w:val="false"/>
          <w:color w:val="1A1A1A"/>
          <w:sz w:val="22"/>
          <w:szCs w:val="22"/>
        </w:rPr>
        <w:t xml:space="preserve">The EPS consensus is approximately $0.33-$0.37 on revenue of roughly $21.4-$22.7 billion (estimates vary by firm). But the street's real focal points are the gross margin trajectory — which collapsed in prior quarters on aggressive pricing — Elon Musk's capacity to focus on the business amid his Washington commitments, and the robotaxi timeline. Goldman Sachs reiterated a Buy with a $320 price target specifically citing underappreciated energy storage optionality. The options market is pricing a roughly 9-11% implied move around the print. The stock's year-to-date trajectory and elevated short interest make this a high-volatility event.</w:t>
      </w:r>
    </w:p>
    <w:p>
      <w:pPr>
        <w:spacing w:after="60" w:before="60"/>
        <w:jc w:val="left"/>
      </w:pPr>
      <w:r>
        <w:rPr>
          <w:rFonts w:ascii="Georgia" w:cs="Georgia" w:eastAsia="Georgia" w:hAnsi="Georgia"/>
          <w:b w:val="false"/>
          <w:bCs w:val="false"/>
          <w:color w:val="1A1A1A"/>
          <w:sz w:val="22"/>
          <w:szCs w:val="22"/>
        </w:rPr>
        <w:t xml:space="preserve">What to watch: Margin guidance, energy storage Q2 outlook, and any commentary on Musk's involvement level in day-to-day management.</w:t>
      </w:r>
    </w:p>
    <w:p>
      <w:pPr>
        <w:pBdr>
          <w:bottom w:val="single" w:color="DDDDDD" w:sz="2" w:space="1"/>
        </w:pBdr>
        <w:spacing w:after="120" w:before="120"/>
      </w:pPr>
      <w:r>
        <w:t xml:space="preserve"/>
      </w:r>
    </w:p>
    <w:p>
      <w:pPr>
        <w:spacing w:after="60" w:before="180"/>
      </w:pPr>
      <w:r>
        <w:rPr>
          <w:rFonts w:ascii="Arial" w:cs="Arial" w:eastAsia="Arial" w:hAnsi="Arial"/>
          <w:b/>
          <w:bCs/>
          <w:color w:val="1B3A5C"/>
          <w:sz w:val="24"/>
          <w:szCs w:val="24"/>
        </w:rPr>
        <w:t xml:space="preserve">📉  Story 4 — Adobe's AI Identity Crisis: Innovator or Incumbent Under Siege?</w:t>
      </w:r>
    </w:p>
    <w:p>
      <w:pPr>
        <w:spacing w:after="60" w:before="60"/>
        <w:jc w:val="left"/>
      </w:pPr>
      <w:r>
        <w:rPr>
          <w:rFonts w:ascii="Georgia" w:cs="Georgia" w:eastAsia="Georgia" w:hAnsi="Georgia"/>
          <w:b w:val="false"/>
          <w:bCs w:val="false"/>
          <w:color w:val="1A1A1A"/>
          <w:sz w:val="22"/>
          <w:szCs w:val="22"/>
        </w:rPr>
        <w:t xml:space="preserve">Adobe (ADBE) is trading at approximately $240, down 34% over the past 12 months, and Monday's Motley Fool live coverage flagged it as a key story. The core tension: Adobe's Firefly AI creative suite is showing genuine traction — Firefly subscription and credit pack ARR grew 75% sequentially — yet the stock is treated like a melting ice cube by institutional investors fearful of disruption from Microsoft, OpenAI, Midjourney, and Canva. Management has guided for annualized recurring revenue growth of 10.2% for fiscal 2026 and reports Acrobat AI Assistant, Firefly App, and GenStudio have collectively generated over $125 million in revenue.</w:t>
      </w:r>
    </w:p>
    <w:p>
      <w:pPr>
        <w:spacing w:after="60" w:before="60"/>
        <w:jc w:val="left"/>
      </w:pPr>
      <w:r>
        <w:rPr>
          <w:rFonts w:ascii="Georgia" w:cs="Georgia" w:eastAsia="Georgia" w:hAnsi="Georgia"/>
          <w:b w:val="false"/>
          <w:bCs w:val="false"/>
          <w:color w:val="1A1A1A"/>
          <w:sz w:val="22"/>
          <w:szCs w:val="22"/>
        </w:rPr>
        <w:t xml:space="preserve">The analyst community is split. Morgan Stanley has reportedly downgraded to Equal Weight with a $260 target, citing intensifying AI competition and a valuation that remains stretched relative to the growth profile. The current median Wall Street target is $317 — well above the current price — suggesting deep disagreement about terminal value. The practical risk is that Adobe's creative moat is being 'salami-sliced' by free AI tools, while its enterprise Document Cloud faces pressure from cheap PDF alternatives. The company is neither cheap nor clearly safe — a genuinely difficult investment thesis.</w:t>
      </w:r>
    </w:p>
    <w:p>
      <w:pPr>
        <w:spacing w:after="60" w:before="60"/>
        <w:jc w:val="left"/>
      </w:pPr>
      <w:r>
        <w:rPr>
          <w:rFonts w:ascii="Georgia" w:cs="Georgia" w:eastAsia="Georgia" w:hAnsi="Georgia"/>
          <w:b w:val="false"/>
          <w:bCs w:val="false"/>
          <w:color w:val="1A1A1A"/>
          <w:sz w:val="22"/>
          <w:szCs w:val="22"/>
        </w:rPr>
        <w:t xml:space="preserve">What to watch: Q2 guidance revision and whether management upgrades Firefly monetization targets. Any partnership announcements with enterprise platforms could shift sentiment.</w:t>
      </w:r>
    </w:p>
    <w:p>
      <w:pPr>
        <w:pBdr>
          <w:bottom w:val="single" w:color="DDDDDD" w:sz="2" w:space="1"/>
        </w:pBdr>
        <w:spacing w:after="120" w:before="120"/>
      </w:pPr>
      <w:r>
        <w:t xml:space="preserve"/>
      </w:r>
    </w:p>
    <w:p>
      <w:pPr>
        <w:spacing w:after="60" w:before="180"/>
      </w:pPr>
      <w:r>
        <w:rPr>
          <w:rFonts w:ascii="Arial" w:cs="Arial" w:eastAsia="Arial" w:hAnsi="Arial"/>
          <w:b/>
          <w:bCs/>
          <w:color w:val="1B3A5C"/>
          <w:sz w:val="24"/>
          <w:szCs w:val="24"/>
        </w:rPr>
        <w:t xml:space="preserve">🌏  Story 5 — China's Economic Wobble and the Global Growth Transmission</w:t>
      </w:r>
    </w:p>
    <w:p>
      <w:pPr>
        <w:spacing w:after="60" w:before="60"/>
        <w:jc w:val="left"/>
      </w:pPr>
      <w:r>
        <w:rPr>
          <w:rFonts w:ascii="Georgia" w:cs="Georgia" w:eastAsia="Georgia" w:hAnsi="Georgia"/>
          <w:b w:val="false"/>
          <w:bCs w:val="false"/>
          <w:color w:val="1A1A1A"/>
          <w:sz w:val="22"/>
          <w:szCs w:val="22"/>
        </w:rPr>
        <w:t xml:space="preserve">While the Iran conflict dominates Western market headlines, China's economic situation deserves close attention. Shanghai Composite has been roughly flat YTD, reflecting a market that is neither in crisis nor recovering with conviction. Recent PBOC policy support — targeted rate cuts and liquidity injections — has stabilized financial conditions but has not catalyzed broad animal spirits. Property sector stress persists, with several major developers still navigating restructuring processes. Export growth has been complicated by supply chain rerouting around the Gulf disruption zone.</w:t>
      </w:r>
    </w:p>
    <w:p>
      <w:pPr>
        <w:spacing w:after="60" w:before="60"/>
        <w:jc w:val="left"/>
      </w:pPr>
      <w:r>
        <w:rPr>
          <w:rFonts w:ascii="Georgia" w:cs="Georgia" w:eastAsia="Georgia" w:hAnsi="Georgia"/>
          <w:b w:val="false"/>
          <w:bCs w:val="false"/>
          <w:color w:val="1A1A1A"/>
          <w:sz w:val="22"/>
          <w:szCs w:val="22"/>
        </w:rPr>
        <w:t xml:space="preserve">For global markets, China matters in two critical ways: first, as the marginal demand driver for copper, iron ore, and industrial commodities — where a Chinese recovery would provide significant upside; and second, as a potential shock absorber if US consumer strength falters. Goldman Sachs' most recent China outlook flags 'cautious stabilization' with GDP growth tracking around 4.3% for 2026, below the official 5% target. The risk is that US-China trade tensions — never fully resolved — flare again as Beijing watches Washington's Middle East engagement and draws its own strategic conclusions.</w:t>
      </w:r>
    </w:p>
    <w:p>
      <w:pPr>
        <w:pBdr>
          <w:bottom w:val="single" w:color="DDDDDD" w:sz="2" w:space="1"/>
        </w:pBdr>
        <w:spacing w:after="120" w:before="120"/>
      </w:pPr>
      <w:r>
        <w:t xml:space="preserve"/>
      </w:r>
    </w:p>
    <w:p>
      <w:pPr>
        <w:spacing w:after="60" w:before="180"/>
      </w:pPr>
      <w:r>
        <w:rPr>
          <w:rFonts w:ascii="Arial" w:cs="Arial" w:eastAsia="Arial" w:hAnsi="Arial"/>
          <w:b/>
          <w:bCs/>
          <w:color w:val="1B3A5C"/>
          <w:sz w:val="24"/>
          <w:szCs w:val="24"/>
        </w:rPr>
        <w:t xml:space="preserve">🏥  Story 6 — UnitedHealth Under the Microscope: Healthcare Earnings Season Kicks Off</w:t>
      </w:r>
    </w:p>
    <w:p>
      <w:pPr>
        <w:spacing w:after="60" w:before="60"/>
        <w:jc w:val="left"/>
      </w:pPr>
      <w:r>
        <w:rPr>
          <w:rFonts w:ascii="Georgia" w:cs="Georgia" w:eastAsia="Georgia" w:hAnsi="Georgia"/>
          <w:b w:val="false"/>
          <w:bCs w:val="false"/>
          <w:color w:val="1A1A1A"/>
          <w:sz w:val="22"/>
          <w:szCs w:val="22"/>
        </w:rPr>
        <w:t xml:space="preserve">UnitedHealth Group (UNH) reports Q1 2026 results Tuesday morning before the open, and the print carries outsized significance for the entire healthcare sector. Analysts project non-GAAP EPS of approximately $6.62-$6.67, representing a year-over-year decline — reflecting the ongoing normalization of medical loss ratios (MLR) after the pandemic-era suppression of care utilization. The company's revenue is estimated at approximately $109.74 billion, reflecting scale that makes UNH effectively a macroeconomic entity in its own right — its claims data is a leading indicator of consumer health and healthcare inflation.</w:t>
      </w:r>
    </w:p>
    <w:p>
      <w:pPr>
        <w:spacing w:after="60" w:before="60"/>
        <w:jc w:val="left"/>
      </w:pPr>
      <w:r>
        <w:rPr>
          <w:rFonts w:ascii="Georgia" w:cs="Georgia" w:eastAsia="Georgia" w:hAnsi="Georgia"/>
          <w:b w:val="false"/>
          <w:bCs w:val="false"/>
          <w:color w:val="1A1A1A"/>
          <w:sz w:val="22"/>
          <w:szCs w:val="22"/>
        </w:rPr>
        <w:t xml:space="preserve">JPMorgan has an Overweight rating with a $620 price target, arguing that MLR normalization is now in the price and that a positive Q1 surprise could be the catalyst for a re-rating. The broader healthcare sector has underperformed the S&amp;P 500 in 2025 amid regulatory scrutiny of pharmacy benefit managers and prior authorization practices — both policy headwinds that have weighed on the group. A beat-and-raise from UNH would likely lift the entire managed care complex. A miss would confirm the bears' thesis that medical cost trends remain structurally elevated.</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4. MACRO &amp; FED WATCH</w:t>
      </w:r>
    </w:p>
    <w:p>
      <w:pPr>
        <w:spacing w:after="60" w:before="60"/>
        <w:jc w:val="left"/>
      </w:pPr>
      <w:r>
        <w:rPr>
          <w:rFonts w:ascii="Georgia" w:cs="Georgia" w:eastAsia="Georgia" w:hAnsi="Georgia"/>
          <w:b w:val="false"/>
          <w:bCs w:val="false"/>
          <w:color w:val="1A1A1A"/>
          <w:sz w:val="22"/>
          <w:szCs w:val="22"/>
        </w:rPr>
        <w:t xml:space="preserve">The Federal Reserve's posture entering the April 28-29 FOMC meeting can be summarized in one word: patience. After cutting rates three times in 2025 — bringing the target range from 4.75%-5.00% down to the current 3.50%-3.75% — the Fed has been on hold for two consecutive meetings. The rationale is clear from the minutes: core PCE inflation remains above 2.5%, the labor market has softened but not broken, and the Middle East shock represents a genuine 'stagflationary supply shock' that the Fed is ill-equipped to address with rate cuts without risking an inflation re-acceleration.</w:t>
      </w:r>
    </w:p>
    <w:p>
      <w:pPr>
        <w:spacing w:after="60" w:before="60"/>
        <w:jc w:val="left"/>
      </w:pPr>
      <w:r>
        <w:rPr>
          <w:rFonts w:ascii="Georgia" w:cs="Georgia" w:eastAsia="Georgia" w:hAnsi="Georgia"/>
          <w:b w:val="false"/>
          <w:bCs w:val="false"/>
          <w:color w:val="1A1A1A"/>
          <w:sz w:val="22"/>
          <w:szCs w:val="22"/>
        </w:rPr>
        <w:t xml:space="preserve">Fed funds futures are currently pricing approximately one full 25 basis-point cut for 2026, with the market heavily weighing Q3 as the most likely timing window. The 2-year Treasury at 3.81% is essentially pricing 'one-and-done' for 2026. The 10-year at 4.31% and the 30-year at 4.91% suggest the bond market is increasingly worried about long-run fiscal sustainability — a legitimate concern given the Congressional Budget Office's persistent deficit projections exceeding $2 trillion annually.</w:t>
      </w:r>
    </w:p>
    <w:p>
      <w:pPr>
        <w:spacing w:after="60" w:before="60"/>
        <w:jc w:val="left"/>
      </w:pPr>
      <w:r>
        <w:rPr>
          <w:rFonts w:ascii="Georgia" w:cs="Georgia" w:eastAsia="Georgia" w:hAnsi="Georgia"/>
          <w:b w:val="false"/>
          <w:bCs w:val="false"/>
          <w:color w:val="1A1A1A"/>
          <w:sz w:val="22"/>
          <w:szCs w:val="22"/>
        </w:rPr>
        <w:t xml:space="preserve">The yield curve at 2Y/10Y +50 basis points represents a significant normalization from the prolonged inversion that characterized 2023-2024 and was widely (though imperfectly) flagged as a recession signal. The steepening reflects two forces: short rates declining as the Fed cuts, and long rates rising as term premium returns to the market. This dynamic is historically positive for bank net interest margins but complicates the valuation calculus for long-duration assets like growth equities and real estate investment trusts. FOMC blackout begins Saturday April 26 — markets will trade without Fed speaker guidance for the final stretch before the decision.</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5. ECONOMIC CALENDAR — WEEK OF APRIL 20-24, 2026</w:t>
      </w:r>
    </w:p>
    <w:p>
      <w:pPr>
        <w:spacing w:after="60" w:before="60"/>
        <w:jc w:val="left"/>
      </w:pPr>
      <w:r>
        <w:rPr>
          <w:rFonts w:ascii="Georgia" w:cs="Georgia" w:eastAsia="Georgia" w:hAnsi="Georgia"/>
          <w:b w:val="false"/>
          <w:bCs w:val="false"/>
          <w:color w:val="777777"/>
          <w:sz w:val="19"/>
          <w:szCs w:val="19"/>
        </w:rPr>
        <w:t xml:space="preserve">All times Eastern. Prior figures reflect last release. Consensus from Bloomberg survey.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700"/>
        <w:gridCol w:w="1400"/>
        <w:gridCol w:w="1400"/>
        <w:gridCol w:w="1560"/>
      </w:tblGrid>
      <w:tr>
        <w:tc>
          <w:tcPr>
            <w:tcW w:type="dxa" w:w="9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Day</w:t>
            </w:r>
          </w:p>
        </w:tc>
        <w:tc>
          <w:tcPr>
            <w:tcW w:type="dxa" w:w="24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Indicator</w:t>
            </w:r>
          </w:p>
        </w:tc>
        <w:tc>
          <w:tcPr>
            <w:tcW w:type="dxa" w:w="17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(ET)</w:t>
            </w:r>
          </w:p>
        </w:tc>
        <w:tc>
          <w:tcPr>
            <w:tcW w:type="dxa" w:w="14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w:t>
            </w:r>
          </w:p>
        </w:tc>
        <w:tc>
          <w:tcPr>
            <w:tcW w:type="dxa" w:w="14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Consensus</w:t>
            </w:r>
          </w:p>
        </w:tc>
        <w:tc>
          <w:tcPr>
            <w:tcW w:type="dxa" w:w="156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 It Matters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Mon 4/20</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No major US data releases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Quiet open to busy week</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Tue 4/21</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Existing Home Sales (Mar)</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10:00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4.26M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4.15M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Housing demand vs rates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Tue 4/21</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Leading Economic Index (Mar)</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10:00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-0.2%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6-month recession indicator</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Tue 4/21</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Richmond Fed Mfg Index (Apr)</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10:00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0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Mid-Atlantic factory health</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Wed 4/22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New Home Sales (Mar)</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10:00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676K</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660K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Builders vs buyers signal</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Wed 4/22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S&amp;P Global Flash PMIs (Apr)</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9:45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Mfg 51.9/Svc 54.4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Mfg 51.5/Svc 53.8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Real-time activity snapshot</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Wed 4/22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EIA Crude Oil Inventories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10:30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-2.6M bbls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Supply/demand; oil price driver</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Thu 4/23</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Initial Jobless Claims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8:30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215K</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220K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Labor market health check</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Thu 4/23</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Durable Goods Orders (Mar)</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8:30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6400"/>
                <w:sz w:val="20"/>
                <w:szCs w:val="20"/>
              </w:rPr>
              <w:t xml:space="preserve">+0.5%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Capital investment signal</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Thu 4/23</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Chicago Fed Activity Index</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8:30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B22222"/>
                <w:sz w:val="20"/>
                <w:szCs w:val="20"/>
              </w:rPr>
              <w:t xml:space="preserve">-0.09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Broad national economy</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Fri 4/24</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UofM Consumer Sentiment (Final)</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10:00 AM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57.9 prel.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58.0 est.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Inflation expectations embedded</w:t>
            </w:r>
          </w:p>
        </w:tc>
      </w:tr>
    </w:tbl>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6. EARNINGS WATCH</w:t>
      </w:r>
    </w:p>
    <w:p>
      <w:pPr>
        <w:spacing w:after="60" w:before="60"/>
        <w:jc w:val="left"/>
      </w:pPr>
      <w:r>
        <w:rPr>
          <w:rFonts w:ascii="Georgia" w:cs="Georgia" w:eastAsia="Georgia" w:hAnsi="Georgia"/>
          <w:b w:val="false"/>
          <w:bCs w:val="false"/>
          <w:color w:val="1A1A1A"/>
          <w:sz w:val="22"/>
          <w:szCs w:val="22"/>
        </w:rPr>
        <w:t xml:space="preserve">Q1 2026 earnings season is accelerating rapidly. With financials already largely through the tape, this week shifts focus to industrials, healthcare, technology, and consumer names — a broad cross-section that will provide the market's most comprehensive real-economy read since the Middle East shock disrupted supply chains in March.</w:t>
      </w:r>
    </w:p>
    <w:p>
      <w:pPr>
        <w:spacing w:after="60" w:before="180"/>
      </w:pPr>
      <w:r>
        <w:rPr>
          <w:rFonts w:ascii="Arial" w:cs="Arial" w:eastAsia="Arial" w:hAnsi="Arial"/>
          <w:b/>
          <w:bCs/>
          <w:color w:val="1B3A5C"/>
          <w:sz w:val="24"/>
          <w:szCs w:val="24"/>
        </w:rPr>
        <w:t xml:space="preserve">Tuesday, April 21</w:t>
      </w:r>
    </w:p>
    <w:p>
      <w:pPr>
        <w:spacing w:after="60" w:before="60"/>
        <w:jc w:val="left"/>
      </w:pPr>
      <w:r>
        <w:rPr>
          <w:rFonts w:ascii="Georgia" w:cs="Georgia" w:eastAsia="Georgia" w:hAnsi="Georgia"/>
          <w:b w:val="false"/>
          <w:bCs w:val="false"/>
          <w:color w:val="1A1A1A"/>
          <w:sz w:val="22"/>
          <w:szCs w:val="22"/>
        </w:rPr>
        <w:t xml:space="preserve">UnitedHealth Group (UNH) — Before open. Est. EPS $6.62-$6.67 non-GAAP; revenue $109.74B. Key focus: medical loss ratio trajectory, prior authorization policy impacts, and 2026 full-year guidance revision. Options-implied move: ~5%.</w:t>
      </w:r>
    </w:p>
    <w:p>
      <w:pPr>
        <w:spacing w:after="60" w:before="60"/>
        <w:jc w:val="left"/>
      </w:pPr>
      <w:r>
        <w:rPr>
          <w:rFonts w:ascii="Georgia" w:cs="Georgia" w:eastAsia="Georgia" w:hAnsi="Georgia"/>
          <w:b w:val="false"/>
          <w:bCs w:val="false"/>
          <w:color w:val="1A1A1A"/>
          <w:sz w:val="22"/>
          <w:szCs w:val="22"/>
        </w:rPr>
        <w:t xml:space="preserve">GE Aerospace (GEV) — Before open. Expect record aftermarket revenue commentary. LEAP engine demand from narrowbody aircraft recoveries remains BofA's thesis for a $285 target. Strong international travel demand is the tailwind.</w:t>
      </w:r>
    </w:p>
    <w:p>
      <w:pPr>
        <w:spacing w:after="60" w:before="60"/>
        <w:jc w:val="left"/>
      </w:pPr>
      <w:r>
        <w:rPr>
          <w:rFonts w:ascii="Georgia" w:cs="Georgia" w:eastAsia="Georgia" w:hAnsi="Georgia"/>
          <w:b w:val="false"/>
          <w:bCs w:val="false"/>
          <w:color w:val="1A1A1A"/>
          <w:sz w:val="22"/>
          <w:szCs w:val="22"/>
        </w:rPr>
        <w:t xml:space="preserve">RTX (Raytheon Technologies) — Before open. Defense spending is a beneficiary of Middle East tensions. Watch for Pratt &amp; Whitney engine service revenue update and any defense procurement commentary.</w:t>
      </w:r>
    </w:p>
    <w:p>
      <w:pPr>
        <w:spacing w:after="60" w:before="180"/>
      </w:pPr>
      <w:r>
        <w:rPr>
          <w:rFonts w:ascii="Arial" w:cs="Arial" w:eastAsia="Arial" w:hAnsi="Arial"/>
          <w:b/>
          <w:bCs/>
          <w:color w:val="1B3A5C"/>
          <w:sz w:val="24"/>
          <w:szCs w:val="24"/>
        </w:rPr>
        <w:t xml:space="preserve">Wednesday, April 22</w:t>
      </w:r>
    </w:p>
    <w:p>
      <w:pPr>
        <w:spacing w:after="60" w:before="60"/>
        <w:jc w:val="left"/>
      </w:pPr>
      <w:r>
        <w:rPr>
          <w:rFonts w:ascii="Georgia" w:cs="Georgia" w:eastAsia="Georgia" w:hAnsi="Georgia"/>
          <w:b w:val="false"/>
          <w:bCs w:val="false"/>
          <w:color w:val="1A1A1A"/>
          <w:sz w:val="22"/>
          <w:szCs w:val="22"/>
        </w:rPr>
        <w:t xml:space="preserve">Tesla (TSLA) — After close. Est. EPS $0.33-$0.37 GAAP; revenue $21.4-$22.7B. Delivered 358K vehicles in Q1 vs. 365K consensus. Critical: gross margin guidance, energy storage rebound, Musk management commentary, and robotaxi milestones. Options-implied move: 9-11%. A high-stakes print for the EV sector.</w:t>
      </w:r>
    </w:p>
    <w:p>
      <w:pPr>
        <w:spacing w:after="60" w:before="60"/>
        <w:jc w:val="left"/>
      </w:pPr>
      <w:r>
        <w:rPr>
          <w:rFonts w:ascii="Georgia" w:cs="Georgia" w:eastAsia="Georgia" w:hAnsi="Georgia"/>
          <w:b w:val="false"/>
          <w:bCs w:val="false"/>
          <w:color w:val="1A1A1A"/>
          <w:sz w:val="22"/>
          <w:szCs w:val="22"/>
        </w:rPr>
        <w:t xml:space="preserve">Boeing (BA) — Before open. Barclays downgraded to Equal Weight on delivery ramp concerns. Q1 737 MAX deliveries vs. FAA-constrained production rates will be the headline metric. Cash burn remains a structural concern.</w:t>
      </w:r>
    </w:p>
    <w:p>
      <w:pPr>
        <w:spacing w:after="60" w:before="60"/>
        <w:jc w:val="left"/>
      </w:pPr>
      <w:r>
        <w:rPr>
          <w:rFonts w:ascii="Georgia" w:cs="Georgia" w:eastAsia="Georgia" w:hAnsi="Georgia"/>
          <w:b w:val="false"/>
          <w:bCs w:val="false"/>
          <w:color w:val="1A1A1A"/>
          <w:sz w:val="22"/>
          <w:szCs w:val="22"/>
        </w:rPr>
        <w:t xml:space="preserve">AT&amp;T / IBM — Both report Wednesday. AT&amp;T's fiber net adds and free cash flow conversion are key. IBM's software and consulting revenue mix will test the 'transformation complete' narrative.</w:t>
      </w:r>
    </w:p>
    <w:p>
      <w:pPr>
        <w:spacing w:after="60" w:before="180"/>
      </w:pPr>
      <w:r>
        <w:rPr>
          <w:rFonts w:ascii="Arial" w:cs="Arial" w:eastAsia="Arial" w:hAnsi="Arial"/>
          <w:b/>
          <w:bCs/>
          <w:color w:val="1B3A5C"/>
          <w:sz w:val="24"/>
          <w:szCs w:val="24"/>
        </w:rPr>
        <w:t xml:space="preserve">Thursday, April 23</w:t>
      </w:r>
    </w:p>
    <w:p>
      <w:pPr>
        <w:spacing w:after="60" w:before="60"/>
        <w:jc w:val="left"/>
      </w:pPr>
      <w:r>
        <w:rPr>
          <w:rFonts w:ascii="Georgia" w:cs="Georgia" w:eastAsia="Georgia" w:hAnsi="Georgia"/>
          <w:b w:val="false"/>
          <w:bCs w:val="false"/>
          <w:color w:val="1A1A1A"/>
          <w:sz w:val="22"/>
          <w:szCs w:val="22"/>
        </w:rPr>
        <w:t xml:space="preserve">Alphabet (GOOGL) — After close. The big tech avalanche begins. Expect focus on Google Cloud growth acceleration, AI search monetization, and YouTube advertising. Consensus: ~$2.01 EPS, $89.7B revenue.</w:t>
      </w:r>
    </w:p>
    <w:p>
      <w:pPr>
        <w:spacing w:after="60" w:before="60"/>
        <w:jc w:val="left"/>
      </w:pPr>
      <w:r>
        <w:rPr>
          <w:rFonts w:ascii="Georgia" w:cs="Georgia" w:eastAsia="Georgia" w:hAnsi="Georgia"/>
          <w:b w:val="false"/>
          <w:bCs w:val="false"/>
          <w:color w:val="1A1A1A"/>
          <w:sz w:val="22"/>
          <w:szCs w:val="22"/>
        </w:rPr>
        <w:t xml:space="preserve">Meta Platforms (META) — After close. Advertising revenue resilience despite Iran-related geopolitical uncertainty. Threads user growth, Llama AI commercialization, and Reality Labs losses are secondary watch items.</w:t>
      </w:r>
    </w:p>
    <w:p>
      <w:pPr>
        <w:spacing w:after="60" w:before="60"/>
        <w:jc w:val="left"/>
      </w:pPr>
      <w:r>
        <w:rPr>
          <w:rFonts w:ascii="Georgia" w:cs="Georgia" w:eastAsia="Georgia" w:hAnsi="Georgia"/>
          <w:b w:val="false"/>
          <w:bCs w:val="false"/>
          <w:color w:val="1A1A1A"/>
          <w:sz w:val="22"/>
          <w:szCs w:val="22"/>
        </w:rPr>
        <w:t xml:space="preserve">PepsiCo (PEP) — Before open. Consumer staples bellwether. Pricing power vs. volume elasticity in a high-inflation environment will set the tone for the broader consumer staples sector.</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7. SECTOR SPOTLIGHT</w:t>
      </w:r>
    </w:p>
    <w:p>
      <w:pPr>
        <w:spacing w:after="60" w:before="180"/>
      </w:pPr>
      <w:r>
        <w:rPr>
          <w:rFonts w:ascii="Arial" w:cs="Arial" w:eastAsia="Arial" w:hAnsi="Arial"/>
          <w:b/>
          <w:bCs/>
          <w:color w:val="1B3A5C"/>
          <w:sz w:val="24"/>
          <w:szCs w:val="24"/>
        </w:rPr>
        <w:t xml:space="preserve">Energy — The Whipsaw Sector</w:t>
      </w:r>
    </w:p>
    <w:p>
      <w:pPr>
        <w:spacing w:after="60" w:before="60"/>
        <w:jc w:val="left"/>
      </w:pPr>
      <w:r>
        <w:rPr>
          <w:rFonts w:ascii="Georgia" w:cs="Georgia" w:eastAsia="Georgia" w:hAnsi="Georgia"/>
          <w:b w:val="false"/>
          <w:bCs w:val="false"/>
          <w:color w:val="1A1A1A"/>
          <w:sz w:val="22"/>
          <w:szCs w:val="22"/>
        </w:rPr>
        <w:t xml:space="preserve">No sector better captures the current market's schizophrenia than Energy. Last week, the S&amp;P 500 Energy sector surged as oil plunged — the market interpreting lower crude as an inflation-relief mechanism that would buoy the broader economy and therefore lift all sectors, including energy equities paradoxically via multiple expansion. This week, as crude rebounds, the energy sector faces more conventional tailwinds: higher realized prices improve cash flows and shareholder return programs for integrated majors like ExxonMobil (Citi Buy, $135 target) and Chevron. However, sustained Brent above $95 would reintroduce the inflation risk premium, potentially capping equity multiple expansion in rate-sensitive sectors. The sector remains the market's highest-volatility geopolitical barometer.</w:t>
      </w:r>
    </w:p>
    <w:p>
      <w:pPr>
        <w:spacing w:after="60" w:before="180"/>
      </w:pPr>
      <w:r>
        <w:rPr>
          <w:rFonts w:ascii="Arial" w:cs="Arial" w:eastAsia="Arial" w:hAnsi="Arial"/>
          <w:b/>
          <w:bCs/>
          <w:color w:val="1B3A5C"/>
          <w:sz w:val="24"/>
          <w:szCs w:val="24"/>
        </w:rPr>
        <w:t xml:space="preserve">Healthcare — Earnings-Season Crucible</w:t>
      </w:r>
    </w:p>
    <w:p>
      <w:pPr>
        <w:spacing w:after="60" w:before="60"/>
        <w:jc w:val="left"/>
      </w:pPr>
      <w:r>
        <w:rPr>
          <w:rFonts w:ascii="Georgia" w:cs="Georgia" w:eastAsia="Georgia" w:hAnsi="Georgia"/>
          <w:b w:val="false"/>
          <w:bCs w:val="false"/>
          <w:color w:val="1A1A1A"/>
          <w:sz w:val="22"/>
          <w:szCs w:val="22"/>
        </w:rPr>
        <w:t xml:space="preserve">The healthcare sector enters earnings week as one of 2025's notable underperformers, having lagged the S&amp;P 500 by several percentage points amid regulatory noise around PBMs and managed care. UnitedHealth's Tuesday print is the sector's defining moment. If UNH guides conservatively on MLR and mentions persistent headwinds, expect the entire managed care complex — Humana, CVS Health, Elevance — to reprice lower. The opposite scenario — a clean beat with MLR normalization commentary — could trigger a significant sector rotation into healthcare from momentum-driven technology names. With valuations at multi-year lows relative to the broader market, the risk/reward for a positive surprise is asymmetric.</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8. ANALYST CALLS &amp; UPGRADES/DOWNGRADES (PAST 24 HOURS)</w:t>
      </w:r>
    </w:p>
    <w:p>
      <w:pPr>
        <w:spacing w:after="60" w:before="60"/>
        <w:jc w:val="left"/>
      </w:pPr>
      <w:r>
        <w:rPr>
          <w:rFonts w:ascii="Georgia" w:cs="Georgia" w:eastAsia="Georgia" w:hAnsi="Georgia"/>
          <w:b w:val="false"/>
          <w:bCs w:val="false"/>
          <w:color w:val="777777"/>
          <w:sz w:val="19"/>
          <w:szCs w:val="19"/>
        </w:rPr>
        <w:t xml:space="preserve">Notable analyst actions from Friday's close through Monday's pre-market.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560"/>
        <w:gridCol w:w="3000"/>
      </w:tblGrid>
      <w:tr>
        <w:tc>
          <w:tcPr>
            <w:tcW w:type="dxa" w:w="15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Firm</w:t>
            </w:r>
          </w:p>
        </w:tc>
        <w:tc>
          <w:tcPr>
            <w:tcW w:type="dxa" w:w="15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Stock</w:t>
            </w:r>
          </w:p>
        </w:tc>
        <w:tc>
          <w:tcPr>
            <w:tcW w:type="dxa" w:w="18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156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Target</w:t>
            </w:r>
          </w:p>
        </w:tc>
        <w:tc>
          <w:tcPr>
            <w:tcW w:type="dxa" w:w="3000"/>
            <w:tcBorders>
              <w:top w:val="single" w:color="DDDDDD" w:sz="1"/>
              <w:left w:val="single" w:color="DDDDDD" w:sz="1"/>
              <w:bottom w:val="single" w:color="DDDDDD" w:sz="1"/>
              <w:right w:val="single" w:color="DDDDDD"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Morgan Stanley</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ADBE (Adobe)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Downgrade → Equal Weight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$260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AI competition intensifying; valuation rich vs. growth profile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Goldman Sachs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TSLA (Tesla)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Reiterate Buy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$320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Energy storage upside underappreciated; robotaxi optionality</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JPMorgan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UNH (UnitedHealth)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Overweight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$620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MLR normalization ahead; re-rating catalyst post Q1 print</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Barclays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BA (Boeing)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Overweight → Equal Weight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$195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Delivery ramp risks; macroeconomic order book exposure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BofA</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GE Aerospace (GEV)</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Buy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$285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Record aftermarket demand; LEAP engine cycle in full swing</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Citi</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XOM (ExxonMobil)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Buy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$135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Brent above $90 supports FCF; Guyana ramp-up on track</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Deutsche Bank</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NVDA (Nvidia)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Buy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$1,100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Data center capex cycle intact; supply normalizing</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Wells Fargo</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AMZN (Amazon)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Overweight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$270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AWS reacceleration; advertising beats persist</w:t>
            </w:r>
          </w:p>
        </w:tc>
      </w:tr>
    </w:tbl>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9. STOCKS TO WATCH</w:t>
      </w:r>
    </w:p>
    <w:p>
      <w:pPr>
        <w:spacing w:after="60" w:before="180"/>
      </w:pPr>
      <w:r>
        <w:rPr>
          <w:rFonts w:ascii="Arial" w:cs="Arial" w:eastAsia="Arial" w:hAnsi="Arial"/>
          <w:b/>
          <w:bCs/>
          <w:color w:val="1B3A5C"/>
          <w:sz w:val="24"/>
          <w:szCs w:val="24"/>
        </w:rPr>
        <w:t xml:space="preserve">Tesla (TSLA) — Earnings Catalyst Wednesday</w:t>
      </w:r>
    </w:p>
    <w:p>
      <w:pPr>
        <w:spacing w:after="60" w:before="60"/>
        <w:jc w:val="left"/>
      </w:pPr>
      <w:r>
        <w:rPr>
          <w:rFonts w:ascii="Georgia" w:cs="Georgia" w:eastAsia="Georgia" w:hAnsi="Georgia"/>
          <w:b w:val="false"/>
          <w:bCs w:val="false"/>
          <w:color w:val="1A1A1A"/>
          <w:sz w:val="22"/>
          <w:szCs w:val="22"/>
        </w:rPr>
        <w:t xml:space="preserve">Tesla enters Wednesday's print with a nuanced setup: the delivery miss is known (358K vs. 365K est.), but the options market is pricing a 9-11% swing — unusual asymmetry suggesting the street believes the real surprise will come from margin guidance and forward commentary rather than the backward-looking delivery number. Bears point to continued Musk distraction risk and the energy storage miss. Bulls point to a potential robotaxi announcement or timeline pull-forward. Key technical levels: $240 support, $280 resistance. A clean print above consensus could push toward $300. A miss with weak guidance could retest $200. High-conviction volatility trade; not for the faint-hearted.</w:t>
      </w:r>
    </w:p>
    <w:p>
      <w:pPr>
        <w:spacing w:after="60" w:before="180"/>
      </w:pPr>
      <w:r>
        <w:rPr>
          <w:rFonts w:ascii="Arial" w:cs="Arial" w:eastAsia="Arial" w:hAnsi="Arial"/>
          <w:b/>
          <w:bCs/>
          <w:color w:val="1B3A5C"/>
          <w:sz w:val="24"/>
          <w:szCs w:val="24"/>
        </w:rPr>
        <w:t xml:space="preserve">ExxonMobil (XOM) — Oil's Rebound Beneficiary</w:t>
      </w:r>
    </w:p>
    <w:p>
      <w:pPr>
        <w:spacing w:after="60" w:before="60"/>
        <w:jc w:val="left"/>
      </w:pPr>
      <w:r>
        <w:rPr>
          <w:rFonts w:ascii="Georgia" w:cs="Georgia" w:eastAsia="Georgia" w:hAnsi="Georgia"/>
          <w:b w:val="false"/>
          <w:bCs w:val="false"/>
          <w:color w:val="1A1A1A"/>
          <w:sz w:val="22"/>
          <w:szCs w:val="22"/>
        </w:rPr>
        <w:t xml:space="preserve">With Brent snapping back above $95 Monday morning, XOM is the cleanest expression of the oil-price-rebound thesis. Citi's Buy with a $135 target cites Guyana production ramp-up and a $15 billion-plus annual free cash flow generation capacity at current prices. XOM yields roughly 3.4% and has buyback authorization in place. If Brent sustains above $90, XOM's 2026 EPS estimates are likely to see upward revisions through earnings season. Key watch: Tuesday's Q1 print will reveal actual realized prices and whether Guyana volumes are tracking to plan.</w:t>
      </w:r>
    </w:p>
    <w:p>
      <w:pPr>
        <w:spacing w:after="60" w:before="180"/>
      </w:pPr>
      <w:r>
        <w:rPr>
          <w:rFonts w:ascii="Arial" w:cs="Arial" w:eastAsia="Arial" w:hAnsi="Arial"/>
          <w:b/>
          <w:bCs/>
          <w:color w:val="1B3A5C"/>
          <w:sz w:val="24"/>
          <w:szCs w:val="24"/>
        </w:rPr>
        <w:t xml:space="preserve">UnitedHealth (UNH) — Binary Tuesday Print</w:t>
      </w:r>
    </w:p>
    <w:p>
      <w:pPr>
        <w:spacing w:after="60" w:before="60"/>
        <w:jc w:val="left"/>
      </w:pPr>
      <w:r>
        <w:rPr>
          <w:rFonts w:ascii="Georgia" w:cs="Georgia" w:eastAsia="Georgia" w:hAnsi="Georgia"/>
          <w:b w:val="false"/>
          <w:bCs w:val="false"/>
          <w:color w:val="1A1A1A"/>
          <w:sz w:val="22"/>
          <w:szCs w:val="22"/>
        </w:rPr>
        <w:t xml:space="preserve">Few stocks have more binary event risk this week than UNH. The stock has been a serial disappointment for managed care investors, with prior quarters revealing elevated MLR driven by post-pandemic care utilization normalization. The consensus non-GAAP EPS at $6.62-$6.67 already embeds a year-over-year decline — meaning the beat bar is low but meaningful. JPMorgan's $620 Overweight thesis requires investors to believe that MLR has peaked. If Tuesday's print confirms that narrative, the stock could rally 7-10% in a single session. If it disappoints again, expect a fresh retest of 52-week lows. This is healthcare's make-or-break moment.</w:t>
      </w:r>
    </w:p>
    <w:p>
      <w:pPr>
        <w:spacing w:after="60" w:before="180"/>
      </w:pPr>
      <w:r>
        <w:rPr>
          <w:rFonts w:ascii="Arial" w:cs="Arial" w:eastAsia="Arial" w:hAnsi="Arial"/>
          <w:b/>
          <w:bCs/>
          <w:color w:val="1B3A5C"/>
          <w:sz w:val="24"/>
          <w:szCs w:val="24"/>
        </w:rPr>
        <w:t xml:space="preserve">Adobe (ADBE) — Structural Bear Case Emerging</w:t>
      </w:r>
    </w:p>
    <w:p>
      <w:pPr>
        <w:spacing w:after="60" w:before="60"/>
        <w:jc w:val="left"/>
      </w:pPr>
      <w:r>
        <w:rPr>
          <w:rFonts w:ascii="Georgia" w:cs="Georgia" w:eastAsia="Georgia" w:hAnsi="Georgia"/>
          <w:b w:val="false"/>
          <w:bCs w:val="false"/>
          <w:color w:val="1A1A1A"/>
          <w:sz w:val="22"/>
          <w:szCs w:val="22"/>
        </w:rPr>
        <w:t xml:space="preserve">ADBE's valuation at ~$240 represents a 34% collapse from prior highs, yet bulls argue it's still not cheap at roughly 20x forward earnings given the AI competitive threat. Morgan Stanley's reported downgrade crystallizes a debate that has been building for 18 months: is Adobe a compound-growth software story leveraging its creative moat through AI, or an incumbent being disrupted by free-tier generative AI tools? Firefly's 75% sequential ARR growth is impressive but comes off a small base. The medium-term risk is 'boiling frog' displacement — customers gradually reducing seat counts as AI tools reduce headcount requirements. No near-term catalyst; monitoring for Q2 guidance.</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10. GLOBAL MACRO SNAPSHOT</w:t>
      </w:r>
    </w:p>
    <w:p>
      <w:pPr>
        <w:spacing w:after="60" w:before="60"/>
        <w:jc w:val="left"/>
      </w:pPr>
      <w:r>
        <w:rPr>
          <w:rFonts w:ascii="Georgia" w:cs="Georgia" w:eastAsia="Georgia" w:hAnsi="Georgia"/>
          <w:b w:val="false"/>
          <w:bCs w:val="false"/>
          <w:color w:val="1A1A1A"/>
          <w:sz w:val="22"/>
          <w:szCs w:val="22"/>
        </w:rPr>
        <w:t xml:space="preserve">China: PBOC policy support has prevented a hard landing but hasn't catalyzed the recovery that global commodity markets are hoping for. Property sector stress persists. GDP tracking ~4.3% for 2026 vs. 5% official target. Copper prices at ~$4.65/lb reflect cautious optimism — not exuberance. Watch for April PMI data and any Politburo policy signaling around fiscal stimulus.</w:t>
      </w:r>
    </w:p>
    <w:p>
      <w:pPr>
        <w:spacing w:after="60" w:before="60"/>
        <w:jc w:val="left"/>
      </w:pPr>
      <w:r>
        <w:rPr>
          <w:rFonts w:ascii="Georgia" w:cs="Georgia" w:eastAsia="Georgia" w:hAnsi="Georgia"/>
          <w:b w:val="false"/>
          <w:bCs w:val="false"/>
          <w:color w:val="1A1A1A"/>
          <w:sz w:val="22"/>
          <w:szCs w:val="22"/>
        </w:rPr>
        <w:t xml:space="preserve">Europe: The FTSE 100's Monday outperformance (+0.73%) is driven by the energy-heavy composition of the index and currency dynamics (a weaker pound lifts dollar-denominated commodity revenues). European growth remains fragile — Germany, the continent's engine, faces export headwinds from both US tariff uncertainty and slowing Chinese demand. ECB has been cutting ahead of the Fed; EUR/USD has retreated from 1.20+ to ~1.15, reflecting the divergence in growth and rate trajectories.</w:t>
      </w:r>
    </w:p>
    <w:p>
      <w:pPr>
        <w:spacing w:after="60" w:before="60"/>
        <w:jc w:val="left"/>
      </w:pPr>
      <w:r>
        <w:rPr>
          <w:rFonts w:ascii="Georgia" w:cs="Georgia" w:eastAsia="Georgia" w:hAnsi="Georgia"/>
          <w:b w:val="false"/>
          <w:bCs w:val="false"/>
          <w:color w:val="1A1A1A"/>
          <w:sz w:val="22"/>
          <w:szCs w:val="22"/>
        </w:rPr>
        <w:t xml:space="preserve">Emerging Markets: The Strait of Hormuz reopening has provided relief for oil-importing EMs like India and Turkey, whose current accounts were under severe pressure with Brent above $100. India's equity market has been one of 2026's outperformers on the back of domestic demand resilience. Brazil faces commodity crosscurrents — lower oil hurts Petrobras, but iron ore prices have held up on China supply-demand dynamics. South Korea (Kospi -0.70% Monday) reflects semiconductor supply chain sensitivity and export exposure to China.</w:t>
      </w:r>
    </w:p>
    <w:p>
      <w:pPr>
        <w:spacing w:after="60" w:before="60"/>
        <w:jc w:val="left"/>
      </w:pPr>
      <w:r>
        <w:rPr>
          <w:rFonts w:ascii="Georgia" w:cs="Georgia" w:eastAsia="Georgia" w:hAnsi="Georgia"/>
          <w:b w:val="false"/>
          <w:bCs w:val="false"/>
          <w:color w:val="1A1A1A"/>
          <w:sz w:val="22"/>
          <w:szCs w:val="22"/>
        </w:rPr>
        <w:t xml:space="preserve">Gold at $4,878/oz (record) is the clearest signal of the macro unease underpinning the surface-level equity rally. Central bank buying — led by China, India, and Turkey — has been structural and non-cyclical. Gold's 25%+ YTD gain even as equities have recovered is unusual and historically signals that institutional investors are running meaningful tail-risk hedges alongside their equity positions.</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11. WEEK AHEAD PREVIEW</w:t>
      </w:r>
    </w:p>
    <w:p>
      <w:pPr>
        <w:spacing w:after="60" w:before="60"/>
        <w:jc w:val="left"/>
      </w:pPr>
      <w:r>
        <w:rPr>
          <w:rFonts w:ascii="Georgia" w:cs="Georgia" w:eastAsia="Georgia" w:hAnsi="Georgia"/>
          <w:b w:val="false"/>
          <w:bCs w:val="false"/>
          <w:color w:val="1A1A1A"/>
          <w:sz w:val="22"/>
          <w:szCs w:val="22"/>
        </w:rPr>
        <w:t xml:space="preserve">Monday 4/20: Light data; markets focused on Iran ceasefire durability and oil's direction. Pre-earnings positioning for UNH and Tesla.</w:t>
      </w:r>
    </w:p>
    <w:p>
      <w:pPr>
        <w:spacing w:after="60" w:before="60"/>
        <w:jc w:val="left"/>
      </w:pPr>
      <w:r>
        <w:rPr>
          <w:rFonts w:ascii="Georgia" w:cs="Georgia" w:eastAsia="Georgia" w:hAnsi="Georgia"/>
          <w:b w:val="false"/>
          <w:bCs w:val="false"/>
          <w:color w:val="1A1A1A"/>
          <w:sz w:val="22"/>
          <w:szCs w:val="22"/>
        </w:rPr>
        <w:t xml:space="preserve">Tuesday 4/21: UnitedHealth, GE Aerospace, and RTX all report pre-market. Existing Home Sales and Leading Economic Index at 10am. Healthcare and industrials sectors set their Q1 tone.</w:t>
      </w:r>
    </w:p>
    <w:p>
      <w:pPr>
        <w:spacing w:after="60" w:before="60"/>
        <w:jc w:val="left"/>
      </w:pPr>
      <w:r>
        <w:rPr>
          <w:rFonts w:ascii="Georgia" w:cs="Georgia" w:eastAsia="Georgia" w:hAnsi="Georgia"/>
          <w:b w:val="false"/>
          <w:bCs w:val="false"/>
          <w:color w:val="1A1A1A"/>
          <w:sz w:val="22"/>
          <w:szCs w:val="22"/>
        </w:rPr>
        <w:t xml:space="preserve">Wednesday 4/22: Tesla after close — the week's marquee event. Boeing and AT&amp;T before open. New Home Sales and Flash PMIs in the morning. EIA oil inventories at 10:30am — critical given oil's Monday rebound.</w:t>
      </w:r>
    </w:p>
    <w:p>
      <w:pPr>
        <w:spacing w:after="60" w:before="60"/>
        <w:jc w:val="left"/>
      </w:pPr>
      <w:r>
        <w:rPr>
          <w:rFonts w:ascii="Georgia" w:cs="Georgia" w:eastAsia="Georgia" w:hAnsi="Georgia"/>
          <w:b w:val="false"/>
          <w:bCs w:val="false"/>
          <w:color w:val="1A1A1A"/>
          <w:sz w:val="22"/>
          <w:szCs w:val="22"/>
        </w:rPr>
        <w:t xml:space="preserve">Thursday 4/23: Alphabet and Meta after close — Big Tech earnings begin in earnest. PepsiCo, Merck, Southwest, and Union Pacific before open. Durable Goods Orders and Jobless Claims in the morning.</w:t>
      </w:r>
    </w:p>
    <w:p>
      <w:pPr>
        <w:spacing w:after="60" w:before="60"/>
        <w:jc w:val="left"/>
      </w:pPr>
      <w:r>
        <w:rPr>
          <w:rFonts w:ascii="Georgia" w:cs="Georgia" w:eastAsia="Georgia" w:hAnsi="Georgia"/>
          <w:b w:val="false"/>
          <w:bCs w:val="false"/>
          <w:color w:val="1A1A1A"/>
          <w:sz w:val="22"/>
          <w:szCs w:val="22"/>
        </w:rPr>
        <w:t xml:space="preserve">Friday 4/24: Final University of Michigan Consumer Sentiment. Markets will be digesting Alphabet/Meta prints from Thursday night and setting up for the following week's Microsoft, Amazon, and Apple earnings tsunami.</w:t>
      </w:r>
    </w:p>
    <w:p>
      <w:pPr>
        <w:spacing w:after="60" w:before="60"/>
        <w:jc w:val="left"/>
      </w:pPr>
      <w:r>
        <w:rPr>
          <w:rFonts w:ascii="Georgia" w:cs="Georgia" w:eastAsia="Georgia" w:hAnsi="Georgia"/>
          <w:b w:val="false"/>
          <w:bCs w:val="false"/>
          <w:color w:val="1A1A1A"/>
          <w:sz w:val="22"/>
          <w:szCs w:val="22"/>
        </w:rPr>
        <w:t xml:space="preserve">Saturday 4/26: FOMC blackout begins. The Fed goes quiet until after the April 29-30 meeting. This removes a potential source of market communication and puts all attention back on earnings and data.</w:t>
      </w:r>
    </w:p>
    <w:p>
      <w:pPr>
        <w:spacing w:after="60" w:before="60"/>
        <w:jc w:val="left"/>
      </w:pPr>
      <w:r>
        <w:rPr>
          <w:rFonts w:ascii="Georgia" w:cs="Georgia" w:eastAsia="Georgia" w:hAnsi="Georgia"/>
          <w:b w:val="false"/>
          <w:bCs w:val="false"/>
          <w:color w:val="1A1A1A"/>
          <w:sz w:val="22"/>
          <w:szCs w:val="22"/>
        </w:rPr>
        <w:t xml:space="preserve">Key risk: A single geopolitical headline — particularly around Iran ceasefire fragility — could override the entire earnings narrative. Oil above $100/bbl on a sustained basis is the market's most feared scenario: stagflationary, restrictive for the Fed, and negative for corporate margins simultaneously.</w:t>
      </w:r>
    </w:p>
    <w:p>
      <w:pPr>
        <w:pBdr>
          <w:bottom w:val="single" w:color="DDDDDD" w:sz="2" w:space="1"/>
        </w:pBdr>
        <w:spacing w:after="120" w:before="120"/>
      </w:pPr>
      <w:r>
        <w:t xml:space="preserve"/>
      </w:r>
    </w:p>
    <w:p>
      <w:pPr>
        <w:pBdr>
          <w:bottom w:val="single" w:color="B8860B" w:sz="6" w:space="4"/>
        </w:pBdr>
        <w:spacing w:after="100" w:before="280"/>
      </w:pPr>
      <w:r>
        <w:rPr>
          <w:rFonts w:ascii="Arial" w:cs="Arial" w:eastAsia="Arial" w:hAnsi="Arial"/>
          <w:b/>
          <w:bCs/>
          <w:color w:val="1B3A5C"/>
          <w:sz w:val="26"/>
          <w:szCs w:val="26"/>
        </w:rPr>
        <w:t xml:space="preserve">12. CLOSING THOUGHT</w:t>
      </w:r>
    </w:p>
    <w:p>
      <w:pPr>
        <w:pBdr>
          <w:top w:val="single" w:color="1B3A5C" w:sz="4" w:space="4"/>
          <w:bottom w:val="single" w:color="1B3A5C" w:sz="4" w:space="4"/>
          <w:left w:val="single" w:color="B8860B" w:sz="4" w:space="4"/>
          <w:right w:val="single" w:color="DDDDDD" w:sz="1" w:space="1"/>
        </w:pBdr>
        <w:shd w:fill="EAF0F6" w:val="clear"/>
        <w:spacing w:after="80" w:before="80"/>
      </w:pPr>
      <w:r>
        <w:t xml:space="preserve"/>
      </w:r>
    </w:p>
    <w:p>
      <w:pPr>
        <w:shd w:fill="EAF0F6" w:val="clear"/>
        <w:spacing w:after="60" w:before="60"/>
      </w:pPr>
      <w:r>
        <w:rPr>
          <w:rFonts w:ascii="Georgia" w:cs="Georgia" w:eastAsia="Georgia" w:hAnsi="Georgia"/>
          <w:b w:val="false"/>
          <w:bCs w:val="false"/>
          <w:color w:val="1B3A5C"/>
          <w:sz w:val="22"/>
          <w:szCs w:val="22"/>
        </w:rPr>
        <w:t xml:space="preserve">The market's most dangerous trade right now may be complacency. After a week that produced near-5% S&amp;P gains on Middle East relief, investors are tempted to chase the breakout and declare the geopolitical storm over. History counsels differently. Every major ceasefire in modern oil-market history has produced a sharp commodity decline followed by a partial reversal as implementation realities emerged. The market priced the best case scenario last week — a clean, durable Strait reopening. Monday's crude rebound suggests the world is messier than that.</w:t>
      </w:r>
    </w:p>
    <w:p>
      <w:pPr>
        <w:shd w:fill="EAF0F6" w:val="clear"/>
        <w:spacing w:after="100" w:before="60"/>
      </w:pPr>
      <w:r>
        <w:rPr>
          <w:rFonts w:ascii="Georgia" w:cs="Georgia" w:eastAsia="Georgia" w:hAnsi="Georgia"/>
          <w:b w:val="false"/>
          <w:bCs w:val="false"/>
          <w:color w:val="1B3A5C"/>
          <w:sz w:val="22"/>
          <w:szCs w:val="22"/>
        </w:rPr>
        <w:t xml:space="preserve">The more interesting question is whether Gold's relentless record-setting — $4,878 and climbing — is the market's 'tell'. Equities celebrating and gold surging simultaneously is an unusual combination that typically resolves in one of two ways: either equities were right and gold corrects, or gold was right and equities have more pain ahead. With the Fed on hold, oil uncertain, and Q1 earnings carrying the weight of justifying fresh all-time-high valuations, this week's results will do more than just set sector narratives. They may determine which asset class was telling the truth.</w:t>
      </w:r>
    </w:p>
    <w:p>
      <w:pPr>
        <w:spacing w:after="160" w:before="60"/>
        <w:jc w:val="right"/>
      </w:pPr>
      <w:r>
        <w:rPr>
          <w:rFonts w:ascii="Arial" w:cs="Arial" w:eastAsia="Arial" w:hAnsi="Arial"/>
          <w:b/>
          <w:bCs/>
          <w:color w:val="B8860B"/>
          <w:sz w:val="20"/>
          <w:szCs w:val="20"/>
        </w:rPr>
        <w:t xml:space="preserve">— The Morning Brief  |  April 20,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For James Flanagan  |  Daily Financial Brief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5C" w:val="clear"/>
      <w:spacing w:after="0" w:before="0"/>
    </w:pPr>
    <w:r>
      <w:rPr>
        <w:rFonts w:ascii="Arial" w:cs="Arial" w:eastAsia="Arial" w:hAnsi="Arial"/>
        <w:b/>
        <w:bCs/>
        <w:color w:val="FFFFFF"/>
        <w:sz w:val="28"/>
        <w:szCs w:val="28"/>
      </w:rPr>
      <w:t xml:space="preserve">  📊  DAILY FINANCIAL BRIEF</w:t>
    </w:r>
    <w:r>
      <w:rPr>
        <w:rFonts w:ascii="Arial" w:cs="Arial" w:eastAsia="Arial" w:hAnsi="Arial"/>
        <w:color w:val="AACCEE"/>
        <w:sz w:val="20"/>
        <w:szCs w:val="20"/>
      </w:rPr>
      <w:t xml:space="preserve">     |     Monday, April 20, 2026     |     Morning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2026-04-20T16:50:14.883Z</dcterms:created>
  <dcterms:modified xsi:type="dcterms:W3CDTF">2026-04-20T16:50:14.884Z</dcterms:modified>
</cp:coreProperties>
</file>

<file path=docProps/custom.xml><?xml version="1.0" encoding="utf-8"?>
<Properties xmlns="http://schemas.openxmlformats.org/officeDocument/2006/custom-properties" xmlns:vt="http://schemas.openxmlformats.org/officeDocument/2006/docPropsVTypes"/>
</file>