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5E" w:val="clear"/>
        <w:spacing w:after="0" w:before="0"/>
        <w:jc w:val="center"/>
      </w:pPr>
      <w:r>
        <w:rPr>
          <w:rFonts w:ascii="Arial" w:cs="Arial" w:eastAsia="Arial" w:hAnsi="Arial"/>
          <w:b/>
          <w:bCs/>
          <w:color w:val="FFFFFF"/>
          <w:sz w:val="42"/>
          <w:szCs w:val="42"/>
        </w:rPr>
        <w:t xml:space="preserve">  DAILY FINANCIAL BRIEF  </w:t>
      </w:r>
    </w:p>
    <w:p>
      <w:pPr>
        <w:shd w:fill="C9A84C" w:val="clear"/>
        <w:spacing w:after="40" w:before="0"/>
        <w:jc w:val="center"/>
      </w:pPr>
      <w:r>
        <w:rPr>
          <w:rFonts w:ascii="Arial" w:cs="Arial" w:eastAsia="Arial" w:hAnsi="Arial"/>
          <w:b/>
          <w:bCs/>
          <w:color w:val="FFFFFF"/>
          <w:sz w:val="22"/>
          <w:szCs w:val="22"/>
        </w:rPr>
        <w:t xml:space="preserve">  Tuesday, April 21, 2026  </w:t>
      </w:r>
    </w:p>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1. THE MORNING SETUP</w:t>
      </w:r>
    </w:p>
    <w:p>
      <w:pPr>
        <w:spacing w:after="80" w:before="80"/>
        <w:jc w:val="both"/>
      </w:pPr>
      <w:r>
        <w:rPr>
          <w:rFonts w:ascii="Arial" w:cs="Arial" w:eastAsia="Arial" w:hAnsi="Arial"/>
          <w:b w:val="false"/>
          <w:bCs w:val="false"/>
          <w:i w:val="false"/>
          <w:iCs w:val="false"/>
          <w:color w:val="444444"/>
          <w:sz w:val="22"/>
          <w:szCs w:val="22"/>
        </w:rPr>
        <w:t xml:space="preserve">Markets enter Tuesday with a 24-hour geopolitical clock ticking down. The fragile two-week US-Iran ceasefire—brokered by Pakistan on April 8 and barely holding—expires tomorrow, leaving traders to price the probability of a return to open hostilities in the Strait of Hormuz. That narrow chokepoint carries roughly one-fifth of global oil supply. Crude oil rallied to $113/barrel in March after Iran closed the Strait following Operation Epic Fury, only to retreat to $86 on ceasefire optimism. Now, with formal peace talks stalled over the duration of any uranium enrichment freeze—Washington wants 20 years, Tehran insists on five—the market's sanguine read of a quick resolution is being tested.</w:t>
      </w:r>
    </w:p>
    <w:p>
      <w:pPr>
        <w:spacing w:after="80" w:before="80"/>
        <w:jc w:val="both"/>
      </w:pPr>
      <w:r>
        <w:rPr>
          <w:rFonts w:ascii="Arial" w:cs="Arial" w:eastAsia="Arial" w:hAnsi="Arial"/>
          <w:b w:val="false"/>
          <w:bCs w:val="false"/>
          <w:i w:val="false"/>
          <w:iCs w:val="false"/>
          <w:color w:val="444444"/>
          <w:sz w:val="22"/>
          <w:szCs w:val="22"/>
        </w:rPr>
        <w:t xml:space="preserve">Into this backdrop come two headline-making events. Apple announced Monday evening that Tim Cook—who transformed the company into a $3 trillion consumer juggernaut over 15 years—will step down as CEO on September 1, handing the reins to John Ternus, the company's hardware engineering chief. And at 10 a.m. ET, Kevin Warsh arrives on Capitol Hill for his Senate Banking Committee confirmation hearing as Donald Trump's nominee to chair the Federal Reserve. His testimony arrives as March CPI accelerated to 3.3% year-over-year, retail sales surprised sharply to the upside, and markets have effectively priced out any 2026 rate cuts. The question investors want answered: will Warsh be Trump's "sock puppet" on rates, or an independent steward of price stability?</w:t>
      </w:r>
    </w:p>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2. MARKETS AT A GLANCE</w:t>
      </w:r>
    </w:p>
    <w:p>
      <w:pPr>
        <w:spacing w:after="40" w:before="160"/>
      </w:pPr>
      <w:r>
        <w:rPr>
          <w:rFonts w:ascii="Arial" w:cs="Arial" w:eastAsia="Arial" w:hAnsi="Arial"/>
          <w:b/>
          <w:bCs/>
          <w:caps/>
          <w:color w:val="C9A84C"/>
          <w:sz w:val="20"/>
          <w:szCs w:val="20"/>
        </w:rPr>
        <w:t xml:space="preserve">US EQUITIES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left"/>
            </w:pPr>
            <w:r>
              <w:rPr>
                <w:rFonts w:ascii="Arial" w:cs="Arial" w:eastAsia="Arial" w:hAnsi="Arial"/>
                <w:b/>
                <w:bCs/>
                <w:color w:val="FFFFFF"/>
                <w:sz w:val="18"/>
                <w:szCs w:val="18"/>
              </w:rPr>
              <w:t xml:space="preserve">INDEX / INSTRUMENT</w:t>
            </w:r>
          </w:p>
        </w:tc>
        <w:tc>
          <w:tcPr>
            <w:tcW w:type="dxa" w:w="308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LEVEL</w:t>
            </w:r>
          </w:p>
        </w:tc>
        <w:tc>
          <w:tcPr>
            <w:tcW w:type="dxa" w:w="308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1-DAY CHG</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S&amp;P 500 (Monday Close)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7,109.14</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C0392B"/>
                <w:sz w:val="19"/>
                <w:szCs w:val="19"/>
              </w:rPr>
              <w:t xml:space="preserve">-0.24%</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S&amp;P 500 Futures (Tue AM)</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~7,136.50</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1A7A3A"/>
                <w:sz w:val="19"/>
                <w:szCs w:val="19"/>
              </w:rPr>
              <w:t xml:space="preserve">+0.38%</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Nasdaq Composite (Mon Close)</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24,404.39</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C0392B"/>
                <w:sz w:val="19"/>
                <w:szCs w:val="19"/>
              </w:rPr>
              <w:t xml:space="preserve">-0.26%</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Nasdaq Futures (Tue AM)</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~24,479</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1A7A3A"/>
                <w:sz w:val="19"/>
                <w:szCs w:val="19"/>
              </w:rPr>
              <w:t xml:space="preserve">+0.31%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Dow Jones (Tue AM)</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7A3A"/>
                <w:sz w:val="19"/>
                <w:szCs w:val="19"/>
              </w:rPr>
              <w:t xml:space="preserve">+270 pts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7A3A"/>
                <w:sz w:val="19"/>
                <w:szCs w:val="19"/>
              </w:rPr>
              <w:t xml:space="preserve">+0.50%</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Russell 2000 (Tue AM)</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1A7A3A"/>
                <w:sz w:val="19"/>
                <w:szCs w:val="19"/>
              </w:rPr>
              <w:t xml:space="preserve">+0.40%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VIX (Fear Index)</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18.87</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7A3A"/>
                <w:sz w:val="19"/>
                <w:szCs w:val="19"/>
              </w:rPr>
              <w:t xml:space="preserve">+7.95%</w:t>
            </w:r>
          </w:p>
        </w:tc>
      </w:tr>
    </w:tbl>
    <w:p>
      <w:pPr>
        <w:spacing w:after="60" w:before="60"/>
      </w:pPr>
      <w:r>
        <w:t xml:space="preserve"/>
      </w:r>
    </w:p>
    <w:p>
      <w:pPr>
        <w:spacing w:after="40" w:before="160"/>
      </w:pPr>
      <w:r>
        <w:rPr>
          <w:rFonts w:ascii="Arial" w:cs="Arial" w:eastAsia="Arial" w:hAnsi="Arial"/>
          <w:b/>
          <w:bCs/>
          <w:caps/>
          <w:color w:val="C9A84C"/>
          <w:sz w:val="20"/>
          <w:szCs w:val="20"/>
        </w:rPr>
        <w:t xml:space="preserve">ASIA-PACIFIC (TUESDAY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left"/>
            </w:pPr>
            <w:r>
              <w:rPr>
                <w:rFonts w:ascii="Arial" w:cs="Arial" w:eastAsia="Arial" w:hAnsi="Arial"/>
                <w:b/>
                <w:bCs/>
                <w:color w:val="FFFFFF"/>
                <w:sz w:val="18"/>
                <w:szCs w:val="18"/>
              </w:rPr>
              <w:t xml:space="preserve">INDEX</w:t>
            </w:r>
          </w:p>
        </w:tc>
        <w:tc>
          <w:tcPr>
            <w:tcW w:type="dxa" w:w="616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MOVE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Kospi (South Korea) — Record High</w:t>
            </w:r>
          </w:p>
        </w:tc>
        <w:tc>
          <w:tcPr>
            <w:tcW w:type="dxa" w:w="6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7A3A"/>
                <w:sz w:val="19"/>
                <w:szCs w:val="19"/>
              </w:rPr>
              <w:t xml:space="preserve">+2.72% → 6,388.47</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Nikkei 225 (Japan)</w:t>
            </w:r>
          </w:p>
        </w:tc>
        <w:tc>
          <w:tcPr>
            <w:tcW w:type="dxa" w:w="61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1A7A3A"/>
                <w:sz w:val="19"/>
                <w:szCs w:val="19"/>
              </w:rPr>
              <w:t xml:space="preserve">+0.88%</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Topix (Japan)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7A3A"/>
                <w:sz w:val="19"/>
                <w:szCs w:val="19"/>
              </w:rPr>
              <w:t xml:space="preserve">+0.63%</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Hang Seng (Hong Kong)</w:t>
            </w:r>
          </w:p>
        </w:tc>
        <w:tc>
          <w:tcPr>
            <w:tcW w:type="dxa" w:w="61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1A7A3A"/>
                <w:sz w:val="19"/>
                <w:szCs w:val="19"/>
              </w:rPr>
              <w:t xml:space="preserve">+0.22%</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CSI 300 (Mainland China)</w:t>
            </w:r>
          </w:p>
        </w:tc>
        <w:tc>
          <w:tcPr>
            <w:tcW w:type="dxa" w:w="6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marginally lower</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ASX 200 (Australia)</w:t>
            </w:r>
          </w:p>
        </w:tc>
        <w:tc>
          <w:tcPr>
            <w:tcW w:type="dxa" w:w="61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flat</w:t>
            </w:r>
          </w:p>
        </w:tc>
      </w:tr>
    </w:tbl>
    <w:p>
      <w:pPr>
        <w:spacing w:after="60" w:before="60"/>
      </w:pPr>
      <w:r>
        <w:t xml:space="preserve"/>
      </w:r>
    </w:p>
    <w:p>
      <w:pPr>
        <w:spacing w:after="40" w:before="160"/>
      </w:pPr>
      <w:r>
        <w:rPr>
          <w:rFonts w:ascii="Arial" w:cs="Arial" w:eastAsia="Arial" w:hAnsi="Arial"/>
          <w:b/>
          <w:bCs/>
          <w:caps/>
          <w:color w:val="C9A84C"/>
          <w:sz w:val="20"/>
          <w:szCs w:val="20"/>
        </w:rPr>
        <w:t xml:space="preserve">MONDAY S&amp;P 500 SECTOR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left"/>
            </w:pPr>
            <w:r>
              <w:rPr>
                <w:rFonts w:ascii="Arial" w:cs="Arial" w:eastAsia="Arial" w:hAnsi="Arial"/>
                <w:b/>
                <w:bCs/>
                <w:color w:val="FFFFFF"/>
                <w:sz w:val="18"/>
                <w:szCs w:val="18"/>
              </w:rPr>
              <w:t xml:space="preserve">SECTOR</w:t>
            </w:r>
          </w:p>
        </w:tc>
        <w:tc>
          <w:tcPr>
            <w:tcW w:type="dxa" w:w="616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Materials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7A3A"/>
                <w:sz w:val="19"/>
                <w:szCs w:val="19"/>
              </w:rPr>
              <w:t xml:space="preserve">+0.57%</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Financials</w:t>
            </w:r>
          </w:p>
        </w:tc>
        <w:tc>
          <w:tcPr>
            <w:tcW w:type="dxa" w:w="61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1A7A3A"/>
                <w:sz w:val="19"/>
                <w:szCs w:val="19"/>
              </w:rPr>
              <w:t xml:space="preserve">+0.34%</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Real Estate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1A7A3A"/>
                <w:sz w:val="19"/>
                <w:szCs w:val="19"/>
              </w:rPr>
              <w:t xml:space="preserve">+0.27%</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Communication Services</w:t>
            </w:r>
          </w:p>
        </w:tc>
        <w:tc>
          <w:tcPr>
            <w:tcW w:type="dxa" w:w="61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C0392B"/>
                <w:sz w:val="19"/>
                <w:szCs w:val="19"/>
              </w:rPr>
              <w:t xml:space="preserve">-1.41%</w:t>
            </w:r>
          </w:p>
        </w:tc>
      </w:tr>
    </w:tbl>
    <w:p>
      <w:pPr>
        <w:spacing w:after="60" w:before="60"/>
      </w:pPr>
      <w:r>
        <w:t xml:space="preserve"/>
      </w:r>
    </w:p>
    <w:p>
      <w:pPr>
        <w:spacing w:after="40" w:before="160"/>
      </w:pPr>
      <w:r>
        <w:rPr>
          <w:rFonts w:ascii="Arial" w:cs="Arial" w:eastAsia="Arial" w:hAnsi="Arial"/>
          <w:b/>
          <w:bCs/>
          <w:caps/>
          <w:color w:val="C9A84C"/>
          <w:sz w:val="20"/>
          <w:szCs w:val="20"/>
        </w:rPr>
        <w:t xml:space="preserve">FIXED INCOME &amp; 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left"/>
            </w:pPr>
            <w:r>
              <w:rPr>
                <w:rFonts w:ascii="Arial" w:cs="Arial" w:eastAsia="Arial" w:hAnsi="Arial"/>
                <w:b/>
                <w:bCs/>
                <w:color w:val="FFFFFF"/>
                <w:sz w:val="18"/>
                <w:szCs w:val="18"/>
              </w:rPr>
              <w:t xml:space="preserve">INSTRUMENT</w:t>
            </w:r>
          </w:p>
        </w:tc>
        <w:tc>
          <w:tcPr>
            <w:tcW w:type="dxa" w:w="308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LEVEL</w:t>
            </w:r>
          </w:p>
        </w:tc>
        <w:tc>
          <w:tcPr>
            <w:tcW w:type="dxa" w:w="308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NOTE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10Y US Treasury</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~4.26%</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Recent range: 4.23–4.48%</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2Y US Treasury</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est. ~4.10%</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Curve near flat/slight inv.</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DXY (Dollar Index)</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97.96</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Near 3-yr low on geopolitics</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VIX</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18.87</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1A7A3A"/>
                <w:sz w:val="19"/>
                <w:szCs w:val="19"/>
              </w:rPr>
              <w:t xml:space="preserve">+7.95% on day</w:t>
            </w:r>
          </w:p>
        </w:tc>
      </w:tr>
    </w:tbl>
    <w:p>
      <w:pPr>
        <w:spacing w:after="60" w:before="60"/>
      </w:pPr>
      <w:r>
        <w:t xml:space="preserve"/>
      </w:r>
    </w:p>
    <w:p>
      <w:pPr>
        <w:spacing w:after="40" w:before="160"/>
      </w:pPr>
      <w:r>
        <w:rPr>
          <w:rFonts w:ascii="Arial" w:cs="Arial" w:eastAsia="Arial" w:hAnsi="Arial"/>
          <w:b/>
          <w:bCs/>
          <w:caps/>
          <w:color w:val="C9A84C"/>
          <w:sz w:val="20"/>
          <w:szCs w:val="20"/>
        </w:rPr>
        <w:t xml:space="preserve">COMMODITIES &amp; 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left"/>
            </w:pPr>
            <w:r>
              <w:rPr>
                <w:rFonts w:ascii="Arial" w:cs="Arial" w:eastAsia="Arial" w:hAnsi="Arial"/>
                <w:b/>
                <w:bCs/>
                <w:color w:val="FFFFFF"/>
                <w:sz w:val="18"/>
                <w:szCs w:val="18"/>
              </w:rPr>
              <w:t xml:space="preserve">ASSET</w:t>
            </w:r>
          </w:p>
        </w:tc>
        <w:tc>
          <w:tcPr>
            <w:tcW w:type="dxa" w:w="308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PRICE</w:t>
            </w:r>
          </w:p>
        </w:tc>
        <w:tc>
          <w:tcPr>
            <w:tcW w:type="dxa" w:w="3080"/>
            <w:tcBorders>
              <w:top w:val="single" w:color="CCCCCC" w:sz="1"/>
              <w:left w:val="single" w:color="CCCCCC" w:sz="1"/>
              <w:bottom w:val="single" w:color="CCCCCC" w:sz="1"/>
              <w:right w:val="single" w:color="CCCCCC" w:sz="1"/>
            </w:tcBorders>
            <w:shd w:fill="1B2A5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WTI Crude Oil</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~$86.27/bbl</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Down sharply from $113 March peak</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Brent Crude</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~$88–89/bbl</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Est. ~$2 premium to WTI</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Gold (Spot)</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$4,782/oz</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C0392B"/>
                <w:sz w:val="19"/>
                <w:szCs w:val="19"/>
              </w:rPr>
              <w:t xml:space="preserve">-0.81% day; +43.3% YoY</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Bitcoin (BTC)</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~$85,000–88,000</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Steady amid geopolitical risk</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left"/>
            </w:pPr>
            <w:r>
              <w:rPr>
                <w:rFonts w:ascii="Arial" w:cs="Arial" w:eastAsia="Arial" w:hAnsi="Arial"/>
                <w:color w:val="444444"/>
                <w:sz w:val="19"/>
                <w:szCs w:val="19"/>
              </w:rPr>
              <w:t xml:space="preserve">Ethereum (ETH)</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~$2,200–2,400</w:t>
            </w:r>
          </w:p>
        </w:tc>
        <w:tc>
          <w:tcPr>
            <w:tcW w:type="dxa" w:w="30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jc w:val="center"/>
            </w:pPr>
            <w:r>
              <w:rPr>
                <w:rFonts w:ascii="Arial" w:cs="Arial" w:eastAsia="Arial" w:hAnsi="Arial"/>
                <w:color w:val="444444"/>
                <w:sz w:val="19"/>
                <w:szCs w:val="19"/>
              </w:rPr>
              <w:t xml:space="preserve">Following BTC tone</w:t>
            </w:r>
          </w:p>
        </w:tc>
      </w:tr>
      <w:tr>
        <w:tc>
          <w:tcPr>
            <w:tcW w:type="dxa" w:w="3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left"/>
            </w:pPr>
            <w:r>
              <w:rPr>
                <w:rFonts w:ascii="Arial" w:cs="Arial" w:eastAsia="Arial" w:hAnsi="Arial"/>
                <w:color w:val="444444"/>
                <w:sz w:val="19"/>
                <w:szCs w:val="19"/>
              </w:rPr>
              <w:t xml:space="preserve">Copper</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w:t>
            </w:r>
          </w:p>
        </w:tc>
        <w:tc>
          <w:tcPr>
            <w:tcW w:type="dxa" w:w="308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pPr>
              <w:jc w:val="center"/>
            </w:pPr>
            <w:r>
              <w:rPr>
                <w:rFonts w:ascii="Arial" w:cs="Arial" w:eastAsia="Arial" w:hAnsi="Arial"/>
                <w:color w:val="444444"/>
                <w:sz w:val="19"/>
                <w:szCs w:val="19"/>
              </w:rPr>
              <w:t xml:space="preserve">Global growth proxy; watch</w:t>
            </w:r>
          </w:p>
        </w:tc>
      </w:tr>
    </w:tbl>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3. TOP STORIES</w:t>
      </w:r>
    </w:p>
    <w:p>
      <w:pPr>
        <w:spacing w:after="80" w:before="280"/>
      </w:pPr>
      <w:r>
        <w:rPr>
          <w:rFonts w:ascii="Arial" w:cs="Arial" w:eastAsia="Arial" w:hAnsi="Arial"/>
          <w:b/>
          <w:bCs/>
          <w:color w:val="1B2A5E"/>
          <w:sz w:val="25"/>
          <w:szCs w:val="25"/>
        </w:rPr>
        <w:t xml:space="preserve">STORY 1: The Ceasefire Cliff — Iran Peace Talks Stall With 24 Hours Left</w:t>
      </w:r>
    </w:p>
    <w:p>
      <w:pPr>
        <w:spacing w:after="80" w:before="80"/>
        <w:jc w:val="both"/>
      </w:pPr>
      <w:r>
        <w:rPr>
          <w:rFonts w:ascii="Arial" w:cs="Arial" w:eastAsia="Arial" w:hAnsi="Arial"/>
          <w:b w:val="false"/>
          <w:bCs w:val="false"/>
          <w:i w:val="false"/>
          <w:iCs w:val="false"/>
          <w:color w:val="444444"/>
          <w:sz w:val="22"/>
          <w:szCs w:val="22"/>
        </w:rPr>
        <w:t xml:space="preserve">The most consequential event in global markets this week may have nothing to do with earnings season. The US-Iran ceasefire—brokered by Pakistan on April 8 following the launch of Operation Epic Fury on February 28—expires Wednesday. What began as a military campaign involving US and Israeli forces against Iran's nuclear infrastructure triggered Iran's closure of the Strait of Hormuz, routing one-fifth of global oil supply. Crude exploded to $113/barrel in March. Equity markets absorbed the shock better than most expected, with the S&amp;P 500 eventually recovering all 2026 losses within a single dramatic week in April.</w:t>
      </w:r>
    </w:p>
    <w:p>
      <w:pPr>
        <w:spacing w:after="80" w:before="80"/>
        <w:jc w:val="both"/>
      </w:pPr>
      <w:r>
        <w:rPr>
          <w:rFonts w:ascii="Arial" w:cs="Arial" w:eastAsia="Arial" w:hAnsi="Arial"/>
          <w:b w:val="false"/>
          <w:bCs w:val="false"/>
          <w:i w:val="false"/>
          <w:iCs w:val="false"/>
          <w:color w:val="444444"/>
          <w:sz w:val="22"/>
          <w:szCs w:val="22"/>
        </w:rPr>
        <w:t xml:space="preserve">The ceasefire itself has been a fragile construct. Iran briefly declared the Strait open on April 17, sending crude tumbling 10%. But by the following day, Tehran reclaimed control after Trump refused to end the US naval blockade of Iranian ports. Then, over the weekend, the US Navy seized an Iranian container ship in the Gulf of Oman—an act Tehran called a provocation.</w:t>
      </w:r>
    </w:p>
    <w:p>
      <w:pPr>
        <w:spacing w:after="80" w:before="80"/>
        <w:jc w:val="both"/>
      </w:pPr>
      <w:r>
        <w:rPr>
          <w:rFonts w:ascii="Arial" w:cs="Arial" w:eastAsia="Arial" w:hAnsi="Arial"/>
          <w:b w:val="false"/>
          <w:bCs w:val="false"/>
          <w:i w:val="false"/>
          <w:iCs w:val="false"/>
          <w:color w:val="444444"/>
          <w:sz w:val="22"/>
          <w:szCs w:val="22"/>
        </w:rPr>
        <w:t xml:space="preserve">Formal talks opened April 12, with Vice President JD Vance negotiating with Iranian Foreign Minister Abbas Araghchi. They collapsed almost immediately over uranium enrichment: Washington wanted a 20-year pause; Tehran would accept only five. Monday, Trump told CNBC he expects a "great deal"—but his team has also signaled it is prepared to resume hostilities if talks fail. Markets are priced for a deal; the risk is to the downside if one doesn't materialize. Watch crude closely into Wednesday's expiration.</w:t>
      </w:r>
    </w:p>
    <w:p>
      <w:pPr>
        <w:spacing w:after="80" w:before="80"/>
        <w:jc w:val="both"/>
      </w:pPr>
      <w:r>
        <w:rPr>
          <w:rFonts w:ascii="Arial" w:cs="Arial" w:eastAsia="Arial" w:hAnsi="Arial"/>
          <w:b w:val="false"/>
          <w:bCs w:val="false"/>
          <w:i w:val="false"/>
          <w:iCs w:val="false"/>
          <w:color w:val="444444"/>
          <w:sz w:val="22"/>
          <w:szCs w:val="22"/>
        </w:rPr>
        <w:t xml:space="preserve">MARKET IMPLICATION: A breakdown in talks could push WTI back above $100, reignite inflation fears, and materially complicate the Fed's path. Energy stocks would outperform; airlines, consumer discretionary, and industrials would face pressure. WHAT TO WATCH: Any statement from the Iranian Foreign Ministry or White House before Wednesday midnight.</w:t>
      </w:r>
    </w:p>
    <w:p>
      <w:pPr>
        <w:spacing w:after="80" w:before="280"/>
      </w:pPr>
      <w:r>
        <w:rPr>
          <w:rFonts w:ascii="Arial" w:cs="Arial" w:eastAsia="Arial" w:hAnsi="Arial"/>
          <w:b/>
          <w:bCs/>
          <w:color w:val="1B2A5E"/>
          <w:sz w:val="25"/>
          <w:szCs w:val="25"/>
        </w:rPr>
        <w:t xml:space="preserve">STORY 2: Apple After Cook — The Ternus Era Begins in September</w:t>
      </w:r>
    </w:p>
    <w:p>
      <w:pPr>
        <w:spacing w:after="80" w:before="80"/>
        <w:jc w:val="both"/>
      </w:pPr>
      <w:r>
        <w:rPr>
          <w:rFonts w:ascii="Arial" w:cs="Arial" w:eastAsia="Arial" w:hAnsi="Arial"/>
          <w:b w:val="false"/>
          <w:bCs w:val="false"/>
          <w:i w:val="false"/>
          <w:iCs w:val="false"/>
          <w:color w:val="444444"/>
          <w:sz w:val="22"/>
          <w:szCs w:val="22"/>
        </w:rPr>
        <w:t xml:space="preserve">Apple's announcement Monday evening that Tim Cook will transition to Executive Chairman on September 1—with John Ternus, SVP of Hardware Engineering, assuming the CEO role—marks one of the most significant leadership transitions in corporate history. Cook inherited a company in 2011 with a singular product dependency; he delivered a $3 trillion enterprise defined by services, supply chain mastery, and regulatory navigation. Investors took the news in measured stride: Apple shares fell less than 1%.</w:t>
      </w:r>
    </w:p>
    <w:p>
      <w:pPr>
        <w:spacing w:after="80" w:before="80"/>
        <w:jc w:val="both"/>
      </w:pPr>
      <w:r>
        <w:rPr>
          <w:rFonts w:ascii="Arial" w:cs="Arial" w:eastAsia="Arial" w:hAnsi="Arial"/>
          <w:b w:val="false"/>
          <w:bCs w:val="false"/>
          <w:i w:val="false"/>
          <w:iCs w:val="false"/>
          <w:color w:val="444444"/>
          <w:sz w:val="22"/>
          <w:szCs w:val="22"/>
        </w:rPr>
        <w:t xml:space="preserve">Ternus, who has run Apple's hardware division since 2020, oversaw the M-series chip transition that decoupled Apple Silicon from Intel dependence—widely regarded as one of the most successful platform migrations in tech history. He is widely respected internally and has deep relationships across Apple's engineering organization. The bull case for Ternus: he is a product-first leader at a moment when Apple's next act—spatial computing, AI integration, and autonomous systems—requires exactly that orientation.</w:t>
      </w:r>
    </w:p>
    <w:p>
      <w:pPr>
        <w:spacing w:after="80" w:before="80"/>
        <w:jc w:val="both"/>
      </w:pPr>
      <w:r>
        <w:rPr>
          <w:rFonts w:ascii="Arial" w:cs="Arial" w:eastAsia="Arial" w:hAnsi="Arial"/>
          <w:b w:val="false"/>
          <w:bCs w:val="false"/>
          <w:i w:val="false"/>
          <w:iCs w:val="false"/>
          <w:color w:val="444444"/>
          <w:sz w:val="22"/>
          <w:szCs w:val="22"/>
        </w:rPr>
        <w:t xml:space="preserve">The key risk is the transition itself. Cook provided institutional stability and Washington relationships that proved critical during the tariff and regulatory battles of the past decade. Cook moves to Executive Chairman with a mandate to handle policy engagements globally—suggesting Apple's board is thinking carefully about continuity. MARKET IMPLICATION: Near-term neutral; longer-term, Wall Street will scrutinize whether Ternus can manage the services and financial engineering that drove Apple's multiple expansion under Cook. WHAT TO WATCH: September transition plan details; any early signal on AI strategy from Ternus.</w:t>
      </w:r>
    </w:p>
    <w:p>
      <w:pPr>
        <w:spacing w:after="80" w:before="280"/>
      </w:pPr>
      <w:r>
        <w:rPr>
          <w:rFonts w:ascii="Arial" w:cs="Arial" w:eastAsia="Arial" w:hAnsi="Arial"/>
          <w:b/>
          <w:bCs/>
          <w:color w:val="1B2A5E"/>
          <w:sz w:val="25"/>
          <w:szCs w:val="25"/>
        </w:rPr>
        <w:t xml:space="preserve">STORY 3: Warsh on the Hill — The Fed's Independence Under the Microscope</w:t>
      </w:r>
    </w:p>
    <w:p>
      <w:pPr>
        <w:spacing w:after="80" w:before="80"/>
        <w:jc w:val="both"/>
      </w:pPr>
      <w:r>
        <w:rPr>
          <w:rFonts w:ascii="Arial" w:cs="Arial" w:eastAsia="Arial" w:hAnsi="Arial"/>
          <w:b w:val="false"/>
          <w:bCs w:val="false"/>
          <w:i w:val="false"/>
          <w:iCs w:val="false"/>
          <w:color w:val="444444"/>
          <w:sz w:val="22"/>
          <w:szCs w:val="22"/>
        </w:rPr>
        <w:t xml:space="preserve">Kevin Warsh's confirmation hearing before the Senate Banking Committee is the most consequential monetary policy moment since Jerome Powell was renominated in 2022. Warsh, a former Fed governor and Hoover Institution fellow, is Trump's nominee to replace Powell when his term expires. The central tension: Trump has been vocally lobbying for lower interest rates, and Warsh's critics argue he was selected to deliver them. Warsh is expected to push back hard—he has already stated publicly that the Fed must "stay in its lane" and that he would be "nobody's sock puppet."</w:t>
      </w:r>
    </w:p>
    <w:p>
      <w:pPr>
        <w:spacing w:after="80" w:before="80"/>
        <w:jc w:val="both"/>
      </w:pPr>
      <w:r>
        <w:rPr>
          <w:rFonts w:ascii="Arial" w:cs="Arial" w:eastAsia="Arial" w:hAnsi="Arial"/>
          <w:b w:val="false"/>
          <w:bCs w:val="false"/>
          <w:i w:val="false"/>
          <w:iCs w:val="false"/>
          <w:color w:val="444444"/>
          <w:sz w:val="22"/>
          <w:szCs w:val="22"/>
        </w:rPr>
        <w:t xml:space="preserve">The macro context makes his testimony especially fraught. March CPI re-accelerated to 3.3% year-over-year—up sharply from 2.4% in February—driven by an 18.9% surge in retail gasoline prices tied to the Iran conflict. Meanwhile, retail sales in March surged 1.7%, beating expectations comfortably, fueled by larger-than-expected tax refunds and pre-conflict consumer resilience. The Fed's dual mandate is caught between sticky inflation and the risk of a growth slowdown if the Middle East situation deteriorates.</w:t>
      </w:r>
    </w:p>
    <w:p>
      <w:pPr>
        <w:spacing w:after="80" w:before="80"/>
        <w:jc w:val="both"/>
      </w:pPr>
      <w:r>
        <w:rPr>
          <w:rFonts w:ascii="Arial" w:cs="Arial" w:eastAsia="Arial" w:hAnsi="Arial"/>
          <w:b w:val="false"/>
          <w:bCs w:val="false"/>
          <w:i w:val="false"/>
          <w:iCs w:val="false"/>
          <w:color w:val="444444"/>
          <w:sz w:val="22"/>
          <w:szCs w:val="22"/>
        </w:rPr>
        <w:t xml:space="preserve">Markets are currently pricing in essentially zero probability of a 2026 rate cut. The 10-year Treasury has traded between 4.23% and 4.48% in recent weeks, with the curve near flat. MARKET IMPLICATION: Any signal from Warsh of dovishness on rates could rally equities and bonds; any hawkish posture on inflation independence could push yields higher. The hearing will be closely watched for any signal on the Fed's reaction function under new leadership. WHAT TO WATCH: Warsh's comments on the Humphrey-Hawkins framework, Fed independence, and his rate-setting philosophy.</w:t>
      </w:r>
    </w:p>
    <w:p>
      <w:pPr>
        <w:spacing w:after="80" w:before="280"/>
      </w:pPr>
      <w:r>
        <w:rPr>
          <w:rFonts w:ascii="Arial" w:cs="Arial" w:eastAsia="Arial" w:hAnsi="Arial"/>
          <w:b/>
          <w:bCs/>
          <w:color w:val="1B2A5E"/>
          <w:sz w:val="25"/>
          <w:szCs w:val="25"/>
        </w:rPr>
        <w:t xml:space="preserve">STORY 4: UnitedHealth Surges 8% on Blowout Q1 — Health Care Leads Earnings Season</w:t>
      </w:r>
    </w:p>
    <w:p>
      <w:pPr>
        <w:spacing w:after="80" w:before="80"/>
        <w:jc w:val="both"/>
      </w:pPr>
      <w:r>
        <w:rPr>
          <w:rFonts w:ascii="Arial" w:cs="Arial" w:eastAsia="Arial" w:hAnsi="Arial"/>
          <w:b w:val="false"/>
          <w:bCs w:val="false"/>
          <w:i w:val="false"/>
          <w:iCs w:val="false"/>
          <w:color w:val="444444"/>
          <w:sz w:val="22"/>
          <w:szCs w:val="22"/>
        </w:rPr>
        <w:t xml:space="preserve">UnitedHealth Group delivered one of the quarter's strongest earnings beats Tuesday morning, with Q1 revenue of $111.7 billion (vs. $109.8 billion consensus) and adjusted EPS of $7.23 (vs. ~$6.62 expected)—a 9.4% beat on the bottom line. The company raised its full-year 2026 adjusted EPS guidance to greater than $18.25/share, up from prior guidance. Shares surged approximately 8% in morning trading.</w:t>
      </w:r>
    </w:p>
    <w:p>
      <w:pPr>
        <w:spacing w:after="80" w:before="80"/>
        <w:jc w:val="both"/>
      </w:pPr>
      <w:r>
        <w:rPr>
          <w:rFonts w:ascii="Arial" w:cs="Arial" w:eastAsia="Arial" w:hAnsi="Arial"/>
          <w:b w:val="false"/>
          <w:bCs w:val="false"/>
          <w:i w:val="false"/>
          <w:iCs w:val="false"/>
          <w:color w:val="444444"/>
          <w:sz w:val="22"/>
          <w:szCs w:val="22"/>
        </w:rPr>
        <w:t xml:space="preserve">The medical cost ratio—the metric Wall Street watches most closely for managed care companies—came in at 83.9%, down 90 basis points from Q1 2025, signaling that UnitedHealth is successfully containing medical cost trends. The Optum health services segment continues to grow, and management cited AI-assisted claims processing as a meaningful contributor to cost efficiency. With UnitedHealth representing roughly 8% of the Dow Jones Industrial Average by weighting, its strong results are a significant tailwind for the index.</w:t>
      </w:r>
    </w:p>
    <w:p>
      <w:pPr>
        <w:spacing w:after="80" w:before="80"/>
        <w:jc w:val="both"/>
      </w:pPr>
      <w:r>
        <w:rPr>
          <w:rFonts w:ascii="Arial" w:cs="Arial" w:eastAsia="Arial" w:hAnsi="Arial"/>
          <w:b w:val="false"/>
          <w:bCs w:val="false"/>
          <w:i w:val="false"/>
          <w:iCs w:val="false"/>
          <w:color w:val="444444"/>
          <w:sz w:val="22"/>
          <w:szCs w:val="22"/>
        </w:rPr>
        <w:t xml:space="preserve">MARKET IMPLICATION: Health care's strong showing is a positive leading indicator for Q1 earnings season broadly—if the largest managed care company can navigate cost pressures, the bar rises for the sector. WHAT TO WATCH: Wednesday's GE Aerospace results and Thursday's Tesla report will set the tone for industrials and EV sectors respectively.</w:t>
      </w:r>
    </w:p>
    <w:p>
      <w:pPr>
        <w:spacing w:after="80" w:before="280"/>
      </w:pPr>
      <w:r>
        <w:rPr>
          <w:rFonts w:ascii="Arial" w:cs="Arial" w:eastAsia="Arial" w:hAnsi="Arial"/>
          <w:b/>
          <w:bCs/>
          <w:color w:val="1B2A5E"/>
          <w:sz w:val="25"/>
          <w:szCs w:val="25"/>
        </w:rPr>
        <w:t xml:space="preserve">STORY 5: CPI Re-Acceleration Puts Rate Cuts on Ice</w:t>
      </w:r>
    </w:p>
    <w:p>
      <w:pPr>
        <w:spacing w:after="80" w:before="80"/>
        <w:jc w:val="both"/>
      </w:pPr>
      <w:r>
        <w:rPr>
          <w:rFonts w:ascii="Arial" w:cs="Arial" w:eastAsia="Arial" w:hAnsi="Arial"/>
          <w:b w:val="false"/>
          <w:bCs w:val="false"/>
          <w:i w:val="false"/>
          <w:iCs w:val="false"/>
          <w:color w:val="444444"/>
          <w:sz w:val="22"/>
          <w:szCs w:val="22"/>
        </w:rPr>
        <w:t xml:space="preserve">March CPI data, released April 10, delivered an unwelcome surprise: headline inflation re-accelerated to 3.3% year-over-year from 2.4% in February. The culprit was energy—retail gasoline prices surged 18.9% year-over-year, with the national average hitting $4.12/gallon, a direct consequence of Iran's Strait of Hormuz closure. Services inflation ex-energy remained relatively contained at 3% annually, and shelter came in at 3%—a sign that the slow-motion disinflation in housing costs is still proceeding, just masked by energy.</w:t>
      </w:r>
    </w:p>
    <w:p>
      <w:pPr>
        <w:spacing w:after="80" w:before="80"/>
        <w:jc w:val="both"/>
      </w:pPr>
      <w:r>
        <w:rPr>
          <w:rFonts w:ascii="Arial" w:cs="Arial" w:eastAsia="Arial" w:hAnsi="Arial"/>
          <w:b w:val="false"/>
          <w:bCs w:val="false"/>
          <w:i w:val="false"/>
          <w:iCs w:val="false"/>
          <w:color w:val="444444"/>
          <w:sz w:val="22"/>
          <w:szCs w:val="22"/>
        </w:rPr>
        <w:t xml:space="preserve">The Fed's March meeting minutes showed policymakers tilted toward a modest rate reduction at some point, but that was before the energy spike materialized in the data. Now, with March retail sales printing +1.7% and the consumer apparently still spending, the case for rate cuts has weakened considerably. Markets have moved from pricing in two cuts in 2026 to essentially zero. The 10-year yield, trading around 4.26%, reflects this recalibration.</w:t>
      </w:r>
    </w:p>
    <w:p>
      <w:pPr>
        <w:spacing w:after="80" w:before="80"/>
        <w:jc w:val="both"/>
      </w:pPr>
      <w:r>
        <w:rPr>
          <w:rFonts w:ascii="Arial" w:cs="Arial" w:eastAsia="Arial" w:hAnsi="Arial"/>
          <w:b w:val="false"/>
          <w:bCs w:val="false"/>
          <w:i w:val="false"/>
          <w:iCs w:val="false"/>
          <w:color w:val="444444"/>
          <w:sz w:val="22"/>
          <w:szCs w:val="22"/>
        </w:rPr>
        <w:t xml:space="preserve">MARKET IMPLICATION: The re-acceleration narrative is damaging for rate-sensitive sectors (utilities, REITs, long-duration tech). If the Iran situation resolves and energy prices fall sustainably, inflation could moderate quickly—creating a potential setup for rate cut expectations to return. The next CPI reading (May) will be pivotal. WHAT TO WATCH: Any Iran ceasefire extension that causes a sustained crude selloff—this would be the most powerful near-term catalyst for inflation deceleration.</w:t>
      </w:r>
    </w:p>
    <w:p>
      <w:pPr>
        <w:spacing w:after="80" w:before="280"/>
      </w:pPr>
      <w:r>
        <w:rPr>
          <w:rFonts w:ascii="Arial" w:cs="Arial" w:eastAsia="Arial" w:hAnsi="Arial"/>
          <w:b/>
          <w:bCs/>
          <w:color w:val="1B2A5E"/>
          <w:sz w:val="25"/>
          <w:szCs w:val="25"/>
        </w:rPr>
        <w:t xml:space="preserve">STORY 6: S&amp;P 500 Erases All 2026 Losses — Bull Thesis Intact But Tested</w:t>
      </w:r>
    </w:p>
    <w:p>
      <w:pPr>
        <w:spacing w:after="80" w:before="80"/>
        <w:jc w:val="both"/>
      </w:pPr>
      <w:r>
        <w:rPr>
          <w:rFonts w:ascii="Arial" w:cs="Arial" w:eastAsia="Arial" w:hAnsi="Arial"/>
          <w:b w:val="false"/>
          <w:bCs w:val="false"/>
          <w:i w:val="false"/>
          <w:iCs w:val="false"/>
          <w:color w:val="444444"/>
          <w:sz w:val="22"/>
          <w:szCs w:val="22"/>
        </w:rPr>
        <w:t xml:space="preserve">In a remarkable display of market resilience, the S&amp;P 500 has fully recovered all losses incurred since the start of 2026, with the index now sitting above its December 2025 year-end close. The recovery—driven primarily by a single monster week in early April—reflects investor conviction that the Iran conflict will resolve without permanently disrupting global supply chains. The Nasdaq's 13-day winning streak (its longest since 1992), which ended Monday, illustrated the degree to which tech and growth stocks have led the recovery.</w:t>
      </w:r>
    </w:p>
    <w:p>
      <w:pPr>
        <w:spacing w:after="80" w:before="80"/>
        <w:jc w:val="both"/>
      </w:pPr>
      <w:r>
        <w:rPr>
          <w:rFonts w:ascii="Arial" w:cs="Arial" w:eastAsia="Arial" w:hAnsi="Arial"/>
          <w:b w:val="false"/>
          <w:bCs w:val="false"/>
          <w:i w:val="false"/>
          <w:iCs w:val="false"/>
          <w:color w:val="444444"/>
          <w:sz w:val="22"/>
          <w:szCs w:val="22"/>
        </w:rPr>
        <w:t xml:space="preserve">Yet Monday's pullback (-0.24% for the S&amp;P, -0.26% for the Nasdaq) served as a reminder that sentiment remains fragile. Communication services fell 1.41% on the day—the worst sector performer—while defensives like materials and financials outperformed modestly. The VIX, still elevated at 18.87, is up nearly 8% just today. The IMF has warned that global growth will inevitably take a hit even if the ceasefire holds, citing uncertainty over Hormuz as a persistent drag on investment and trade flows. WHAT TO WATCH: Whether the S&amp;P holds 7,100—its prior resistance level—as the ceasefire deadline passes.</w:t>
      </w:r>
    </w:p>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4. MACRO &amp; FED WATCH</w:t>
      </w:r>
    </w:p>
    <w:p>
      <w:pPr>
        <w:spacing w:after="80" w:before="80"/>
        <w:jc w:val="both"/>
      </w:pPr>
      <w:r>
        <w:rPr>
          <w:rFonts w:ascii="Arial" w:cs="Arial" w:eastAsia="Arial" w:hAnsi="Arial"/>
          <w:b w:val="false"/>
          <w:bCs w:val="false"/>
          <w:i w:val="false"/>
          <w:iCs w:val="false"/>
          <w:color w:val="444444"/>
          <w:sz w:val="22"/>
          <w:szCs w:val="22"/>
        </w:rPr>
        <w:t xml:space="preserve">The Federal Reserve is navigating one of its most complex policy environments since the post-pandemic inflation surge. Kevin Warsh's confirmation hearing today effectively kicks off a new chapter in the Fed's institutional history. Warsh, 55, served as a Fed governor from 2006 to 2011 and was part of the emergency response team during the 2008 financial crisis. He is intellectually formidable and genuinely independent—but his relationship with Trump and his stated views on the need to modernize the Fed's operating framework have made markets nervous.</w:t>
      </w:r>
    </w:p>
    <w:p>
      <w:pPr>
        <w:spacing w:after="80" w:before="80"/>
        <w:jc w:val="both"/>
      </w:pPr>
      <w:r>
        <w:rPr>
          <w:rFonts w:ascii="Arial" w:cs="Arial" w:eastAsia="Arial" w:hAnsi="Arial"/>
          <w:b w:val="false"/>
          <w:bCs w:val="false"/>
          <w:i w:val="false"/>
          <w:iCs w:val="false"/>
          <w:color w:val="444444"/>
          <w:sz w:val="22"/>
          <w:szCs w:val="22"/>
        </w:rPr>
        <w:t xml:space="preserve">The core monetary policy tension: inflation re-accelerated to 3.3% YoY in March, driven almost entirely by energy. Strip out energy and the picture looks more benign—services at 3%, shelter decelerating. But the Fed cannot simply "look through" a 3.3% headline number without risking a de-anchoring of inflation expectations, particularly with consumer spending holding up (retail sales +1.7% in March) and the labor market remaining healthy.</w:t>
      </w:r>
    </w:p>
    <w:p>
      <w:pPr>
        <w:spacing w:after="80" w:before="80"/>
        <w:jc w:val="both"/>
      </w:pPr>
      <w:r>
        <w:rPr>
          <w:rFonts w:ascii="Arial" w:cs="Arial" w:eastAsia="Arial" w:hAnsi="Arial"/>
          <w:b w:val="false"/>
          <w:bCs w:val="false"/>
          <w:i w:val="false"/>
          <w:iCs w:val="false"/>
          <w:color w:val="444444"/>
          <w:sz w:val="22"/>
          <w:szCs w:val="22"/>
        </w:rPr>
        <w:t xml:space="preserve">Fed funds futures currently price zero cuts in 2026, with the first cut not fully priced until well into 2027. The yield curve—10Y at 4.26%, 2Y estimated around 4.10%—is essentially flat, a configuration that historically presages economic slowdown. A steepening would suggest the market is beginning to anticipate easing; a further flattening would indicate persistent stagflation concerns.</w:t>
      </w:r>
    </w:p>
    <w:p>
      <w:pPr>
        <w:spacing w:after="80" w:before="80"/>
        <w:jc w:val="both"/>
      </w:pPr>
      <w:r>
        <w:rPr>
          <w:rFonts w:ascii="Arial" w:cs="Arial" w:eastAsia="Arial" w:hAnsi="Arial"/>
          <w:b w:val="false"/>
          <w:bCs w:val="false"/>
          <w:i w:val="false"/>
          <w:iCs w:val="false"/>
          <w:color w:val="444444"/>
          <w:sz w:val="22"/>
          <w:szCs w:val="22"/>
        </w:rPr>
        <w:t xml:space="preserve">The most important near-term catalyst for Fed policy is the Iran situation. A durable peace deal that allows the Strait of Hormuz to reopen fully would cause a sharp decline in crude oil, potentially pulling CPI back below 3% within two months. That would reopen the rate-cut conversation almost immediately. Warsh will be asked today where he stands on this scenario—and his answer matters enormously for the rates complex.</w:t>
      </w:r>
    </w:p>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5. ECONOMIC CALENDAR — TODAY &amp;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300"/>
        <w:gridCol w:w="1300"/>
        <w:gridCol w:w="3360"/>
      </w:tblGrid>
      <w:tr>
        <w:tc>
          <w:tcPr>
            <w:tcW w:type="dxa" w:w="1200"/>
            <w:tcBorders>
              <w:top w:val="single" w:color="CCCCCC" w:sz="1"/>
              <w:left w:val="single" w:color="CCCCCC" w:sz="1"/>
              <w:bottom w:val="single" w:color="CCCCCC" w:sz="1"/>
              <w:right w:val="single" w:color="CCCCCC" w:sz="1"/>
            </w:tcBorders>
            <w:shd w:fill="1B2A5E" w:val="clear"/>
            <w:tcMar>
              <w:top w:type="dxa" w:w="70"/>
              <w:left w:type="dxa" w:w="100"/>
              <w:bottom w:type="dxa" w:w="70"/>
              <w:right w:type="dxa" w:w="100"/>
            </w:tcMar>
          </w:tcPr>
          <w:p>
            <w:r>
              <w:rPr>
                <w:rFonts w:ascii="Arial" w:cs="Arial" w:eastAsia="Arial" w:hAnsi="Arial"/>
                <w:b/>
                <w:bCs/>
                <w:color w:val="FFFFFF"/>
                <w:sz w:val="18"/>
                <w:szCs w:val="18"/>
              </w:rPr>
              <w:t xml:space="preserve">TIME (ET)</w:t>
            </w:r>
          </w:p>
        </w:tc>
        <w:tc>
          <w:tcPr>
            <w:tcW w:type="dxa" w:w="2200"/>
            <w:tcBorders>
              <w:top w:val="single" w:color="CCCCCC" w:sz="1"/>
              <w:left w:val="single" w:color="CCCCCC" w:sz="1"/>
              <w:bottom w:val="single" w:color="CCCCCC" w:sz="1"/>
              <w:right w:val="single" w:color="CCCCCC" w:sz="1"/>
            </w:tcBorders>
            <w:shd w:fill="1B2A5E" w:val="clear"/>
            <w:tcMar>
              <w:top w:type="dxa" w:w="70"/>
              <w:left w:type="dxa" w:w="100"/>
              <w:bottom w:type="dxa" w:w="70"/>
              <w:right w:type="dxa" w:w="100"/>
            </w:tcMar>
          </w:tcPr>
          <w:p>
            <w:r>
              <w:rPr>
                <w:rFonts w:ascii="Arial" w:cs="Arial" w:eastAsia="Arial" w:hAnsi="Arial"/>
                <w:b/>
                <w:bCs/>
                <w:color w:val="FFFFFF"/>
                <w:sz w:val="18"/>
                <w:szCs w:val="18"/>
              </w:rPr>
              <w:t xml:space="preserve">INDICATOR</w:t>
            </w:r>
          </w:p>
        </w:tc>
        <w:tc>
          <w:tcPr>
            <w:tcW w:type="dxa" w:w="1300"/>
            <w:tcBorders>
              <w:top w:val="single" w:color="CCCCCC" w:sz="1"/>
              <w:left w:val="single" w:color="CCCCCC" w:sz="1"/>
              <w:bottom w:val="single" w:color="CCCCCC" w:sz="1"/>
              <w:right w:val="single" w:color="CCCCCC" w:sz="1"/>
            </w:tcBorders>
            <w:shd w:fill="1B2A5E" w:val="clear"/>
            <w:tcMar>
              <w:top w:type="dxa" w:w="70"/>
              <w:left w:type="dxa" w:w="100"/>
              <w:bottom w:type="dxa" w:w="70"/>
              <w:right w:type="dxa" w:w="100"/>
            </w:tcMar>
          </w:tcPr>
          <w:p>
            <w:r>
              <w:rPr>
                <w:rFonts w:ascii="Arial" w:cs="Arial" w:eastAsia="Arial" w:hAnsi="Arial"/>
                <w:b/>
                <w:bCs/>
                <w:color w:val="FFFFFF"/>
                <w:sz w:val="18"/>
                <w:szCs w:val="18"/>
              </w:rPr>
              <w:t xml:space="preserve">PRIOR</w:t>
            </w:r>
          </w:p>
        </w:tc>
        <w:tc>
          <w:tcPr>
            <w:tcW w:type="dxa" w:w="1300"/>
            <w:tcBorders>
              <w:top w:val="single" w:color="CCCCCC" w:sz="1"/>
              <w:left w:val="single" w:color="CCCCCC" w:sz="1"/>
              <w:bottom w:val="single" w:color="CCCCCC" w:sz="1"/>
              <w:right w:val="single" w:color="CCCCCC" w:sz="1"/>
            </w:tcBorders>
            <w:shd w:fill="1B2A5E" w:val="clear"/>
            <w:tcMar>
              <w:top w:type="dxa" w:w="70"/>
              <w:left w:type="dxa" w:w="100"/>
              <w:bottom w:type="dxa" w:w="70"/>
              <w:right w:type="dxa" w:w="100"/>
            </w:tcMar>
          </w:tcPr>
          <w:p>
            <w:r>
              <w:rPr>
                <w:rFonts w:ascii="Arial" w:cs="Arial" w:eastAsia="Arial" w:hAnsi="Arial"/>
                <w:b/>
                <w:bCs/>
                <w:color w:val="FFFFFF"/>
                <w:sz w:val="18"/>
                <w:szCs w:val="18"/>
              </w:rPr>
              <w:t xml:space="preserve">CONSENSUS</w:t>
            </w:r>
          </w:p>
        </w:tc>
        <w:tc>
          <w:tcPr>
            <w:tcW w:type="dxa" w:w="3360"/>
            <w:tcBorders>
              <w:top w:val="single" w:color="CCCCCC" w:sz="1"/>
              <w:left w:val="single" w:color="CCCCCC" w:sz="1"/>
              <w:bottom w:val="single" w:color="CCCCCC" w:sz="1"/>
              <w:right w:val="single" w:color="CCCCCC" w:sz="1"/>
            </w:tcBorders>
            <w:shd w:fill="1B2A5E" w:val="clear"/>
            <w:tcMar>
              <w:top w:type="dxa" w:w="70"/>
              <w:left w:type="dxa" w:w="100"/>
              <w:bottom w:type="dxa" w:w="70"/>
              <w:right w:type="dxa" w:w="100"/>
            </w:tcMar>
          </w:tcPr>
          <w:p>
            <w:r>
              <w:rPr>
                <w:rFonts w:ascii="Arial" w:cs="Arial" w:eastAsia="Arial" w:hAnsi="Arial"/>
                <w:b/>
                <w:bCs/>
                <w:color w:val="FFFFFF"/>
                <w:sz w:val="18"/>
                <w:szCs w:val="18"/>
              </w:rPr>
              <w:t xml:space="preserve">WHY IT MATTERS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10:00 AM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Kevin Warsh Fed Confirmation Hearing</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Sets tone for monetary policy under new leadership; expect market volatility on rate-related statements.</w:t>
            </w:r>
          </w:p>
        </w:tc>
      </w:tr>
      <w:tr>
        <w:tc>
          <w:tcPr>
            <w:tcW w:type="dxa" w:w="1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All day</w:t>
            </w:r>
          </w:p>
        </w:tc>
        <w:tc>
          <w:tcPr>
            <w:tcW w:type="dxa" w:w="2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Q1 Earnings Season (ongoing)</w:t>
            </w:r>
          </w:p>
        </w:tc>
        <w:tc>
          <w:tcPr>
            <w:tcW w:type="dxa" w:w="13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N/A</w:t>
            </w:r>
          </w:p>
        </w:tc>
        <w:tc>
          <w:tcPr>
            <w:tcW w:type="dxa" w:w="13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N/A</w:t>
            </w:r>
          </w:p>
        </w:tc>
        <w:tc>
          <w:tcPr>
            <w:tcW w:type="dxa" w:w="33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UnitedHealth already reported; focus shifts to Tesla, IBM Wednesday.</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Wed Apr 22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Existing Home Sales (Mar)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4.26M</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4.30M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Housing activity is a key transmission mechanism for rate policy; weakness would validate pause.</w:t>
            </w:r>
          </w:p>
        </w:tc>
      </w:tr>
      <w:tr>
        <w:tc>
          <w:tcPr>
            <w:tcW w:type="dxa" w:w="1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Wed Apr 22</w:t>
            </w:r>
          </w:p>
        </w:tc>
        <w:tc>
          <w:tcPr>
            <w:tcW w:type="dxa" w:w="2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Iran Ceasefire Deadline</w:t>
            </w:r>
          </w:p>
        </w:tc>
        <w:tc>
          <w:tcPr>
            <w:tcW w:type="dxa" w:w="13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N/A</w:t>
            </w:r>
          </w:p>
        </w:tc>
        <w:tc>
          <w:tcPr>
            <w:tcW w:type="dxa" w:w="13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N/A</w:t>
            </w:r>
          </w:p>
        </w:tc>
        <w:tc>
          <w:tcPr>
            <w:tcW w:type="dxa" w:w="33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Renewal or collapse has direct implications for energy, equities, and USD.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Thu Apr 23</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Initial Jobless Claims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215K</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218K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Labor market health; any deterioration would accelerate rate-cut talk.</w:t>
            </w:r>
          </w:p>
        </w:tc>
      </w:tr>
      <w:tr>
        <w:tc>
          <w:tcPr>
            <w:tcW w:type="dxa" w:w="1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Thu Apr 23</w:t>
            </w:r>
          </w:p>
        </w:tc>
        <w:tc>
          <w:tcPr>
            <w:tcW w:type="dxa" w:w="2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Flash PMI (Mfg &amp; Services)</w:t>
            </w:r>
          </w:p>
        </w:tc>
        <w:tc>
          <w:tcPr>
            <w:tcW w:type="dxa" w:w="13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51.2 / 54.4</w:t>
            </w:r>
          </w:p>
        </w:tc>
        <w:tc>
          <w:tcPr>
            <w:tcW w:type="dxa" w:w="13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51.0 / 54.0</w:t>
            </w:r>
          </w:p>
        </w:tc>
        <w:tc>
          <w:tcPr>
            <w:tcW w:type="dxa" w:w="33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Forward-looking growth signal; services softness would be a warning sign.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Fri Apr 24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PCE Price Index (Mar)</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+0.3% MoM</w:t>
            </w:r>
          </w:p>
        </w:tc>
        <w:tc>
          <w:tcPr>
            <w:tcW w:type="dxa" w:w="13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+0.3% MoM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444444"/>
                <w:sz w:val="18"/>
                <w:szCs w:val="18"/>
              </w:rPr>
              <w:t xml:space="preserve">The Fed's preferred inflation gauge; a beat here keeps cuts off the table all year.</w:t>
            </w:r>
          </w:p>
        </w:tc>
      </w:tr>
      <w:tr>
        <w:tc>
          <w:tcPr>
            <w:tcW w:type="dxa" w:w="1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Fri Apr 24</w:t>
            </w:r>
          </w:p>
        </w:tc>
        <w:tc>
          <w:tcPr>
            <w:tcW w:type="dxa" w:w="22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Durable Goods Orders (Mar)</w:t>
            </w:r>
          </w:p>
        </w:tc>
        <w:tc>
          <w:tcPr>
            <w:tcW w:type="dxa" w:w="13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+0.8%</w:t>
            </w:r>
          </w:p>
        </w:tc>
        <w:tc>
          <w:tcPr>
            <w:tcW w:type="dxa" w:w="13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+0.5%</w:t>
            </w:r>
          </w:p>
        </w:tc>
        <w:tc>
          <w:tcPr>
            <w:tcW w:type="dxa" w:w="33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color w:val="444444"/>
                <w:sz w:val="18"/>
                <w:szCs w:val="18"/>
              </w:rPr>
              <w:t xml:space="preserve">Business investment proxy; war-related supply disruptions may distort.</w:t>
            </w:r>
          </w:p>
        </w:tc>
      </w:tr>
    </w:tbl>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6. EARNINGS WATCH</w:t>
      </w:r>
    </w:p>
    <w:p>
      <w:pPr>
        <w:spacing w:after="80" w:before="80"/>
        <w:jc w:val="both"/>
      </w:pPr>
      <w:r>
        <w:rPr>
          <w:rFonts w:ascii="Arial" w:cs="Arial" w:eastAsia="Arial" w:hAnsi="Arial"/>
          <w:b w:val="false"/>
          <w:bCs w:val="false"/>
          <w:i w:val="false"/>
          <w:iCs w:val="false"/>
          <w:color w:val="444444"/>
          <w:sz w:val="22"/>
          <w:szCs w:val="22"/>
        </w:rPr>
        <w:t xml:space="preserve">Q1 2026 earnings season is accelerating, with over 100 S&amp;P 500 companies reporting this week. With approximately 14% of the index having reported so far, the beat rate is running above historical averages—a sign that analysts may have marked estimates down too aggressively in the wake of Iran-related uncertainty.</w:t>
      </w:r>
    </w:p>
    <w:p>
      <w:pPr>
        <w:spacing w:after="40" w:before="160"/>
      </w:pPr>
      <w:r>
        <w:rPr>
          <w:rFonts w:ascii="Arial" w:cs="Arial" w:eastAsia="Arial" w:hAnsi="Arial"/>
          <w:b/>
          <w:bCs/>
          <w:caps/>
          <w:color w:val="C9A84C"/>
          <w:sz w:val="20"/>
          <w:szCs w:val="20"/>
        </w:rPr>
        <w:t xml:space="preserve">TODAY (APRIL 21) — ALREADY REPORTED</w:t>
      </w:r>
    </w:p>
    <w:p>
      <w:pPr>
        <w:spacing w:after="80" w:before="80"/>
        <w:jc w:val="both"/>
      </w:pPr>
      <w:r>
        <w:rPr>
          <w:rFonts w:ascii="Arial" w:cs="Arial" w:eastAsia="Arial" w:hAnsi="Arial"/>
          <w:b w:val="false"/>
          <w:bCs w:val="false"/>
          <w:i w:val="false"/>
          <w:iCs w:val="false"/>
          <w:color w:val="444444"/>
          <w:sz w:val="22"/>
          <w:szCs w:val="22"/>
        </w:rPr>
        <w:t xml:space="preserve">UnitedHealth Group (UNH): Revenue $111.7B vs. $109.8B est. (+$1.9B beat); Adj. EPS $7.23 vs. ~$6.62 est. (+9.4% beat). Medical loss ratio 83.9% (-90bps YoY). Full-year adj. EPS guidance raised to &gt;$18.25. Stock +8% in morning trading. The result validated analysts' thesis that managed care cost trends are stabilizing after two years of post-pandemic volatility. Optum's AI-assisted cost controls appear to be generating measurable savings.</w:t>
      </w:r>
    </w:p>
    <w:p>
      <w:pPr>
        <w:spacing w:after="80" w:before="80"/>
        <w:jc w:val="both"/>
      </w:pPr>
      <w:r>
        <w:rPr>
          <w:rFonts w:ascii="Arial" w:cs="Arial" w:eastAsia="Arial" w:hAnsi="Arial"/>
          <w:b w:val="false"/>
          <w:bCs w:val="false"/>
          <w:i w:val="false"/>
          <w:iCs w:val="false"/>
          <w:color w:val="444444"/>
          <w:sz w:val="22"/>
          <w:szCs w:val="22"/>
        </w:rPr>
        <w:t xml:space="preserve">GE Aerospace (GE): Revenue $12.4B (+25% YoY), operating profit $2.5B (+18% YoY). Strong aviation demand is offsetting supply chain constraints. However, the earnings call was dominated by Middle East conflict exposure—roughly 12% of GE Aerospace's engine maintenance revenue comes from airlines operating through Iranian airspace or with Hormuz-dependent routing. Management struck a cautious tone on forward guidance.</w:t>
      </w:r>
    </w:p>
    <w:p>
      <w:pPr>
        <w:spacing w:after="40" w:before="160"/>
      </w:pPr>
      <w:r>
        <w:rPr>
          <w:rFonts w:ascii="Arial" w:cs="Arial" w:eastAsia="Arial" w:hAnsi="Arial"/>
          <w:b/>
          <w:bCs/>
          <w:caps/>
          <w:color w:val="C9A84C"/>
          <w:sz w:val="20"/>
          <w:szCs w:val="20"/>
        </w:rPr>
        <w:t xml:space="preserve">TOMORROW (APRIL 22) — KEY REPORTERS</w:t>
      </w:r>
    </w:p>
    <w:p>
      <w:pPr>
        <w:spacing w:after="80" w:before="80"/>
        <w:jc w:val="both"/>
      </w:pPr>
      <w:r>
        <w:rPr>
          <w:rFonts w:ascii="Arial" w:cs="Arial" w:eastAsia="Arial" w:hAnsi="Arial"/>
          <w:b w:val="false"/>
          <w:bCs w:val="false"/>
          <w:i w:val="false"/>
          <w:iCs w:val="false"/>
          <w:color w:val="444444"/>
          <w:sz w:val="22"/>
          <w:szCs w:val="22"/>
        </w:rPr>
        <w:t xml:space="preserve">Tesla (TSLA) — After close: Consensus EPS $0.37 (non-GAAP), revenue $21.9B. Deliveries in Q1 came in at 358,023 vehicles, below the 365,645 estimate. Energy storage deployments of 8.8 GWh missed the 12.45 GWh target significantly. Options markets are pricing a ~9-11% implied move on earnings. The key questions: Can margins hold above 15% automotive gross margin? What is the path for Cybertruck ramp? And does Elon Musk's political profile—and his role leading DOGE—continue to weigh on brand perception in key markets? Tesla has rallied strongly from its February lows on general market recovery and the Iran ceasefire; any revenue miss could trigger a sharp reversal.</w:t>
      </w:r>
    </w:p>
    <w:p>
      <w:pPr>
        <w:spacing w:after="80" w:before="80"/>
        <w:jc w:val="both"/>
      </w:pPr>
      <w:r>
        <w:rPr>
          <w:rFonts w:ascii="Arial" w:cs="Arial" w:eastAsia="Arial" w:hAnsi="Arial"/>
          <w:b w:val="false"/>
          <w:bCs w:val="false"/>
          <w:i w:val="false"/>
          <w:iCs w:val="false"/>
          <w:color w:val="444444"/>
          <w:sz w:val="22"/>
          <w:szCs w:val="22"/>
        </w:rPr>
        <w:t xml:space="preserve">IBM (IBM) — After close: Revenue est. $15.63B, adj. EPS est. $1.81 (+13% YoY). IBM has been executing a quiet comeback story, with its AI enterprise platform (watsonx) gaining traction against Microsoft Azure AI and Google Vertex AI. Consulting revenue growth will be the swing factor—if companies are pulling back on IT consulting spend due to macro uncertainty, IBM's numbers could disappoint. The AI infrastructure buildout, if anything, should be a tailwind for software licensing.</w:t>
      </w:r>
    </w:p>
    <w:p>
      <w:pPr>
        <w:spacing w:after="40" w:before="160"/>
      </w:pPr>
      <w:r>
        <w:rPr>
          <w:rFonts w:ascii="Arial" w:cs="Arial" w:eastAsia="Arial" w:hAnsi="Arial"/>
          <w:b/>
          <w:bCs/>
          <w:caps/>
          <w:color w:val="C9A84C"/>
          <w:sz w:val="20"/>
          <w:szCs w:val="20"/>
        </w:rPr>
        <w:t xml:space="preserve">LATER THIS WEEK</w:t>
      </w:r>
    </w:p>
    <w:p>
      <w:pPr>
        <w:spacing w:after="80" w:before="80"/>
        <w:jc w:val="both"/>
      </w:pPr>
      <w:r>
        <w:rPr>
          <w:rFonts w:ascii="Arial" w:cs="Arial" w:eastAsia="Arial" w:hAnsi="Arial"/>
          <w:b w:val="false"/>
          <w:bCs w:val="false"/>
          <w:i w:val="false"/>
          <w:iCs w:val="false"/>
          <w:color w:val="444444"/>
          <w:sz w:val="22"/>
          <w:szCs w:val="22"/>
        </w:rPr>
        <w:t xml:space="preserve">Boeing (BA, Wed), AT&amp;T (T, Wed), ServiceNow (NOW, Wed), Intel (INTC, Thu), Philip Morris (PM, Thu), Comcast (CMCSA, Thu). Boeing continues its multi-year recovery arc; analysts expect a loss of $0.54–0.60/share but watch for cash flow improvement signals. ServiceNow is a bellwether for enterprise software spending. Intel reports amid continued questions about its foundry strategy.</w:t>
      </w:r>
    </w:p>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7. SECTOR SPOTLIGHT</w:t>
      </w:r>
    </w:p>
    <w:p>
      <w:pPr>
        <w:spacing w:after="80" w:before="280"/>
      </w:pPr>
      <w:r>
        <w:rPr>
          <w:rFonts w:ascii="Arial" w:cs="Arial" w:eastAsia="Arial" w:hAnsi="Arial"/>
          <w:b/>
          <w:bCs/>
          <w:color w:val="1B2A5E"/>
          <w:sz w:val="25"/>
          <w:szCs w:val="25"/>
        </w:rPr>
        <w:t xml:space="preserve">Health Care: The Strongest Sector Story of Q1 Season</w:t>
      </w:r>
    </w:p>
    <w:p>
      <w:pPr>
        <w:spacing w:after="80" w:before="80"/>
        <w:jc w:val="both"/>
      </w:pPr>
      <w:r>
        <w:rPr>
          <w:rFonts w:ascii="Arial" w:cs="Arial" w:eastAsia="Arial" w:hAnsi="Arial"/>
          <w:b w:val="false"/>
          <w:bCs w:val="false"/>
          <w:i w:val="false"/>
          <w:iCs w:val="false"/>
          <w:color w:val="444444"/>
          <w:sz w:val="22"/>
          <w:szCs w:val="22"/>
        </w:rPr>
        <w:t xml:space="preserve">Health care is emerging as one of the clearest sector winners of Q1 2026 earnings season, led today by UnitedHealth's blowout results. The managed care thesis—that medical cost trends were peaking after years of pandemic-driven volatility—appears to be playing out. MCRs are improving, AI is beginning to drive real cost efficiencies in claims processing, and regulatory uncertainty has moderated under the current administration. Pharma names like Eli Lilly (reporting next week) will be the next major test of the sector's momentum.</w:t>
      </w:r>
    </w:p>
    <w:p>
      <w:pPr>
        <w:spacing w:after="80" w:before="280"/>
      </w:pPr>
      <w:r>
        <w:rPr>
          <w:rFonts w:ascii="Arial" w:cs="Arial" w:eastAsia="Arial" w:hAnsi="Arial"/>
          <w:b/>
          <w:bCs/>
          <w:color w:val="1B2A5E"/>
          <w:sz w:val="25"/>
          <w:szCs w:val="25"/>
        </w:rPr>
        <w:t xml:space="preserve">Energy: Caught Between Peace Hopes and Geopolitical Risk Premium</w:t>
      </w:r>
    </w:p>
    <w:p>
      <w:pPr>
        <w:spacing w:after="80" w:before="80"/>
        <w:jc w:val="both"/>
      </w:pPr>
      <w:r>
        <w:rPr>
          <w:rFonts w:ascii="Arial" w:cs="Arial" w:eastAsia="Arial" w:hAnsi="Arial"/>
          <w:b w:val="false"/>
          <w:bCs w:val="false"/>
          <w:i w:val="false"/>
          <w:iCs w:val="false"/>
          <w:color w:val="444444"/>
          <w:sz w:val="22"/>
          <w:szCs w:val="22"/>
        </w:rPr>
        <w:t xml:space="preserve">Energy has been the most volatile sector of 2026, and that is unlikely to change this week. WTI crude at $86/bbl represents a significant decline from the March peak of $113—the market's bet on a successful Iran deal. But oil's floor is being supported by a persistent geopolitical risk premium that reflects just how quickly the Strait could close again. Energy stocks have underperformed the broader market recovery; if the ceasefire collapses, they would be among the first to rally. Refiners are worth watching specifically—crack spreads have been volatile, and a sudden oil price spike could compress margins faster than the market currently expects.</w:t>
      </w:r>
    </w:p>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8. ANALYST CALLS &amp; RATING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1400"/>
        <w:gridCol w:w="3160"/>
      </w:tblGrid>
      <w:tr>
        <w:tc>
          <w:tcPr>
            <w:tcW w:type="dxa" w:w="1600"/>
            <w:tcBorders>
              <w:top w:val="single" w:color="CCCCCC" w:sz="1"/>
              <w:left w:val="single" w:color="CCCCCC" w:sz="1"/>
              <w:bottom w:val="single" w:color="CCCCCC" w:sz="1"/>
              <w:right w:val="single" w:color="CCCCCC" w:sz="1"/>
            </w:tcBorders>
            <w:shd w:fill="1B2A5E" w:val="clear"/>
            <w:tcMar>
              <w:top w:type="dxa" w:w="70"/>
              <w:left w:type="dxa" w:w="100"/>
              <w:bottom w:type="dxa" w:w="70"/>
              <w:right w:type="dxa" w:w="100"/>
            </w:tcMar>
          </w:tcPr>
          <w:p>
            <w:r>
              <w:rPr>
                <w:rFonts w:ascii="Arial" w:cs="Arial" w:eastAsia="Arial" w:hAnsi="Arial"/>
                <w:b/>
                <w:bCs/>
                <w:color w:val="FFFFFF"/>
                <w:sz w:val="18"/>
                <w:szCs w:val="18"/>
              </w:rPr>
              <w:t xml:space="preserve">FIRM</w:t>
            </w:r>
          </w:p>
        </w:tc>
        <w:tc>
          <w:tcPr>
            <w:tcW w:type="dxa" w:w="1400"/>
            <w:tcBorders>
              <w:top w:val="single" w:color="CCCCCC" w:sz="1"/>
              <w:left w:val="single" w:color="CCCCCC" w:sz="1"/>
              <w:bottom w:val="single" w:color="CCCCCC" w:sz="1"/>
              <w:right w:val="single" w:color="CCCCCC" w:sz="1"/>
            </w:tcBorders>
            <w:shd w:fill="1B2A5E" w:val="clear"/>
            <w:tcMar>
              <w:top w:type="dxa" w:w="70"/>
              <w:left w:type="dxa" w:w="100"/>
              <w:bottom w:type="dxa" w:w="70"/>
              <w:right w:type="dxa" w:w="100"/>
            </w:tcMar>
          </w:tcPr>
          <w:p>
            <w:r>
              <w:rPr>
                <w:rFonts w:ascii="Arial" w:cs="Arial" w:eastAsia="Arial" w:hAnsi="Arial"/>
                <w:b/>
                <w:bCs/>
                <w:color w:val="FFFFFF"/>
                <w:sz w:val="18"/>
                <w:szCs w:val="18"/>
              </w:rPr>
              <w:t xml:space="preserve">TICKER</w:t>
            </w:r>
          </w:p>
        </w:tc>
        <w:tc>
          <w:tcPr>
            <w:tcW w:type="dxa" w:w="1800"/>
            <w:tcBorders>
              <w:top w:val="single" w:color="CCCCCC" w:sz="1"/>
              <w:left w:val="single" w:color="CCCCCC" w:sz="1"/>
              <w:bottom w:val="single" w:color="CCCCCC" w:sz="1"/>
              <w:right w:val="single" w:color="CCCCCC" w:sz="1"/>
            </w:tcBorders>
            <w:shd w:fill="1B2A5E" w:val="clear"/>
            <w:tcMar>
              <w:top w:type="dxa" w:w="70"/>
              <w:left w:type="dxa" w:w="100"/>
              <w:bottom w:type="dxa" w:w="70"/>
              <w:right w:type="dxa" w:w="100"/>
            </w:tcMar>
          </w:tcPr>
          <w:p>
            <w:r>
              <w:rPr>
                <w:rFonts w:ascii="Arial" w:cs="Arial" w:eastAsia="Arial" w:hAnsi="Arial"/>
                <w:b/>
                <w:bCs/>
                <w:color w:val="FFFFFF"/>
                <w:sz w:val="18"/>
                <w:szCs w:val="18"/>
              </w:rPr>
              <w:t xml:space="preserve">ACTION</w:t>
            </w:r>
          </w:p>
        </w:tc>
        <w:tc>
          <w:tcPr>
            <w:tcW w:type="dxa" w:w="1400"/>
            <w:tcBorders>
              <w:top w:val="single" w:color="CCCCCC" w:sz="1"/>
              <w:left w:val="single" w:color="CCCCCC" w:sz="1"/>
              <w:bottom w:val="single" w:color="CCCCCC" w:sz="1"/>
              <w:right w:val="single" w:color="CCCCCC" w:sz="1"/>
            </w:tcBorders>
            <w:shd w:fill="1B2A5E" w:val="clear"/>
            <w:tcMar>
              <w:top w:type="dxa" w:w="70"/>
              <w:left w:type="dxa" w:w="100"/>
              <w:bottom w:type="dxa" w:w="70"/>
              <w:right w:type="dxa" w:w="100"/>
            </w:tcMar>
          </w:tcPr>
          <w:p>
            <w:r>
              <w:rPr>
                <w:rFonts w:ascii="Arial" w:cs="Arial" w:eastAsia="Arial" w:hAnsi="Arial"/>
                <w:b/>
                <w:bCs/>
                <w:color w:val="FFFFFF"/>
                <w:sz w:val="18"/>
                <w:szCs w:val="18"/>
              </w:rPr>
              <w:t xml:space="preserve">NEW PT</w:t>
            </w:r>
          </w:p>
        </w:tc>
        <w:tc>
          <w:tcPr>
            <w:tcW w:type="dxa" w:w="3160"/>
            <w:tcBorders>
              <w:top w:val="single" w:color="CCCCCC" w:sz="1"/>
              <w:left w:val="single" w:color="CCCCCC" w:sz="1"/>
              <w:bottom w:val="single" w:color="CCCCCC" w:sz="1"/>
              <w:right w:val="single" w:color="CCCCCC" w:sz="1"/>
            </w:tcBorders>
            <w:shd w:fill="1B2A5E" w:val="clear"/>
            <w:tcMar>
              <w:top w:type="dxa" w:w="70"/>
              <w:left w:type="dxa" w:w="100"/>
              <w:bottom w:type="dxa" w:w="70"/>
              <w:right w:type="dxa" w:w="100"/>
            </w:tcMar>
          </w:tcPr>
          <w:p>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KeyBanc</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CRWD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7A3A"/>
                <w:sz w:val="18"/>
                <w:szCs w:val="18"/>
              </w:rPr>
              <w:t xml:space="preserve">Upgrade → Overweight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$525</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Cybersecurity spending resilient vs. IT pullback; CRWD gaining share in identity segment.</w:t>
            </w:r>
          </w:p>
        </w:tc>
      </w:tr>
      <w:tr>
        <w:tc>
          <w:tcPr>
            <w:tcW w:type="dxa" w:w="16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b w:val="false"/>
                <w:bCs w:val="false"/>
                <w:color w:val="444444"/>
                <w:sz w:val="18"/>
                <w:szCs w:val="18"/>
              </w:rPr>
              <w:t xml:space="preserve">Goldman Sachs</w:t>
            </w:r>
          </w:p>
        </w:tc>
        <w:tc>
          <w:tcPr>
            <w:tcW w:type="dxa" w:w="14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b w:val="false"/>
                <w:bCs w:val="false"/>
                <w:color w:val="444444"/>
                <w:sz w:val="18"/>
                <w:szCs w:val="18"/>
              </w:rPr>
              <w:t xml:space="preserve">METC</w:t>
            </w:r>
          </w:p>
        </w:tc>
        <w:tc>
          <w:tcPr>
            <w:tcW w:type="dxa" w:w="18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b/>
                <w:bCs/>
                <w:color w:val="1A7A3A"/>
                <w:sz w:val="18"/>
                <w:szCs w:val="18"/>
              </w:rPr>
              <w:t xml:space="preserve">Upgrade: Sell → Neutral</w:t>
            </w:r>
          </w:p>
        </w:tc>
        <w:tc>
          <w:tcPr>
            <w:tcW w:type="dxa" w:w="14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b w:val="false"/>
                <w:bCs w:val="false"/>
                <w:color w:val="444444"/>
                <w:sz w:val="18"/>
                <w:szCs w:val="18"/>
              </w:rPr>
              <w:t xml:space="preserve">$15</w:t>
            </w:r>
          </w:p>
        </w:tc>
        <w:tc>
          <w:tcPr>
            <w:tcW w:type="dxa" w:w="31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b w:val="false"/>
                <w:bCs w:val="false"/>
                <w:color w:val="444444"/>
                <w:sz w:val="18"/>
                <w:szCs w:val="18"/>
              </w:rPr>
              <w:t xml:space="preserve">Coking coal pricing stabilizing; downside risks more limited at current valuations.</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Multiple firms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UNH</w:t>
            </w:r>
          </w:p>
        </w:tc>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444444"/>
                <w:sz w:val="18"/>
                <w:szCs w:val="18"/>
              </w:rPr>
              <w:t xml:space="preserve">Target raised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&gt;$650</w:t>
            </w:r>
          </w:p>
        </w:tc>
        <w:tc>
          <w:tcPr>
            <w:tcW w:type="dxa" w:w="3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444444"/>
                <w:sz w:val="18"/>
                <w:szCs w:val="18"/>
              </w:rPr>
              <w:t xml:space="preserve">Post-earnings upgrades following Q1 beat; MLR improvement and AI efficiency cited.</w:t>
            </w:r>
          </w:p>
        </w:tc>
      </w:tr>
      <w:tr>
        <w:tc>
          <w:tcPr>
            <w:tcW w:type="dxa" w:w="16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b w:val="false"/>
                <w:bCs w:val="false"/>
                <w:color w:val="444444"/>
                <w:sz w:val="18"/>
                <w:szCs w:val="18"/>
              </w:rPr>
              <w:t xml:space="preserve">Street consensus</w:t>
            </w:r>
          </w:p>
        </w:tc>
        <w:tc>
          <w:tcPr>
            <w:tcW w:type="dxa" w:w="14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b w:val="false"/>
                <w:bCs w:val="false"/>
                <w:color w:val="444444"/>
                <w:sz w:val="18"/>
                <w:szCs w:val="18"/>
              </w:rPr>
              <w:t xml:space="preserve">TSLA</w:t>
            </w:r>
          </w:p>
        </w:tc>
        <w:tc>
          <w:tcPr>
            <w:tcW w:type="dxa" w:w="18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b/>
                <w:bCs/>
                <w:color w:val="444444"/>
                <w:sz w:val="18"/>
                <w:szCs w:val="18"/>
              </w:rPr>
              <w:t xml:space="preserve">Hold / cautious</w:t>
            </w:r>
          </w:p>
        </w:tc>
        <w:tc>
          <w:tcPr>
            <w:tcW w:type="dxa" w:w="140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b w:val="false"/>
                <w:bCs w:val="false"/>
                <w:color w:val="444444"/>
                <w:sz w:val="18"/>
                <w:szCs w:val="18"/>
              </w:rPr>
              <w:t xml:space="preserve">$185–$250</w:t>
            </w:r>
          </w:p>
        </w:tc>
        <w:tc>
          <w:tcPr>
            <w:tcW w:type="dxa" w:w="3160"/>
            <w:tcBorders>
              <w:top w:val="single" w:color="CCCCCC" w:sz="1"/>
              <w:left w:val="single" w:color="CCCCCC" w:sz="1"/>
              <w:bottom w:val="single" w:color="CCCCCC" w:sz="1"/>
              <w:right w:val="single" w:color="CCCCCC" w:sz="1"/>
            </w:tcBorders>
            <w:shd w:fill="F8F9FF" w:val="clear"/>
            <w:tcMar>
              <w:top w:type="dxa" w:w="70"/>
              <w:left w:type="dxa" w:w="100"/>
              <w:bottom w:type="dxa" w:w="70"/>
              <w:right w:type="dxa" w:w="100"/>
            </w:tcMar>
          </w:tcPr>
          <w:p>
            <w:r>
              <w:rPr>
                <w:rFonts w:ascii="Arial" w:cs="Arial" w:eastAsia="Arial" w:hAnsi="Arial"/>
                <w:b w:val="false"/>
                <w:bCs w:val="false"/>
                <w:color w:val="444444"/>
                <w:sz w:val="18"/>
                <w:szCs w:val="18"/>
              </w:rPr>
              <w:t xml:space="preserve">Delivery miss and energy storage shortfall dampening near-term EPS outlook.</w:t>
            </w:r>
          </w:p>
        </w:tc>
      </w:tr>
    </w:tbl>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9. STOCKS TO WATCH</w:t>
      </w:r>
    </w:p>
    <w:p>
      <w:pPr>
        <w:spacing w:after="80" w:before="280"/>
      </w:pPr>
      <w:r>
        <w:rPr>
          <w:rFonts w:ascii="Arial" w:cs="Arial" w:eastAsia="Arial" w:hAnsi="Arial"/>
          <w:b/>
          <w:bCs/>
          <w:color w:val="1B2A5E"/>
          <w:sz w:val="25"/>
          <w:szCs w:val="25"/>
        </w:rPr>
        <w:t xml:space="preserve">Apple (AAPL) — $175–$180 Zone; Leadership Transition Catalyst</w:t>
      </w:r>
    </w:p>
    <w:p>
      <w:pPr>
        <w:spacing w:after="80" w:before="80"/>
        <w:jc w:val="both"/>
      </w:pPr>
      <w:r>
        <w:rPr>
          <w:rFonts w:ascii="Arial" w:cs="Arial" w:eastAsia="Arial" w:hAnsi="Arial"/>
          <w:b w:val="false"/>
          <w:bCs w:val="false"/>
          <w:i w:val="false"/>
          <w:iCs w:val="false"/>
          <w:color w:val="444444"/>
          <w:sz w:val="22"/>
          <w:szCs w:val="22"/>
        </w:rPr>
        <w:t xml:space="preserve">Apple's CEO transition from Tim Cook to John Ternus is the most significant leadership change in large-cap tech in over a decade. The stock's muted reaction (&lt;1% decline) suggests the market views Ternus as a credible successor—and indeed his M-series chip success backs that up. But the stock faces a more important near-term test: does Ternus articulate a clear AI strategy? Apple's Siri has visibly lagged Google Assistant and OpenAI's offerings. Services revenue growth—which now drives a disproportionate share of Apple's multiple—could be at risk if competitors build more compelling AI-native alternatives. Watch the $175 level as support; a break below would signal the market is pricing in meaningful transition risk.</w:t>
      </w:r>
    </w:p>
    <w:p>
      <w:pPr>
        <w:spacing w:after="80" w:before="280"/>
      </w:pPr>
      <w:r>
        <w:rPr>
          <w:rFonts w:ascii="Arial" w:cs="Arial" w:eastAsia="Arial" w:hAnsi="Arial"/>
          <w:b/>
          <w:bCs/>
          <w:color w:val="1B2A5E"/>
          <w:sz w:val="25"/>
          <w:szCs w:val="25"/>
        </w:rPr>
        <w:t xml:space="preserve">Tesla (TSLA) — Earnings Wednesday; $200–$215 Key Level</w:t>
      </w:r>
    </w:p>
    <w:p>
      <w:pPr>
        <w:spacing w:after="80" w:before="80"/>
        <w:jc w:val="both"/>
      </w:pPr>
      <w:r>
        <w:rPr>
          <w:rFonts w:ascii="Arial" w:cs="Arial" w:eastAsia="Arial" w:hAnsi="Arial"/>
          <w:b w:val="false"/>
          <w:bCs w:val="false"/>
          <w:i w:val="false"/>
          <w:iCs w:val="false"/>
          <w:color w:val="444444"/>
          <w:sz w:val="22"/>
          <w:szCs w:val="22"/>
        </w:rPr>
        <w:t xml:space="preserve">Tesla reports after the close Wednesday with an implied options move of approximately 9-11%. The delivery miss (358K vs. 366K est.) and the energy storage shortfall (8.8 GWh vs. 12.5 GWh est.) have already been digested by the market—Tesla is up significantly from its February lows. The real question is guidance: if Elon Musk signals confidence in H2 2026 delivery ramp and provides specifics on the next-gen affordable model timeline, bulls could push the stock higher despite the Q1 miss. The $200 level has acted as a key pivot; a post-earnings close above $215 would signal resumption of the bullish trend.</w:t>
      </w:r>
    </w:p>
    <w:p>
      <w:pPr>
        <w:spacing w:after="80" w:before="280"/>
      </w:pPr>
      <w:r>
        <w:rPr>
          <w:rFonts w:ascii="Arial" w:cs="Arial" w:eastAsia="Arial" w:hAnsi="Arial"/>
          <w:b/>
          <w:bCs/>
          <w:color w:val="1B2A5E"/>
          <w:sz w:val="25"/>
          <w:szCs w:val="25"/>
        </w:rPr>
        <w:t xml:space="preserve">WTI Crude / Energy ETFs (XLE, USO) — Binary Iran Bet</w:t>
      </w:r>
    </w:p>
    <w:p>
      <w:pPr>
        <w:spacing w:after="80" w:before="80"/>
        <w:jc w:val="both"/>
      </w:pPr>
      <w:r>
        <w:rPr>
          <w:rFonts w:ascii="Arial" w:cs="Arial" w:eastAsia="Arial" w:hAnsi="Arial"/>
          <w:b w:val="false"/>
          <w:bCs w:val="false"/>
          <w:i w:val="false"/>
          <w:iCs w:val="false"/>
          <w:color w:val="444444"/>
          <w:sz w:val="22"/>
          <w:szCs w:val="22"/>
        </w:rPr>
        <w:t xml:space="preserve">With the ceasefire expiring Wednesday, energy instruments are effectively pricing a binary outcome. WTI at $86 reflects a ~60–70% probability of deal, by most options-model estimates. A ceasefire extension or peace deal announcement could push crude back to $75–78; a breakdown in talks could see $95–100 very quickly. The XLE energy ETF is a clean expression of this trade, as is USO for direct crude exposure. Risk management is critical given the potential for overnight gaps around any White House or Iranian Foreign Ministry statement.</w:t>
      </w:r>
    </w:p>
    <w:p>
      <w:pPr>
        <w:spacing w:after="80" w:before="280"/>
      </w:pPr>
      <w:r>
        <w:rPr>
          <w:rFonts w:ascii="Arial" w:cs="Arial" w:eastAsia="Arial" w:hAnsi="Arial"/>
          <w:b/>
          <w:bCs/>
          <w:color w:val="1B2A5E"/>
          <w:sz w:val="25"/>
          <w:szCs w:val="25"/>
        </w:rPr>
        <w:t xml:space="preserve">UnitedHealth (UNH) — Post-Earnings Momentum; $580–$620 Range</w:t>
      </w:r>
    </w:p>
    <w:p>
      <w:pPr>
        <w:spacing w:after="80" w:before="80"/>
        <w:jc w:val="both"/>
      </w:pPr>
      <w:r>
        <w:rPr>
          <w:rFonts w:ascii="Arial" w:cs="Arial" w:eastAsia="Arial" w:hAnsi="Arial"/>
          <w:b w:val="false"/>
          <w:bCs w:val="false"/>
          <w:i w:val="false"/>
          <w:iCs w:val="false"/>
          <w:color w:val="444444"/>
          <w:sz w:val="22"/>
          <w:szCs w:val="22"/>
        </w:rPr>
        <w:t xml:space="preserve">After today's 8% earnings surge, UnitedHealth is now trading near multi-month highs. The beat was comprehensive—revenue, EPS, MLR, and guidance all came in favorably. For short-term traders, the question is whether to chase; for longer-term investors, today's results reinforce the thesis that managed care's cost normalization is real. Consensus price target upgrades post-earnings are likely to push the street target above $650. Watch for any Optum-specific disclosures about AI cost savings methodology in the transcript—this could be the next key value driver for the stock.</w:t>
      </w:r>
    </w:p>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10. GLOBAL MACRO SNAPSHOT</w:t>
      </w:r>
    </w:p>
    <w:p>
      <w:pPr>
        <w:spacing w:after="80" w:before="80"/>
        <w:jc w:val="both"/>
      </w:pPr>
      <w:r>
        <w:rPr>
          <w:rFonts w:ascii="Arial" w:cs="Arial" w:eastAsia="Arial" w:hAnsi="Arial"/>
          <w:b w:val="false"/>
          <w:bCs w:val="false"/>
          <w:i w:val="false"/>
          <w:iCs w:val="false"/>
          <w:color w:val="444444"/>
          <w:sz w:val="22"/>
          <w:szCs w:val="22"/>
        </w:rPr>
        <w:t xml:space="preserve">South Korea's Kospi hit a record high Tuesday at 6,388.47, up 2.72%, driven by a broad-based tech rally and optimism that Iran peace talks could remove the risk premium weighing on export-sensitive economies. Seoul's semiconductor giants—Samsung and SK Hynix—have benefited from easing energy cost pressures as crude retreated from March highs.</w:t>
      </w:r>
    </w:p>
    <w:p>
      <w:pPr>
        <w:spacing w:after="80" w:before="80"/>
        <w:jc w:val="both"/>
      </w:pPr>
      <w:r>
        <w:rPr>
          <w:rFonts w:ascii="Arial" w:cs="Arial" w:eastAsia="Arial" w:hAnsi="Arial"/>
          <w:b w:val="false"/>
          <w:bCs w:val="false"/>
          <w:i w:val="false"/>
          <w:iCs w:val="false"/>
          <w:color w:val="444444"/>
          <w:sz w:val="22"/>
          <w:szCs w:val="22"/>
        </w:rPr>
        <w:t xml:space="preserve">In Europe, markets are opening cautiously. Germany's industrial sector faces direct exposure to Middle East instability through energy costs—the eurozone's heavy dependence on imported energy means any Hormuz closure extension would disproportionately impact European competitiveness. The ECB has remained on hold, watching energy dynamics closely. The euro trades modestly firmer versus the dollar at approximately 1.09–1.10 on expectations of a peace deal.</w:t>
      </w:r>
    </w:p>
    <w:p>
      <w:pPr>
        <w:spacing w:after="80" w:before="80"/>
        <w:jc w:val="both"/>
      </w:pPr>
      <w:r>
        <w:rPr>
          <w:rFonts w:ascii="Arial" w:cs="Arial" w:eastAsia="Arial" w:hAnsi="Arial"/>
          <w:b w:val="false"/>
          <w:bCs w:val="false"/>
          <w:i w:val="false"/>
          <w:iCs w:val="false"/>
          <w:color w:val="444444"/>
          <w:sz w:val="22"/>
          <w:szCs w:val="22"/>
        </w:rPr>
        <w:t xml:space="preserve">China's mainland market (CSI 300) was marginally lower, reflecting ongoing domestic demand uncertainties. Policymakers in Beijing have been attempting to stimulate consumption, but the confidence gap among Chinese consumers has proven persistent. Any Hormuz resolution would be unambiguously positive for China, the world's largest crude importer.</w:t>
      </w:r>
    </w:p>
    <w:p>
      <w:pPr>
        <w:spacing w:after="80" w:before="80"/>
        <w:jc w:val="both"/>
      </w:pPr>
      <w:r>
        <w:rPr>
          <w:rFonts w:ascii="Arial" w:cs="Arial" w:eastAsia="Arial" w:hAnsi="Arial"/>
          <w:b w:val="false"/>
          <w:bCs w:val="false"/>
          <w:i w:val="false"/>
          <w:iCs w:val="false"/>
          <w:color w:val="444444"/>
          <w:sz w:val="22"/>
          <w:szCs w:val="22"/>
        </w:rPr>
        <w:t xml:space="preserve">The IMF this week reiterated its warning that global growth will take a measurable hit even in the event of a ceasefire, citing investment delays, rerouting costs, and insurance premium increases as structural drags on trade flows. Emerging markets with current account deficits and dollar-denominated debt face compounding pressures from the combination of a strong dollar and elevated energy costs.</w:t>
      </w:r>
    </w:p>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11. WEEK AHEAD PREVIEW</w:t>
      </w:r>
    </w:p>
    <w:p>
      <w:pPr>
        <w:spacing w:after="80" w:before="80"/>
        <w:jc w:val="both"/>
      </w:pPr>
      <w:r>
        <w:rPr>
          <w:rFonts w:ascii="Arial" w:cs="Arial" w:eastAsia="Arial" w:hAnsi="Arial"/>
          <w:b w:val="false"/>
          <w:bCs w:val="false"/>
          <w:i w:val="false"/>
          <w:iCs w:val="false"/>
          <w:color w:val="444444"/>
          <w:sz w:val="22"/>
          <w:szCs w:val="22"/>
        </w:rPr>
        <w:t xml:space="preserve">Wednesday is the most consequential day of the week. The US-Iran ceasefire deadline falls at midnight Wednesday—any deal extension or breakdown will be the dominant market driver. Simultaneously, Tesla and IBM report after the close, making it a pivotal 24 hours for both geopolitics and earnings season.</w:t>
      </w:r>
    </w:p>
    <w:p>
      <w:pPr>
        <w:spacing w:after="80" w:before="80"/>
        <w:jc w:val="both"/>
      </w:pPr>
      <w:r>
        <w:rPr>
          <w:rFonts w:ascii="Arial" w:cs="Arial" w:eastAsia="Arial" w:hAnsi="Arial"/>
          <w:b w:val="false"/>
          <w:bCs w:val="false"/>
          <w:i w:val="false"/>
          <w:iCs w:val="false"/>
          <w:color w:val="444444"/>
          <w:sz w:val="22"/>
          <w:szCs w:val="22"/>
        </w:rPr>
        <w:t xml:space="preserve">Thursday brings Initial Jobless Claims and the Flash PMI readings for April—the first real-time data on how the Iran conflict and policy uncertainty are affecting economic activity. ServiceNow, Intel, and Philip Morris also report. Friday closes the week with the Fed's preferred inflation gauge: the PCE Price Index for March. Given the CPI re-acceleration, a hot PCE reading would firmly close the door on any 2026 rate cuts and could push yields higher.</w:t>
      </w:r>
    </w:p>
    <w:p>
      <w:pPr>
        <w:spacing w:after="80" w:before="80"/>
        <w:jc w:val="both"/>
      </w:pPr>
      <w:r>
        <w:rPr>
          <w:rFonts w:ascii="Arial" w:cs="Arial" w:eastAsia="Arial" w:hAnsi="Arial"/>
          <w:b w:val="false"/>
          <w:bCs w:val="false"/>
          <w:i w:val="false"/>
          <w:iCs w:val="false"/>
          <w:color w:val="444444"/>
          <w:sz w:val="22"/>
          <w:szCs w:val="22"/>
        </w:rPr>
        <w:t xml:space="preserve">The Warsh confirmation hearing's aftermath will play out across the week—expect op-eds, analyst notes, and congressional commentary as the market digests what a Warsh-led Fed means for the policy path. Boeing's earnings Wednesday will also be closely watched, as the company's recovery trajectory matters for the industrial sector and US manufacturing credibility globally.</w:t>
      </w:r>
    </w:p>
    <w:p>
      <w:pPr>
        <w:spacing w:after="80" w:before="80"/>
        <w:jc w:val="both"/>
      </w:pPr>
      <w:r>
        <w:rPr>
          <w:rFonts w:ascii="Arial" w:cs="Arial" w:eastAsia="Arial" w:hAnsi="Arial"/>
          <w:b w:val="false"/>
          <w:bCs w:val="false"/>
          <w:i w:val="false"/>
          <w:iCs w:val="false"/>
          <w:color w:val="444444"/>
          <w:sz w:val="22"/>
          <w:szCs w:val="22"/>
        </w:rPr>
        <w:t xml:space="preserve">Key levels to monitor: S&amp;P 500 support at 7,100; WTI resistance at $90 (above which re-enters energy-shock territory); 10Y Treasury yield at 4.40% (above which bond market begins pricing more persistent inflation). The week has the potential to be one of the most market-moving of the year.</w:t>
      </w:r>
    </w:p>
    <w:p>
      <w:pPr>
        <w:spacing w:after="60" w:before="60"/>
      </w:pPr>
      <w:r>
        <w:t xml:space="preserve"/>
      </w:r>
    </w:p>
    <w:p>
      <w:pPr>
        <w:pBdr>
          <w:bottom w:val="single" w:color="C9A84C" w:sz="8" w:space="4"/>
        </w:pBdr>
        <w:spacing w:after="120" w:before="360"/>
      </w:pPr>
      <w:r>
        <w:rPr>
          <w:rFonts w:ascii="Arial" w:cs="Arial" w:eastAsia="Arial" w:hAnsi="Arial"/>
          <w:b/>
          <w:bCs/>
          <w:caps/>
          <w:color w:val="1B2A5E"/>
          <w:sz w:val="26"/>
          <w:szCs w:val="26"/>
        </w:rPr>
        <w:t xml:space="preserve">12. CLOSING THOUGHT</w:t>
      </w:r>
    </w:p>
    <w:p>
      <w:pPr>
        <w:spacing w:after="80" w:before="80"/>
        <w:jc w:val="both"/>
      </w:pPr>
      <w:r>
        <w:rPr>
          <w:rFonts w:ascii="Arial" w:cs="Arial" w:eastAsia="Arial" w:hAnsi="Arial"/>
          <w:b w:val="false"/>
          <w:bCs w:val="false"/>
          <w:i w:val="false"/>
          <w:iCs w:val="false"/>
          <w:color w:val="444444"/>
          <w:sz w:val="22"/>
          <w:szCs w:val="22"/>
        </w:rPr>
        <w:t xml:space="preserve">Here is the risk the market appears to be underpricing: the ceasefire ends Wednesday, talks collapse, and the Strait of Hormuz re-closes—not because Iran wants a prolonged conflict, but because the domestic political calculus in Tehran makes accepting a 20-year enrichment freeze politically impossible. The current consensus assigns this a relatively low probability, partly because Trump's track record on negotiations suggests he will find a deal. But that confidence may be misplaced. In 1990, markets were caught badly offside when Iraq invaded Kuwait after weeks of seemingly constructive diplomatic signals. The pattern of geopolitical optimism preceding a shock is well-documented.</w:t>
      </w:r>
    </w:p>
    <w:p>
      <w:pPr>
        <w:spacing w:after="80" w:before="80"/>
        <w:jc w:val="both"/>
      </w:pPr>
      <w:r>
        <w:rPr>
          <w:rFonts w:ascii="Arial" w:cs="Arial" w:eastAsia="Arial" w:hAnsi="Arial"/>
          <w:b w:val="false"/>
          <w:bCs w:val="false"/>
          <w:i w:val="false"/>
          <w:iCs w:val="false"/>
          <w:color w:val="444444"/>
          <w:sz w:val="22"/>
          <w:szCs w:val="22"/>
        </w:rPr>
        <w:t xml:space="preserve">The historical parallel worth holding in mind: the 1973 oil embargo began not as a planned long-term strategy but as an improvised response to a tactical escalation that negotiators failed to contain. Oil went from $3 to $12 in four months. The current setup is not identical—US domestic production is far higher, strategic reserves are substantial—but the market's complacency about a binary Wednesday outcome deserves more respect than it is currently receiving. Position sizing matters this week. Hedge accordingly.</w:t>
      </w:r>
    </w:p>
    <w:p>
      <w:pPr>
        <w:spacing w:after="60" w:before="60"/>
      </w:pPr>
      <w:r>
        <w:t xml:space="preserve"/>
      </w:r>
    </w:p>
    <w:p>
      <w:pPr>
        <w:pBdr>
          <w:top w:val="single" w:color="C9A84C" w:sz="4" w:space="4"/>
        </w:pBdr>
        <w:spacing w:after="0" w:before="200"/>
        <w:jc w:val="center"/>
      </w:pPr>
      <w:r>
        <w:rPr>
          <w:rFonts w:ascii="Arial" w:cs="Arial" w:eastAsia="Arial" w:hAnsi="Arial"/>
          <w:i/>
          <w:iCs/>
          <w:color w:val="888888"/>
          <w:sz w:val="16"/>
          <w:szCs w:val="16"/>
        </w:rPr>
        <w:t xml:space="preserve">Daily Financial Brief — Prepared by AI Research | For informational purposes only. Not investment advice.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026"/>
      </w:tabs>
      <w:spacing w:after="0" w:before="60"/>
    </w:pPr>
    <w:r>
      <w:rPr>
        <w:rFonts w:ascii="Arial" w:cs="Arial" w:eastAsia="Arial" w:hAnsi="Arial"/>
        <w:i/>
        <w:iCs/>
        <w:color w:val="AAAAAA"/>
        <w:sz w:val="16"/>
        <w:szCs w:val="16"/>
      </w:rPr>
      <w:t xml:space="preserve">For informational purposes only. Not investment advice.</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2"/>
      </w:pBdr>
      <w:tabs>
        <w:tab w:val="right" w:pos="9026"/>
      </w:tabs>
      <w:spacing w:after="60" w:before="0"/>
    </w:pPr>
    <w:r>
      <w:rPr>
        <w:rFonts w:ascii="Arial" w:cs="Arial" w:eastAsia="Arial" w:hAnsi="Arial"/>
        <w:b/>
        <w:bCs/>
        <w:color w:val="1B2A5E"/>
        <w:sz w:val="20"/>
        <w:szCs w:val="20"/>
      </w:rPr>
      <w:t xml:space="preserve">DAILY FINANCIAL BRIEF</w:t>
    </w:r>
    <w:r>
      <w:rPr>
        <w:rFonts w:ascii="Arial" w:cs="Arial" w:eastAsia="Arial" w:hAnsi="Arial"/>
        <w:color w:val="888888"/>
        <w:sz w:val="18"/>
        <w:szCs w:val="18"/>
      </w:rPr>
      <w:t xml:space="preserve">  |  Tuesday, April 21, 2026</w:t>
    </w:r>
    <w:r>
      <w:rPr>
        <w:rFonts w:ascii="Arial" w:cs="Arial" w:eastAsia="Arial" w:hAnsi="Arial"/>
        <w:sz w:val="18"/>
        <w:szCs w:val="18"/>
      </w:rPr>
      <w:t xml:space="preserve">	</w:t>
    </w:r>
    <w:r>
      <w:rPr>
        <w:rFonts w:ascii="Arial" w:cs="Arial" w:eastAsia="Arial" w:hAnsi="Arial"/>
        <w:i/>
        <w:iCs/>
        <w:color w:val="AAAAAA"/>
        <w:sz w:val="16"/>
        <w:szCs w:val="16"/>
      </w:rPr>
      <w:t xml:space="preserve">CONFIDENTIAL — NOT FOR REDISTRIBUTION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2026-04-21T17:51:38.371Z</dcterms:created>
  <dcterms:modified xsi:type="dcterms:W3CDTF">2026-04-21T17:51:38.372Z</dcterms:modified>
</cp:coreProperties>
</file>

<file path=docProps/custom.xml><?xml version="1.0" encoding="utf-8"?>
<Properties xmlns="http://schemas.openxmlformats.org/officeDocument/2006/custom-properties" xmlns:vt="http://schemas.openxmlformats.org/officeDocument/2006/docPropsVTypes"/>
</file>