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D2545" w:val="clear"/>
            <w:tcMar>
              <w:top w:type="dxa" w:w="200"/>
              <w:left w:type="dxa" w:w="300"/>
              <w:bottom w:type="dxa" w:w="200"/>
              <w:right w:type="dxa" w:w="300"/>
            </w:tcMar>
          </w:tcPr>
          <w:p>
            <w:pPr>
              <w:jc w:val="center"/>
            </w:pPr>
            <w:r>
              <w:rPr>
                <w:rFonts w:ascii="Arial" w:cs="Arial" w:eastAsia="Arial" w:hAnsi="Arial"/>
                <w:b/>
                <w:bCs/>
                <w:color w:val="FFFFFF"/>
                <w:sz w:val="52"/>
                <w:szCs w:val="52"/>
              </w:rPr>
              <w:t xml:space="preserve">DAILY FINANCIAL BRIEF</w:t>
            </w:r>
          </w:p>
          <w:p>
            <w:pPr>
              <w:jc w:val="center"/>
            </w:pPr>
            <w:r>
              <w:rPr>
                <w:rFonts w:ascii="Arial" w:cs="Arial" w:eastAsia="Arial" w:hAnsi="Arial"/>
                <w:color w:val="C9A84C"/>
                <w:sz w:val="22"/>
                <w:szCs w:val="22"/>
              </w:rPr>
              <w:t xml:space="preserve">Wednesday, April 22, 2026  •  Pre-Market Edition</w:t>
            </w:r>
          </w:p>
        </w:tc>
      </w:tr>
    </w:tbl>
    <w:p>
      <w:pPr>
        <w:spacing w:after="0" w:before="120"/>
      </w:pPr>
    </w:p>
    <w:p>
      <w:pPr>
        <w:pBdr>
          <w:bottom w:val="single" w:color="C9A84C" w:sz="6" w:space="2"/>
        </w:pBdr>
        <w:spacing w:after="80" w:before="320"/>
      </w:pPr>
      <w:r>
        <w:rPr>
          <w:rFonts w:ascii="Arial" w:cs="Arial" w:eastAsia="Arial" w:hAnsi="Arial"/>
          <w:b/>
          <w:bCs/>
          <w:color w:val="0D2545"/>
          <w:sz w:val="26"/>
          <w:szCs w:val="26"/>
        </w:rPr>
        <w:t xml:space="preserve">1. THE MORNING SETUP</w:t>
      </w:r>
    </w:p>
    <w:p>
      <w:pPr>
        <w:spacing w:after="80" w:before="100"/>
      </w:pPr>
      <w:r>
        <w:rPr>
          <w:rFonts w:ascii="Arial" w:cs="Arial" w:eastAsia="Arial" w:hAnsi="Arial"/>
          <w:b/>
          <w:bCs/>
          <w:color w:val="0D2545"/>
          <w:sz w:val="22"/>
          <w:szCs w:val="22"/>
        </w:rPr>
        <w:t xml:space="preserve">Markets are threading a needle this Wednesday morning: </w:t>
      </w:r>
      <w:r>
        <w:rPr>
          <w:rFonts w:ascii="Arial" w:cs="Arial" w:eastAsia="Arial" w:hAnsi="Arial"/>
          <w:sz w:val="22"/>
          <w:szCs w:val="22"/>
        </w:rPr>
        <w:t xml:space="preserve">cautious optimism meets geopolitical anxiety as President Trump extended a fragile two-week ceasefire with Iran just hours before it was set to expire, injecting a fresh dose of relief into risk assets — but stopping well short of the comprehensive deal that would fully reopen the Strait of Hormuz. S&amp;P 500 futures gained 0.5% and Nasdaq 100 contracts climbed 0.7%, though with Brent crude still threatening the psychologically charged $100-per-barrel level and the Fed meeting just one week away, the rally lacks conviction.</w:t>
      </w:r>
    </w:p>
    <w:p>
      <w:pPr>
        <w:spacing w:after="100" w:before="40"/>
      </w:pPr>
      <w:r>
        <w:rPr>
          <w:rFonts w:ascii="Arial" w:cs="Arial" w:eastAsia="Arial" w:hAnsi="Arial"/>
          <w:b/>
          <w:bCs/>
          <w:sz w:val="22"/>
          <w:szCs w:val="22"/>
        </w:rPr>
        <w:t xml:space="preserve">The day's two defining catalysts arrive after the bell: </w:t>
      </w:r>
      <w:r>
        <w:rPr>
          <w:rFonts w:ascii="Arial" w:cs="Arial" w:eastAsia="Arial" w:hAnsi="Arial"/>
          <w:sz w:val="22"/>
          <w:szCs w:val="22"/>
        </w:rPr>
        <w:t xml:space="preserve">Tesla reports Q1 2026 results carrying the heaviest expectations of the earnings season — Elon Musk must square a 50,000-unit inventory overhang, a bruised brand from his political activities, and Wall Street's demand for credibility on the AI-infrastructure pivot. Meanwhile, Boeing opens the session with its own first-quarter numbers, where analysts are watching whether the aerospace giant's recovery cadence is intact or slipping again. With the Fed on a pre-meeting blackout, macro direction will be set by oil headlines and whatever Musk says on the Tesla conference call.</w:t>
      </w:r>
    </w:p>
    <w:p>
      <w:pPr>
        <w:pBdr>
          <w:bottom w:val="single" w:color="C9A84C" w:sz="6" w:space="2"/>
        </w:pBdr>
        <w:spacing w:after="80" w:before="320"/>
      </w:pPr>
      <w:r>
        <w:rPr>
          <w:rFonts w:ascii="Arial" w:cs="Arial" w:eastAsia="Arial" w:hAnsi="Arial"/>
          <w:b/>
          <w:bCs/>
          <w:color w:val="0D2545"/>
          <w:sz w:val="26"/>
          <w:szCs w:val="26"/>
        </w:rPr>
        <w:t xml:space="preserve">2. MARKETS AT A GLANCE</w:t>
      </w:r>
    </w:p>
    <w:p>
      <w:pPr>
        <w:spacing w:after="40" w:before="120"/>
      </w:pPr>
      <w:r>
        <w:rPr>
          <w:rFonts w:ascii="Arial" w:cs="Arial" w:eastAsia="Arial" w:hAnsi="Arial"/>
          <w:b/>
          <w:bCs/>
          <w:color w:val="0D2545"/>
          <w:sz w:val="21"/>
          <w:szCs w:val="21"/>
        </w:rPr>
        <w:t xml:space="preserve">US EQUITY FUTURES &amp; PRIOR SESSION</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tblGrid>
      <w:tr>
        <w:tc>
          <w:tcPr>
            <w:tcW w:type="dxa" w:w="3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Index / Instrument</w:t>
            </w:r>
          </w:p>
        </w:tc>
        <w:tc>
          <w:tcPr>
            <w:tcW w:type="dxa" w:w="2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Level / Price</w:t>
            </w:r>
          </w:p>
        </w:tc>
        <w:tc>
          <w:tcPr>
            <w:tcW w:type="dxa" w:w="18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Change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S&amp;P 500 Futures (ES)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~7,099</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+0.50%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Nasdaq 100 Futures (NQ)</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~24,430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+0.70%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Dow Futures (YM)</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~49,440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+0.30%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S&amp;P 500 (prior close)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7,064.01</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-0.63%</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Nasdaq Composite (prior)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24,259.96</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-0.59%</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DJIA (prior close)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49,149.38</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-0.59%</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VIX</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18.87</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11111"/>
                <w:sz w:val="20"/>
                <w:szCs w:val="20"/>
              </w:rPr>
              <w:t xml:space="preserve">Elevated</w:t>
            </w:r>
          </w:p>
        </w:tc>
      </w:tr>
    </w:tbl>
    <w:p>
      <w:pPr>
        <w:spacing w:after="0" w:before="80"/>
      </w:pPr>
    </w:p>
    <w:p>
      <w:pPr>
        <w:spacing w:after="40" w:before="100"/>
      </w:pPr>
      <w:r>
        <w:rPr>
          <w:rFonts w:ascii="Arial" w:cs="Arial" w:eastAsia="Arial" w:hAnsi="Arial"/>
          <w:b/>
          <w:bCs/>
          <w:color w:val="0D2545"/>
          <w:sz w:val="21"/>
          <w:szCs w:val="21"/>
        </w:rPr>
        <w:t xml:space="preserve">ASIA-PACIFIC (Wednesday Close)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tblGrid>
      <w:tr>
        <w:tc>
          <w:tcPr>
            <w:tcW w:type="dxa" w:w="3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Index</w:t>
            </w:r>
          </w:p>
        </w:tc>
        <w:tc>
          <w:tcPr>
            <w:tcW w:type="dxa" w:w="2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Level / Price</w:t>
            </w:r>
          </w:p>
        </w:tc>
        <w:tc>
          <w:tcPr>
            <w:tcW w:type="dxa" w:w="18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Change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Nikkei 225 (Japan)</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59,349</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+0.89%</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Hang Seng (Hong Kong)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23,980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+0.35%</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Shanghai Composite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3,402</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-0.20%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KOSPI (South Korea)</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Record High</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11111"/>
                <w:sz w:val="20"/>
                <w:szCs w:val="20"/>
              </w:rPr>
              <w:t xml:space="preserve">Positive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ASX 200 (Australia)</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8,145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+0.40%</w:t>
            </w:r>
          </w:p>
        </w:tc>
      </w:tr>
    </w:tbl>
    <w:p>
      <w:pPr>
        <w:spacing w:after="0" w:before="80"/>
      </w:pPr>
    </w:p>
    <w:p>
      <w:pPr>
        <w:spacing w:after="40" w:before="100"/>
      </w:pPr>
      <w:r>
        <w:rPr>
          <w:rFonts w:ascii="Arial" w:cs="Arial" w:eastAsia="Arial" w:hAnsi="Arial"/>
          <w:b/>
          <w:bCs/>
          <w:color w:val="0D2545"/>
          <w:sz w:val="21"/>
          <w:szCs w:val="21"/>
        </w:rPr>
        <w:t xml:space="preserve">EUROPE (Early Trade / Expected Open)</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tblGrid>
      <w:tr>
        <w:tc>
          <w:tcPr>
            <w:tcW w:type="dxa" w:w="3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Index</w:t>
            </w:r>
          </w:p>
        </w:tc>
        <w:tc>
          <w:tcPr>
            <w:tcW w:type="dxa" w:w="2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Level / Price</w:t>
            </w:r>
          </w:p>
        </w:tc>
        <w:tc>
          <w:tcPr>
            <w:tcW w:type="dxa" w:w="18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Change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FTSE 100 (UK)</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Expected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-0.30%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DAX (Germany)</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Expected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-0.30%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CAC 40 (France)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Expected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-0.30%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Euro Stoxx 50</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Expected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-0.25%</w:t>
            </w:r>
          </w:p>
        </w:tc>
      </w:tr>
    </w:tbl>
    <w:p>
      <w:pPr>
        <w:spacing w:after="0" w:before="80"/>
      </w:pPr>
    </w:p>
    <w:p>
      <w:pPr>
        <w:spacing w:after="40" w:before="100"/>
      </w:pPr>
      <w:r>
        <w:rPr>
          <w:rFonts w:ascii="Arial" w:cs="Arial" w:eastAsia="Arial" w:hAnsi="Arial"/>
          <w:b/>
          <w:bCs/>
          <w:color w:val="0D2545"/>
          <w:sz w:val="21"/>
          <w:szCs w:val="21"/>
        </w:rPr>
        <w:t xml:space="preserve">FIXED INCOME &amp; FX</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tblGrid>
      <w:tr>
        <w:tc>
          <w:tcPr>
            <w:tcW w:type="dxa" w:w="3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Instrument</w:t>
            </w:r>
          </w:p>
        </w:tc>
        <w:tc>
          <w:tcPr>
            <w:tcW w:type="dxa" w:w="2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Level / Price</w:t>
            </w:r>
          </w:p>
        </w:tc>
        <w:tc>
          <w:tcPr>
            <w:tcW w:type="dxa" w:w="18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Change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10-Year Treasury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~4.30%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11111"/>
                <w:sz w:val="20"/>
                <w:szCs w:val="20"/>
              </w:rPr>
              <w:t xml:space="preserve">Flat</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2-Year Treasury</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~4.05%</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11111"/>
                <w:sz w:val="20"/>
                <w:szCs w:val="20"/>
              </w:rPr>
              <w:t xml:space="preserve">Slight ↓</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30-Year Treasury</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~4.60%</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11111"/>
                <w:sz w:val="20"/>
                <w:szCs w:val="20"/>
              </w:rPr>
              <w:t xml:space="preserve">Flat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DXY (Dollar Index)</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98.35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-0.04%</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EUR/USD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1.075</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+0.10%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GBP/USD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1.287</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+0.05%</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USD/JPY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143.80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-0.20%</w:t>
            </w:r>
          </w:p>
        </w:tc>
      </w:tr>
    </w:tbl>
    <w:p>
      <w:pPr>
        <w:spacing w:after="0" w:before="80"/>
      </w:pPr>
    </w:p>
    <w:p>
      <w:pPr>
        <w:spacing w:after="40" w:before="100"/>
      </w:pPr>
      <w:r>
        <w:rPr>
          <w:rFonts w:ascii="Arial" w:cs="Arial" w:eastAsia="Arial" w:hAnsi="Arial"/>
          <w:b/>
          <w:bCs/>
          <w:color w:val="0D2545"/>
          <w:sz w:val="21"/>
          <w:szCs w:val="21"/>
        </w:rPr>
        <w:t xml:space="preserve">COMMODITIES &amp; CRYPTO</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tblGrid>
      <w:tr>
        <w:tc>
          <w:tcPr>
            <w:tcW w:type="dxa" w:w="3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Asset</w:t>
            </w:r>
          </w:p>
        </w:tc>
        <w:tc>
          <w:tcPr>
            <w:tcW w:type="dxa" w:w="2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Level / Price</w:t>
            </w:r>
          </w:p>
        </w:tc>
        <w:tc>
          <w:tcPr>
            <w:tcW w:type="dxa" w:w="18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Change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WTI Crude Oil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$92.13/bbl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+2.80%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Brent Crude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$98.48/bbl</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+3.10%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Natural Gas (Henry Hub)</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$3.85/MMBtu</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+1.20%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Gold (XAU/USD)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$4,759</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-0.30%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Silver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$33.40</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B91C1C"/>
                <w:sz w:val="20"/>
                <w:szCs w:val="20"/>
              </w:rPr>
              <w:t xml:space="preserve">-0.50%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Copper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$4.82/lb</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+0.60%</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Bitcoin (BTC)</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$76,535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+2.70%</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Ethereum (ETH)</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val="false"/>
                <w:bCs w:val="false"/>
                <w:color w:val="111111"/>
                <w:sz w:val="20"/>
                <w:szCs w:val="20"/>
              </w:rPr>
              <w:t xml:space="preserve">$2,322</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right"/>
            </w:pPr>
            <w:r>
              <w:rPr>
                <w:rFonts w:ascii="Arial" w:cs="Arial" w:eastAsia="Arial" w:hAnsi="Arial"/>
                <w:b/>
                <w:bCs/>
                <w:color w:val="1A7F37"/>
                <w:sz w:val="20"/>
                <w:szCs w:val="20"/>
              </w:rPr>
              <w:t xml:space="preserve">+2.20%</w:t>
            </w:r>
          </w:p>
        </w:tc>
      </w:tr>
    </w:tbl>
    <w:p>
      <w:pPr>
        <w:pBdr>
          <w:bottom w:val="single" w:color="C9A84C" w:sz="6" w:space="2"/>
        </w:pBdr>
        <w:spacing w:after="80" w:before="320"/>
      </w:pPr>
      <w:r>
        <w:rPr>
          <w:rFonts w:ascii="Arial" w:cs="Arial" w:eastAsia="Arial" w:hAnsi="Arial"/>
          <w:b/>
          <w:bCs/>
          <w:color w:val="0D2545"/>
          <w:sz w:val="26"/>
          <w:szCs w:val="26"/>
        </w:rPr>
        <w:t xml:space="preserve">3. TOP STORIES</w:t>
      </w:r>
    </w:p>
    <w:p>
      <w:pPr>
        <w:spacing w:after="60" w:before="200"/>
      </w:pPr>
      <w:r>
        <w:rPr>
          <w:rFonts w:ascii="Arial" w:cs="Arial" w:eastAsia="Arial" w:hAnsi="Arial"/>
          <w:b/>
          <w:bCs/>
          <w:color w:val="0D2545"/>
          <w:sz w:val="26"/>
          <w:szCs w:val="26"/>
        </w:rPr>
        <w:t xml:space="preserve">1.  IRAN CEASEFIRE EXTENDED — BUT THE CLOCK IS STILL TICKING</w:t>
      </w:r>
    </w:p>
    <w:p>
      <w:pPr>
        <w:spacing w:after="80" w:before="80"/>
      </w:pPr>
      <w:r>
        <w:rPr>
          <w:rFonts w:ascii="Arial" w:cs="Arial" w:eastAsia="Arial" w:hAnsi="Arial"/>
          <w:b/>
          <w:bCs/>
          <w:color w:val="0D2545"/>
          <w:sz w:val="22"/>
          <w:szCs w:val="22"/>
        </w:rPr>
        <w:t xml:space="preserve">Market Impact: </w:t>
      </w:r>
      <w:r>
        <w:rPr>
          <w:rFonts w:ascii="Arial" w:cs="Arial" w:eastAsia="Arial" w:hAnsi="Arial"/>
          <w:sz w:val="22"/>
          <w:szCs w:val="22"/>
        </w:rPr>
        <w:t xml:space="preserve">Crude oil off highs; risk assets grinding cautiously higher.</w:t>
      </w:r>
    </w:p>
    <w:p>
      <w:pPr>
        <w:spacing w:after="60" w:before="60"/>
      </w:pPr>
      <w:r>
        <w:rPr>
          <w:rFonts w:ascii="Arial" w:cs="Arial" w:eastAsia="Arial" w:hAnsi="Arial"/>
          <w:b w:val="false"/>
          <w:bCs w:val="false"/>
          <w:color w:val="111111"/>
          <w:sz w:val="22"/>
          <w:szCs w:val="22"/>
        </w:rPr>
        <w:t xml:space="preserve">President Trump announced Tuesday evening that he would extend the two-week US-Iran ceasefire, citing Tehran's "seriously fractured" government and leaving a window open for a diplomatic solution. The move arrested what had been building into a full-on collapse of the truce — Brent crude had risen 3% to $98.48 on Monday as tanker operators reported continued blockades at the Strait of Hormuz and peace-talk schedules remained unclear.</w:t>
      </w:r>
    </w:p>
    <w:p>
      <w:pPr>
        <w:spacing w:after="60" w:before="60"/>
      </w:pPr>
      <w:r>
        <w:rPr>
          <w:rFonts w:ascii="Arial" w:cs="Arial" w:eastAsia="Arial" w:hAnsi="Arial"/>
          <w:b w:val="false"/>
          <w:bCs w:val="false"/>
          <w:color w:val="111111"/>
          <w:sz w:val="22"/>
          <w:szCs w:val="22"/>
        </w:rPr>
        <w:t xml:space="preserve">The stakes are enormous. The Strait handles roughly 20% of globally traded oil. Since Iran's forces partially closed the waterway in early April, the EIA estimated production shut-ins of up to 9.1 million barrels per day at peak disruption. Oil markets had already swung violently: Brent plunged 13% on ceasefire day (April 7), only to claw back most of those gains as the truce's fragility became apparent. WTI is now trading near $92/bbl — uncomfortably close to levels that begin to meaningfully drag on US consumer spending and corporate margins.</w:t>
      </w:r>
    </w:p>
    <w:p>
      <w:pPr>
        <w:spacing w:after="80" w:before="80"/>
      </w:pPr>
      <w:r>
        <w:rPr>
          <w:rFonts w:ascii="Arial" w:cs="Arial" w:eastAsia="Arial" w:hAnsi="Arial"/>
          <w:b/>
          <w:bCs/>
          <w:color w:val="C9A84C"/>
          <w:sz w:val="22"/>
          <w:szCs w:val="22"/>
        </w:rPr>
        <w:t xml:space="preserve">Watch: </w:t>
      </w:r>
      <w:r>
        <w:rPr>
          <w:rFonts w:ascii="Arial" w:cs="Arial" w:eastAsia="Arial" w:hAnsi="Arial"/>
          <w:sz w:val="22"/>
          <w:szCs w:val="22"/>
        </w:rPr>
        <w:t xml:space="preserve">The next 72 hours are pivotal. Trump's statement gave no firm timeline for peace talks, and Iranian officials have not publicly confirmed. A ceasefire collapse would send Brent toward $105-$110; a concrete deal framework could pull it back to $80-$85 rapidly. Energy sector options are pricing in roughly ±8% weekly moves.</w:t>
      </w:r>
    </w:p>
    <w:p>
      <w:pPr>
        <w:spacing w:after="60" w:before="200"/>
      </w:pPr>
      <w:r>
        <w:rPr>
          <w:rFonts w:ascii="Arial" w:cs="Arial" w:eastAsia="Arial" w:hAnsi="Arial"/>
          <w:b/>
          <w:bCs/>
          <w:color w:val="0D2545"/>
          <w:sz w:val="26"/>
          <w:szCs w:val="26"/>
        </w:rPr>
        <w:t xml:space="preserve">2.  APPLE NAMES JOHN TERNUS CEO — TIM COOK BECOMES EXECUTIVE CHAIRMAN</w:t>
      </w:r>
    </w:p>
    <w:p>
      <w:pPr>
        <w:spacing w:after="80" w:before="80"/>
      </w:pPr>
      <w:r>
        <w:rPr>
          <w:rFonts w:ascii="Arial" w:cs="Arial" w:eastAsia="Arial" w:hAnsi="Arial"/>
          <w:b/>
          <w:bCs/>
          <w:color w:val="0D2545"/>
          <w:sz w:val="22"/>
          <w:szCs w:val="22"/>
        </w:rPr>
        <w:t xml:space="preserve">Market Impact: </w:t>
      </w:r>
      <w:r>
        <w:rPr>
          <w:rFonts w:ascii="Arial" w:cs="Arial" w:eastAsia="Arial" w:hAnsi="Arial"/>
          <w:sz w:val="22"/>
          <w:szCs w:val="22"/>
        </w:rPr>
        <w:t xml:space="preserve">AAPL futures mixed; Wall Street parsing AI credibility of new leadership.</w:t>
      </w:r>
    </w:p>
    <w:p>
      <w:pPr>
        <w:spacing w:after="60" w:before="60"/>
      </w:pPr>
      <w:r>
        <w:rPr>
          <w:rFonts w:ascii="Arial" w:cs="Arial" w:eastAsia="Arial" w:hAnsi="Arial"/>
          <w:b w:val="false"/>
          <w:bCs w:val="false"/>
          <w:color w:val="111111"/>
          <w:sz w:val="22"/>
          <w:szCs w:val="22"/>
        </w:rPr>
        <w:t xml:space="preserve">In the most significant leadership transition in Silicon Valley since Satya Nadella took the Microsoft helm, Apple announced Monday that Tim Cook will transition to Executive Chairman on September 1, 2026, with John Ternus — the 51-year-old SVP of Hardware Engineering and 25-year Apple veteran — assuming the CEO role. The move ends Cook's 15-year tenure as one of the most operationally successful executives in corporate history, during which Apple grew from roughly $300 billion to a multi-trillion-dollar market cap.</w:t>
      </w:r>
    </w:p>
    <w:p>
      <w:pPr>
        <w:spacing w:after="60" w:before="60"/>
      </w:pPr>
      <w:r>
        <w:rPr>
          <w:rFonts w:ascii="Arial" w:cs="Arial" w:eastAsia="Arial" w:hAnsi="Arial"/>
          <w:b w:val="false"/>
          <w:bCs w:val="false"/>
          <w:color w:val="111111"/>
          <w:sz w:val="22"/>
          <w:szCs w:val="22"/>
        </w:rPr>
        <w:t xml:space="preserve">But the succession arrives at a fraught moment. Apple's AI strategy has been widely criticized as laggard relative to Google, Microsoft, and Amazon. Siri's refresh — branded Apple Intelligence — has been uneven in execution, and the company's services growth, while still robust, faces increasing regulatory pressure in Europe and competitive headwinds in ad-supported markets. Ternus is a hardware engineer by training and reputation — he shepherded the M-chip transition and the Vision Pro development. His challenge: convince investors and developers that a hardware-first CEO can reorient Apple's AI narrative.</w:t>
      </w:r>
    </w:p>
    <w:p>
      <w:pPr>
        <w:spacing w:after="80" w:before="80"/>
      </w:pPr>
      <w:r>
        <w:rPr>
          <w:rFonts w:ascii="Arial" w:cs="Arial" w:eastAsia="Arial" w:hAnsi="Arial"/>
          <w:b/>
          <w:bCs/>
          <w:color w:val="C9A84C"/>
          <w:sz w:val="22"/>
          <w:szCs w:val="22"/>
        </w:rPr>
        <w:t xml:space="preserve">Watch: </w:t>
      </w:r>
      <w:r>
        <w:rPr>
          <w:rFonts w:ascii="Arial" w:cs="Arial" w:eastAsia="Arial" w:hAnsi="Arial"/>
          <w:sz w:val="22"/>
          <w:szCs w:val="22"/>
        </w:rPr>
        <w:t xml:space="preserve">Apple's WWDC in June will be Ternus's first high-profile stage. Any acceleration in AI partnerships or model deployments announced there will set the tone for the stock's second half. AAPL is down approximately 12% YTD going into this transition.</w:t>
      </w:r>
    </w:p>
    <w:p>
      <w:pPr>
        <w:spacing w:after="60" w:before="200"/>
      </w:pPr>
      <w:r>
        <w:rPr>
          <w:rFonts w:ascii="Arial" w:cs="Arial" w:eastAsia="Arial" w:hAnsi="Arial"/>
          <w:b/>
          <w:bCs/>
          <w:color w:val="0D2545"/>
          <w:sz w:val="26"/>
          <w:szCs w:val="26"/>
        </w:rPr>
        <w:t xml:space="preserve">3.  TESLA Q1 2026: CREDIBILITY TEST AFTER THE WORST PRODUCTION-DELIVERY GAP IN COMPANY HISTORY</w:t>
      </w:r>
    </w:p>
    <w:p>
      <w:pPr>
        <w:spacing w:after="80" w:before="80"/>
      </w:pPr>
      <w:r>
        <w:rPr>
          <w:rFonts w:ascii="Arial" w:cs="Arial" w:eastAsia="Arial" w:hAnsi="Arial"/>
          <w:b/>
          <w:bCs/>
          <w:color w:val="0D2545"/>
          <w:sz w:val="22"/>
          <w:szCs w:val="22"/>
        </w:rPr>
        <w:t xml:space="preserve">Market Impact: </w:t>
      </w:r>
      <w:r>
        <w:rPr>
          <w:rFonts w:ascii="Arial" w:cs="Arial" w:eastAsia="Arial" w:hAnsi="Arial"/>
          <w:sz w:val="22"/>
          <w:szCs w:val="22"/>
        </w:rPr>
        <w:t xml:space="preserve">Options market implying ±10% post-earnings move.</w:t>
      </w:r>
    </w:p>
    <w:p>
      <w:pPr>
        <w:spacing w:after="60" w:before="60"/>
      </w:pPr>
      <w:r>
        <w:rPr>
          <w:rFonts w:ascii="Arial" w:cs="Arial" w:eastAsia="Arial" w:hAnsi="Arial"/>
          <w:b w:val="false"/>
          <w:bCs w:val="false"/>
          <w:color w:val="111111"/>
          <w:sz w:val="22"/>
          <w:szCs w:val="22"/>
        </w:rPr>
        <w:t xml:space="preserve">Tesla reports after the bell today, and the setup could not be more consequential. The EV maker delivered 358,023 vehicles in Q1, a 6% year-over-year gain but more than 14,000 units below the analyst consensus of 372,160 — and it produced 408,386 units, leaving more than 50,000 vehicles sitting in inventory at quarter-end. That is the largest production-delivery gap in Tesla's history, a metric that speaks to either demand softness or logistical disruption, and Wall Street wants answers.</w:t>
      </w:r>
    </w:p>
    <w:p>
      <w:pPr>
        <w:spacing w:after="60" w:before="60"/>
      </w:pPr>
      <w:r>
        <w:rPr>
          <w:rFonts w:ascii="Arial" w:cs="Arial" w:eastAsia="Arial" w:hAnsi="Arial"/>
          <w:b w:val="false"/>
          <w:bCs w:val="false"/>
          <w:color w:val="111111"/>
          <w:sz w:val="22"/>
          <w:szCs w:val="22"/>
        </w:rPr>
        <w:t xml:space="preserve">Revenue consensus sits at approximately $22.0-$22.3 billion, with adjusted EPS estimates ranging from $0.30 (conservative) to $0.37 (Street high). But the more meaningful number may be gross margin: automotive margins have been pressured by price cuts and incentive spending, and any further deterioration below 15% will reignite the bear thesis. Meanwhile, the energy storage business — which was a growth highlight for much of 2025 — is tracking well below Q4 levels. GLJ Research, one of the most prominent Tesla bears, reiterated a Sell rating this week, citing the inventory overhang specifically.</w:t>
      </w:r>
    </w:p>
    <w:p>
      <w:pPr>
        <w:spacing w:after="80" w:before="80"/>
      </w:pPr>
      <w:r>
        <w:rPr>
          <w:rFonts w:ascii="Arial" w:cs="Arial" w:eastAsia="Arial" w:hAnsi="Arial"/>
          <w:b/>
          <w:bCs/>
          <w:color w:val="C9A84C"/>
          <w:sz w:val="22"/>
          <w:szCs w:val="22"/>
        </w:rPr>
        <w:t xml:space="preserve">Watch: </w:t>
      </w:r>
      <w:r>
        <w:rPr>
          <w:rFonts w:ascii="Arial" w:cs="Arial" w:eastAsia="Arial" w:hAnsi="Arial"/>
          <w:sz w:val="22"/>
          <w:szCs w:val="22"/>
        </w:rPr>
        <w:t xml:space="preserve">Musk's commentary on the Robotaxi launch timeline, FSD progress, and energy storage pipeline will drive the after-hours reaction more than the financial results themselves. TSLA is down roughly 20% in 2026 YTD.</w:t>
      </w:r>
    </w:p>
    <w:p>
      <w:pPr>
        <w:spacing w:after="60" w:before="200"/>
      </w:pPr>
      <w:r>
        <w:rPr>
          <w:rFonts w:ascii="Arial" w:cs="Arial" w:eastAsia="Arial" w:hAnsi="Arial"/>
          <w:b/>
          <w:bCs/>
          <w:color w:val="0D2545"/>
          <w:sz w:val="26"/>
          <w:szCs w:val="26"/>
        </w:rPr>
        <w:t xml:space="preserve">4.  BOEING REPORTS Q1 — CAN THE RECOVERY STAY ON TRACK?</w:t>
      </w:r>
    </w:p>
    <w:p>
      <w:pPr>
        <w:spacing w:after="80" w:before="80"/>
      </w:pPr>
      <w:r>
        <w:rPr>
          <w:rFonts w:ascii="Arial" w:cs="Arial" w:eastAsia="Arial" w:hAnsi="Arial"/>
          <w:b/>
          <w:bCs/>
          <w:color w:val="0D2545"/>
          <w:sz w:val="22"/>
          <w:szCs w:val="22"/>
        </w:rPr>
        <w:t xml:space="preserve">Market Impact: </w:t>
      </w:r>
      <w:r>
        <w:rPr>
          <w:rFonts w:ascii="Arial" w:cs="Arial" w:eastAsia="Arial" w:hAnsi="Arial"/>
          <w:sz w:val="22"/>
          <w:szCs w:val="22"/>
        </w:rPr>
        <w:t xml:space="preserve">Options implying ±7% move; defense &amp; aerospace peers watching cash burn metrics.</w:t>
      </w:r>
    </w:p>
    <w:p>
      <w:pPr>
        <w:spacing w:after="60" w:before="60"/>
      </w:pPr>
      <w:r>
        <w:rPr>
          <w:rFonts w:ascii="Arial" w:cs="Arial" w:eastAsia="Arial" w:hAnsi="Arial"/>
          <w:b w:val="false"/>
          <w:bCs w:val="false"/>
          <w:color w:val="111111"/>
          <w:sz w:val="22"/>
          <w:szCs w:val="22"/>
        </w:rPr>
        <w:t xml:space="preserve">Boeing reports before the open this morning, and analysts expect a loss of $0.69 per share on revenue of $21.97 billion — still in the red, but a significant improvement from the depths of 2024-2025 when cash burn was running at crisis levels. The Street's focus is squarely on free cash flow and the 737 MAX production ramp. Boeing's recovery thesis has always rested on one condition: every quarter of stable production brings the company closer to the cash-generative levels needed to service its substantial debt pile.</w:t>
      </w:r>
    </w:p>
    <w:p>
      <w:pPr>
        <w:spacing w:after="60" w:before="60"/>
      </w:pPr>
      <w:r>
        <w:rPr>
          <w:rFonts w:ascii="Arial" w:cs="Arial" w:eastAsia="Arial" w:hAnsi="Arial"/>
          <w:b w:val="false"/>
          <w:bCs w:val="false"/>
          <w:color w:val="111111"/>
          <w:sz w:val="22"/>
          <w:szCs w:val="22"/>
        </w:rPr>
        <w:t xml:space="preserve">The 777X program remains the wild card — certification delays have pushed that aircraft's entry into service further into the future, and the defense business continues to drag with cost overruns on fixed-price contracts. Boeing secured new union agreements late in 2025 that stabilized the factory floor, but the key question for this quarter is whether those agreements translated into actual production consistency. The Aerospace &amp; Defense sub-index of the S&amp;P 500 has been one of the more volatile pockets of the market, pricing in both the Iran premium on defense spending and the uncertainty around commercial aviation recovery.</w:t>
      </w:r>
    </w:p>
    <w:p>
      <w:pPr>
        <w:spacing w:after="80" w:before="80"/>
      </w:pPr>
      <w:r>
        <w:rPr>
          <w:rFonts w:ascii="Arial" w:cs="Arial" w:eastAsia="Arial" w:hAnsi="Arial"/>
          <w:b/>
          <w:bCs/>
          <w:color w:val="C9A84C"/>
          <w:sz w:val="22"/>
          <w:szCs w:val="22"/>
        </w:rPr>
        <w:t xml:space="preserve">Watch: </w:t>
      </w:r>
      <w:r>
        <w:rPr>
          <w:rFonts w:ascii="Arial" w:cs="Arial" w:eastAsia="Arial" w:hAnsi="Arial"/>
          <w:sz w:val="22"/>
          <w:szCs w:val="22"/>
        </w:rPr>
        <w:t xml:space="preserve">Management commentary on 737 MAX deliveries per month and any guidance revision to the 777X timeline. A beat on cash flow, even marginal, could lift BA by 5-7%.</w:t>
      </w:r>
    </w:p>
    <w:p>
      <w:pPr>
        <w:spacing w:after="60" w:before="200"/>
      </w:pPr>
      <w:r>
        <w:rPr>
          <w:rFonts w:ascii="Arial" w:cs="Arial" w:eastAsia="Arial" w:hAnsi="Arial"/>
          <w:b/>
          <w:bCs/>
          <w:color w:val="0D2545"/>
          <w:sz w:val="26"/>
          <w:szCs w:val="26"/>
        </w:rPr>
        <w:t xml:space="preserve">5.  UNITEDHEALTH SURGES 8% — HEALTHCARE SECTOR FINDS ITS FOOTING</w:t>
      </w:r>
    </w:p>
    <w:p>
      <w:pPr>
        <w:spacing w:after="80" w:before="80"/>
      </w:pPr>
      <w:r>
        <w:rPr>
          <w:rFonts w:ascii="Arial" w:cs="Arial" w:eastAsia="Arial" w:hAnsi="Arial"/>
          <w:b/>
          <w:bCs/>
          <w:color w:val="0D2545"/>
          <w:sz w:val="22"/>
          <w:szCs w:val="22"/>
        </w:rPr>
        <w:t xml:space="preserve">Market Impact: </w:t>
      </w:r>
      <w:r>
        <w:rPr>
          <w:rFonts w:ascii="Arial" w:cs="Arial" w:eastAsia="Arial" w:hAnsi="Arial"/>
          <w:sz w:val="22"/>
          <w:szCs w:val="22"/>
        </w:rPr>
        <w:t xml:space="preserve">UNH's beat lifts managed care peers; XLV (Health Care ETF) up ~2% Tuesday.</w:t>
      </w:r>
    </w:p>
    <w:p>
      <w:pPr>
        <w:spacing w:after="60" w:before="60"/>
      </w:pPr>
      <w:r>
        <w:rPr>
          <w:rFonts w:ascii="Arial" w:cs="Arial" w:eastAsia="Arial" w:hAnsi="Arial"/>
          <w:b w:val="false"/>
          <w:bCs w:val="false"/>
          <w:color w:val="111111"/>
          <w:sz w:val="22"/>
          <w:szCs w:val="22"/>
        </w:rPr>
        <w:t xml:space="preserve">UnitedHealth Group delivered one of the most decisive earnings beats of the Q1 season Tuesday, posting adjusted EPS of $7.23 against Wall Street's $6.65 consensus and raising its full-year 2026 profit outlook. The results sent UNH shares up nearly 8% and provided a much-needed lift to the broader healthcare sector, which has faced headwinds from drug pricing legislation debates, pharmacy benefit manager scrutiny, and concerns about Medicare Advantage reimbursement cuts.</w:t>
      </w:r>
    </w:p>
    <w:p>
      <w:pPr>
        <w:spacing w:after="60" w:before="60"/>
      </w:pPr>
      <w:r>
        <w:rPr>
          <w:rFonts w:ascii="Arial" w:cs="Arial" w:eastAsia="Arial" w:hAnsi="Arial"/>
          <w:b w:val="false"/>
          <w:bCs w:val="false"/>
          <w:color w:val="111111"/>
          <w:sz w:val="22"/>
          <w:szCs w:val="22"/>
        </w:rPr>
        <w:t xml:space="preserve">The beat signals that UnitedHealth's Optum business — which combines health services, pharmacy benefits, and data analytics — continues to generate outsized operating leverage, even as the insurance segment faces ongoing pressure from medical cost trends. The company's ability to raise guidance in this environment underscores the defensive quality of the managed care model while also suggesting that the medical-loss-ratio normalization investors feared post-COVID has been better contained than the market had priced in.</w:t>
      </w:r>
    </w:p>
    <w:p>
      <w:pPr>
        <w:spacing w:after="80" w:before="80"/>
      </w:pPr>
      <w:r>
        <w:rPr>
          <w:rFonts w:ascii="Arial" w:cs="Arial" w:eastAsia="Arial" w:hAnsi="Arial"/>
          <w:b/>
          <w:bCs/>
          <w:color w:val="C9A84C"/>
          <w:sz w:val="22"/>
          <w:szCs w:val="22"/>
        </w:rPr>
        <w:t xml:space="preserve">Watch: </w:t>
      </w:r>
      <w:r>
        <w:rPr>
          <w:rFonts w:ascii="Arial" w:cs="Arial" w:eastAsia="Arial" w:hAnsi="Arial"/>
          <w:sz w:val="22"/>
          <w:szCs w:val="22"/>
        </w:rPr>
        <w:t xml:space="preserve">Cigna, CVS Health, and Humana all report in the coming weeks. UNH's results set a constructive bar, but each company has different Medicare Advantage exposure — the details will matter.</w:t>
      </w:r>
    </w:p>
    <w:p>
      <w:pPr>
        <w:spacing w:after="60" w:before="200"/>
      </w:pPr>
      <w:r>
        <w:rPr>
          <w:rFonts w:ascii="Arial" w:cs="Arial" w:eastAsia="Arial" w:hAnsi="Arial"/>
          <w:b/>
          <w:bCs/>
          <w:color w:val="0D2545"/>
          <w:sz w:val="26"/>
          <w:szCs w:val="26"/>
        </w:rPr>
        <w:t xml:space="preserve">6.  BITCOIN BREAKS $76,000 — INSTITUTIONAL INFLOWS RETURN</w:t>
      </w:r>
    </w:p>
    <w:p>
      <w:pPr>
        <w:spacing w:after="80" w:before="80"/>
      </w:pPr>
      <w:r>
        <w:rPr>
          <w:rFonts w:ascii="Arial" w:cs="Arial" w:eastAsia="Arial" w:hAnsi="Arial"/>
          <w:b/>
          <w:bCs/>
          <w:color w:val="0D2545"/>
          <w:sz w:val="22"/>
          <w:szCs w:val="22"/>
        </w:rPr>
        <w:t xml:space="preserve">Market Impact: </w:t>
      </w:r>
      <w:r>
        <w:rPr>
          <w:rFonts w:ascii="Arial" w:cs="Arial" w:eastAsia="Arial" w:hAnsi="Arial"/>
          <w:sz w:val="22"/>
          <w:szCs w:val="22"/>
        </w:rPr>
        <w:t xml:space="preserve">BTC at $76,535; crypto-correlated equities (COIN, MSTR) outperforming.</w:t>
      </w:r>
    </w:p>
    <w:p>
      <w:pPr>
        <w:spacing w:after="60" w:before="60"/>
      </w:pPr>
      <w:r>
        <w:rPr>
          <w:rFonts w:ascii="Arial" w:cs="Arial" w:eastAsia="Arial" w:hAnsi="Arial"/>
          <w:b w:val="false"/>
          <w:bCs w:val="false"/>
          <w:color w:val="111111"/>
          <w:sz w:val="22"/>
          <w:szCs w:val="22"/>
        </w:rPr>
        <w:t xml:space="preserve">Bitcoin is trading above $76,000 this morning, up roughly 2.7% from Monday's open, extending a recovery that has seen the digital asset climb approximately 23% from its February cycle low near $60,000. The driver this time is institutional: spot Bitcoin ETFs have seen renewed inflows as traditional asset allocators rotate into alternatives amid equity market uncertainty and geopolitical risk. The logic is familiar — Bitcoin as "digital gold" in a world where the real article just hit $4,759 per ounce.</w:t>
      </w:r>
    </w:p>
    <w:p>
      <w:pPr>
        <w:spacing w:after="60" w:before="60"/>
      </w:pPr>
      <w:r>
        <w:rPr>
          <w:rFonts w:ascii="Arial" w:cs="Arial" w:eastAsia="Arial" w:hAnsi="Arial"/>
          <w:b w:val="false"/>
          <w:bCs w:val="false"/>
          <w:color w:val="111111"/>
          <w:sz w:val="22"/>
          <w:szCs w:val="22"/>
        </w:rPr>
        <w:t xml:space="preserve">Ethereum is tracking slightly lower in relative terms at $2,322, up 2.2%, as the market remains focused on Layer-1 Bitcoin exposure. The broader regulatory environment has remained constructive in the US, with the SEC under its current leadership maintaining a more crypto-friendly posture than its predecessor. Notably, on-chain data shows accumulation patterns consistent with longer-term holders, not short-term speculation, which adds some credibility to the sustainability of the move.</w:t>
      </w:r>
    </w:p>
    <w:p>
      <w:pPr>
        <w:spacing w:after="80" w:before="80"/>
      </w:pPr>
      <w:r>
        <w:rPr>
          <w:rFonts w:ascii="Arial" w:cs="Arial" w:eastAsia="Arial" w:hAnsi="Arial"/>
          <w:b/>
          <w:bCs/>
          <w:color w:val="C9A84C"/>
          <w:sz w:val="22"/>
          <w:szCs w:val="22"/>
        </w:rPr>
        <w:t xml:space="preserve">Watch: </w:t>
      </w:r>
      <w:r>
        <w:rPr>
          <w:rFonts w:ascii="Arial" w:cs="Arial" w:eastAsia="Arial" w:hAnsi="Arial"/>
          <w:sz w:val="22"/>
          <w:szCs w:val="22"/>
        </w:rPr>
        <w:t xml:space="preserve">The $80,000 level for BTC is both a technical resistance point and a psychological milestone. A clean break there would likely accelerate institutional FOMO. Correlation with risk-off moves in equities has been declining this cycle, a potentially significant structural shift.</w:t>
      </w:r>
    </w:p>
    <w:p>
      <w:pPr>
        <w:pBdr>
          <w:bottom w:val="single" w:color="C9A84C" w:sz="6" w:space="2"/>
        </w:pBdr>
        <w:spacing w:after="80" w:before="320"/>
      </w:pPr>
      <w:r>
        <w:rPr>
          <w:rFonts w:ascii="Arial" w:cs="Arial" w:eastAsia="Arial" w:hAnsi="Arial"/>
          <w:b/>
          <w:bCs/>
          <w:color w:val="0D2545"/>
          <w:sz w:val="26"/>
          <w:szCs w:val="26"/>
        </w:rPr>
        <w:t xml:space="preserve">4. MACRO &amp; FED WATCH</w:t>
      </w:r>
    </w:p>
    <w:p>
      <w:pPr>
        <w:spacing w:after="60" w:before="60"/>
      </w:pPr>
      <w:r>
        <w:rPr>
          <w:rFonts w:ascii="Arial" w:cs="Arial" w:eastAsia="Arial" w:hAnsi="Arial"/>
          <w:b w:val="false"/>
          <w:bCs w:val="false"/>
          <w:color w:val="111111"/>
          <w:sz w:val="22"/>
          <w:szCs w:val="22"/>
        </w:rPr>
        <w:t xml:space="preserve">The Federal Reserve is in its standard pre-meeting blackout period, with the FOMC gathering April 28-29 — exactly one week from today. The consensus is overwhelming: no change to the 3.50%–3.75% target rate range, making it the second consecutive hold after the Fed's cautious posturing through the first quarter.</w:t>
      </w:r>
    </w:p>
    <w:p>
      <w:pPr>
        <w:spacing w:after="60" w:before="60"/>
      </w:pPr>
      <w:r>
        <w:rPr>
          <w:rFonts w:ascii="Arial" w:cs="Arial" w:eastAsia="Arial" w:hAnsi="Arial"/>
          <w:b w:val="false"/>
          <w:bCs w:val="false"/>
          <w:color w:val="111111"/>
          <w:sz w:val="22"/>
          <w:szCs w:val="22"/>
        </w:rPr>
        <w:t xml:space="preserve">The more interesting story is the market's rate-cut pricing. Fed funds futures currently reflect expectations of one 25-basis-point cut in 2026, likely in Q3 or Q4, with the probability of a June cut sitting near 15%. This represents a dramatic recalibration from late 2025, when the market was pricing in three to four cuts. The shift has been driven by two forces: first, inflation has remained stickier than hoped, with core PCE running above the Fed's 2% target; second, energy price volatility from the Iran conflict has reintroduced upside inflation risk that policymakers cannot easily dismiss.</w:t>
      </w:r>
    </w:p>
    <w:p>
      <w:pPr>
        <w:spacing w:after="60" w:before="60"/>
      </w:pPr>
      <w:r>
        <w:rPr>
          <w:rFonts w:ascii="Arial" w:cs="Arial" w:eastAsia="Arial" w:hAnsi="Arial"/>
          <w:b w:val="false"/>
          <w:bCs w:val="false"/>
          <w:color w:val="111111"/>
          <w:sz w:val="22"/>
          <w:szCs w:val="22"/>
        </w:rPr>
        <w:t xml:space="preserve">The yield curve has moved from deep inversion toward a mild upward slope — the 10Y-2Y spread sits at approximately +25 basis points, the most normalized it's been in roughly two years. This is a positive development for bank net interest margins but also a signal that the market is beginning to price in a genuine soft-landing scenario rather than imminent recession. Chair Powell will have a chance to address the market's interpretation of the curve and inflation trajectory at the post-meeting press conference April 29.</w:t>
      </w:r>
    </w:p>
    <w:p>
      <w:pPr>
        <w:spacing w:after="80" w:before="80"/>
      </w:pPr>
      <w:r>
        <w:rPr>
          <w:rFonts w:ascii="Arial" w:cs="Arial" w:eastAsia="Arial" w:hAnsi="Arial"/>
          <w:b/>
          <w:bCs/>
          <w:color w:val="C9A84C"/>
          <w:sz w:val="22"/>
          <w:szCs w:val="22"/>
        </w:rPr>
        <w:t xml:space="preserve">Key tension: </w:t>
      </w:r>
      <w:r>
        <w:rPr>
          <w:rFonts w:ascii="Arial" w:cs="Arial" w:eastAsia="Arial" w:hAnsi="Arial"/>
          <w:sz w:val="22"/>
          <w:szCs w:val="22"/>
        </w:rPr>
        <w:t xml:space="preserve">Energy inflation from a prolonged Strait of Hormuz disruption could force the Fed into an uncomfortable holding pattern through the second half of 2026, keeping rates higher for longer even as growth shows signs of moderation. The jobs market, meanwhile, remains solid enough to give the Fed cover to stay patient.</w:t>
      </w:r>
    </w:p>
    <w:p>
      <w:pPr>
        <w:pBdr>
          <w:bottom w:val="single" w:color="C9A84C" w:sz="6" w:space="2"/>
        </w:pBdr>
        <w:spacing w:after="80" w:before="320"/>
      </w:pPr>
      <w:r>
        <w:rPr>
          <w:rFonts w:ascii="Arial" w:cs="Arial" w:eastAsia="Arial" w:hAnsi="Arial"/>
          <w:b/>
          <w:bCs/>
          <w:color w:val="0D2545"/>
          <w:sz w:val="26"/>
          <w:szCs w:val="26"/>
        </w:rPr>
        <w:t xml:space="preserve">5. ECONOMIC CALENDAR — TODAY, APRIL 22, 2026</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200"/>
        <w:gridCol w:w="1200"/>
        <w:gridCol w:w="3060"/>
      </w:tblGrid>
      <w:tr>
        <w:tc>
          <w:tcPr>
            <w:tcW w:type="dxa" w:w="11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Time (ET)</w:t>
            </w:r>
          </w:p>
        </w:tc>
        <w:tc>
          <w:tcPr>
            <w:tcW w:type="dxa" w:w="22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Indicator</w:t>
            </w:r>
          </w:p>
        </w:tc>
        <w:tc>
          <w:tcPr>
            <w:tcW w:type="dxa" w:w="12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Prior</w:t>
            </w:r>
          </w:p>
        </w:tc>
        <w:tc>
          <w:tcPr>
            <w:tcW w:type="dxa" w:w="12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Consensus</w:t>
            </w:r>
          </w:p>
        </w:tc>
        <w:tc>
          <w:tcPr>
            <w:tcW w:type="dxa" w:w="306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Why It Matters</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7:00 AM</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MBA Mortgage Applications (Weekly)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N/A</w:t>
            </w:r>
          </w:p>
        </w:tc>
        <w:tc>
          <w:tcPr>
            <w:tcW w:type="dxa" w:w="3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Tracks housing finance demand; useful for reading through to consumer balance sheet health.</w:t>
            </w:r>
          </w:p>
        </w:tc>
      </w:tr>
      <w:tr>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8:30 AM</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S&amp;P Global Flash PMI (Manufacturing)</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49.8</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50.2</w:t>
            </w:r>
          </w:p>
        </w:tc>
        <w:tc>
          <w:tcPr>
            <w:tcW w:type="dxa" w:w="3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First read on April factory activity; sub-50 = contraction. Energy costs are the key swing factor.</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8:30 AM</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S&amp;P Global Flash PMI (Services)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51.3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51.0</w:t>
            </w:r>
          </w:p>
        </w:tc>
        <w:tc>
          <w:tcPr>
            <w:tcW w:type="dxa" w:w="3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Services PMI drives ~70% of US GDP; watch employment sub-index for Fed labor market read-through.</w:t>
            </w:r>
          </w:p>
        </w:tc>
      </w:tr>
      <w:tr>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10:00 AM</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Existing Home Sales (Mar)</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4.10M</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4.15M</w:t>
            </w:r>
          </w:p>
        </w:tc>
        <w:tc>
          <w:tcPr>
            <w:tcW w:type="dxa" w:w="3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Housing is rate-sensitive; a better-than-expected print supports soft-landing narrative.</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2:00 PM</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Fed Beige Book</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t>
            </w:r>
          </w:p>
        </w:tc>
        <w:tc>
          <w:tcPr>
            <w:tcW w:type="dxa" w:w="3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Qualitative survey of 12 Fed districts; valuable for gauging where business conditions are shifting.</w:t>
            </w:r>
          </w:p>
        </w:tc>
      </w:tr>
    </w:tbl>
    <w:p>
      <w:pPr>
        <w:pBdr>
          <w:bottom w:val="single" w:color="C9A84C" w:sz="6" w:space="2"/>
        </w:pBdr>
        <w:spacing w:after="80" w:before="320"/>
      </w:pPr>
      <w:r>
        <w:rPr>
          <w:rFonts w:ascii="Arial" w:cs="Arial" w:eastAsia="Arial" w:hAnsi="Arial"/>
          <w:b/>
          <w:bCs/>
          <w:color w:val="0D2545"/>
          <w:sz w:val="26"/>
          <w:szCs w:val="26"/>
        </w:rPr>
        <w:t xml:space="preserve">6. EARNINGS WATCH</w:t>
      </w:r>
    </w:p>
    <w:p>
      <w:pPr>
        <w:spacing w:after="100" w:before="80"/>
      </w:pPr>
      <w:r>
        <w:rPr>
          <w:rFonts w:ascii="Arial" w:cs="Arial" w:eastAsia="Arial" w:hAnsi="Arial"/>
          <w:b w:val="false"/>
          <w:bCs w:val="false"/>
          <w:color w:val="111111"/>
          <w:sz w:val="22"/>
          <w:szCs w:val="22"/>
        </w:rPr>
        <w:t xml:space="preserve">This is the busiest week of Q1 2026 earnings season, with over 100 companies reporting. The three headliners define three distinct market themes: aerospace recovery, EV demand, and the AI-infrastructure pivot.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960"/>
      </w:tblGrid>
      <w:tr>
        <w:tc>
          <w:tcPr>
            <w:tcW w:type="dxa" w:w="2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Company</w:t>
            </w:r>
          </w:p>
        </w:tc>
        <w:tc>
          <w:tcPr>
            <w:tcW w:type="dxa" w:w="14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Report Time</w:t>
            </w:r>
          </w:p>
        </w:tc>
        <w:tc>
          <w:tcPr>
            <w:tcW w:type="dxa" w:w="14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EPS Est.</w:t>
            </w:r>
          </w:p>
        </w:tc>
        <w:tc>
          <w:tcPr>
            <w:tcW w:type="dxa" w:w="14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Rev Est.</w:t>
            </w:r>
          </w:p>
        </w:tc>
        <w:tc>
          <w:tcPr>
            <w:tcW w:type="dxa" w:w="14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Impl. Move</w:t>
            </w:r>
          </w:p>
        </w:tc>
        <w:tc>
          <w:tcPr>
            <w:tcW w:type="dxa" w:w="196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Focus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Boeing (BA)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Pre-Market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-$0.69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$21.97B</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±7%</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FCF &amp; 737 MAX rate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Tesla (TSLA)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After Close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$0.30-0.37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$22.0B</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±10%</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Gross margin &amp; Robotaxi</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IBM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After Close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$1.45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$14.4B</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±5%</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AI consulting growth</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United Airlines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After Close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$0.52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$13.8B</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±6%</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Capacity &amp; merger talk</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AT&amp;T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Pre-Market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$0.51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$29.5B</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±4%</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11111"/>
                <w:sz w:val="20"/>
                <w:szCs w:val="20"/>
              </w:rPr>
              <w:t xml:space="preserve">Postpaid subscriber adds</w:t>
            </w:r>
          </w:p>
        </w:tc>
      </w:tr>
    </w:tbl>
    <w:p>
      <w:pPr>
        <w:spacing w:after="0" w:before="80"/>
      </w:pPr>
    </w:p>
    <w:p>
      <w:pPr>
        <w:spacing w:after="60" w:before="60"/>
      </w:pPr>
      <w:r>
        <w:rPr>
          <w:rFonts w:ascii="Arial" w:cs="Arial" w:eastAsia="Arial" w:hAnsi="Arial"/>
          <w:b w:val="false"/>
          <w:bCs w:val="false"/>
          <w:color w:val="111111"/>
          <w:sz w:val="22"/>
          <w:szCs w:val="22"/>
        </w:rPr>
        <w:t xml:space="preserve">Earnings season context: With roughly 20% of S&amp;P 500 companies reported, the blended earnings growth rate stands at approximately +8.5% year-over-year — ahead of the 6.5% consensus entering Q1. UnitedHealth's beat on Tuesday was the latest in a string of financial sector outperformance. Technology names report in earnest next week (Meta, Microsoft, Alphabet, Amazon), meaning the macro narrative can still shift materially. The key risk to current beat rates is energy cost pass-through — companies in industrials and consumer goods face the most margin pressure from elevated oil.</w:t>
      </w:r>
    </w:p>
    <w:p>
      <w:pPr>
        <w:pBdr>
          <w:bottom w:val="single" w:color="C9A84C" w:sz="6" w:space="2"/>
        </w:pBdr>
        <w:spacing w:after="80" w:before="320"/>
      </w:pPr>
      <w:r>
        <w:rPr>
          <w:rFonts w:ascii="Arial" w:cs="Arial" w:eastAsia="Arial" w:hAnsi="Arial"/>
          <w:b/>
          <w:bCs/>
          <w:color w:val="0D2545"/>
          <w:sz w:val="26"/>
          <w:szCs w:val="26"/>
        </w:rPr>
        <w:t xml:space="preserve">7. SECTOR SPOTLIGHT</w:t>
      </w:r>
    </w:p>
    <w:p>
      <w:pPr>
        <w:spacing w:after="40" w:before="140"/>
      </w:pPr>
      <w:r>
        <w:rPr>
          <w:rFonts w:ascii="Arial" w:cs="Arial" w:eastAsia="Arial" w:hAnsi="Arial"/>
          <w:b/>
          <w:bCs/>
          <w:color w:val="C9A84C"/>
          <w:sz w:val="22"/>
          <w:szCs w:val="22"/>
        </w:rPr>
        <w:t xml:space="preserve">Energy: The Geopolitical Premium Is Not Going Away</w:t>
      </w:r>
    </w:p>
    <w:p>
      <w:pPr>
        <w:spacing w:after="60" w:before="60"/>
      </w:pPr>
      <w:r>
        <w:rPr>
          <w:rFonts w:ascii="Arial" w:cs="Arial" w:eastAsia="Arial" w:hAnsi="Arial"/>
          <w:b w:val="false"/>
          <w:bCs w:val="false"/>
          <w:color w:val="111111"/>
          <w:sz w:val="22"/>
          <w:szCs w:val="22"/>
        </w:rPr>
        <w:t xml:space="preserve">The Energy sector (XLE) has been the standout performer of 2026, benefiting from a structural re-rating as investors recognize that the 'data center power' buildout and Middle East supply disruptions have created a durable tailwind for integrated energy companies. WTI crude at $92/bbl represents a level that is painful for consumers but highly profitable for exploration and production companies with break-even costs in the $50-$60 range. The Iran premium — the additional price the market is charging for Hormuz uncertainty — is estimated at $8-$12/bbl by most commodity desks; a resolved peace deal would compress that premium immediately.</w:t>
      </w:r>
    </w:p>
    <w:p>
      <w:pPr>
        <w:spacing w:after="40" w:before="140"/>
      </w:pPr>
      <w:r>
        <w:rPr>
          <w:rFonts w:ascii="Arial" w:cs="Arial" w:eastAsia="Arial" w:hAnsi="Arial"/>
          <w:b/>
          <w:bCs/>
          <w:color w:val="C9A84C"/>
          <w:sz w:val="22"/>
          <w:szCs w:val="22"/>
        </w:rPr>
        <w:t xml:space="preserve">Health Care: Managed Care Leads, Biotech Steady</w:t>
      </w:r>
    </w:p>
    <w:p>
      <w:pPr>
        <w:spacing w:after="60" w:before="60"/>
      </w:pPr>
      <w:r>
        <w:rPr>
          <w:rFonts w:ascii="Arial" w:cs="Arial" w:eastAsia="Arial" w:hAnsi="Arial"/>
          <w:b w:val="false"/>
          <w:bCs w:val="false"/>
          <w:color w:val="111111"/>
          <w:sz w:val="22"/>
          <w:szCs w:val="22"/>
        </w:rPr>
        <w:t xml:space="preserve">UnitedHealth's strong results Tuesday have reactivated interest in the managed care sub-sector, which had been under pressure from congressional Medicare Advantage rhetoric. The XLV Health Care ETF gained approximately 2% Tuesday. The more nuanced read is that large managed care operators are demonstrating pricing power — they have been able to pass through cost increases to both government and commercial clients. Biotech remains in a secondary role, with the GLP-1 weight-loss drug narrative continuing to dominate thematic flows into Eli Lilly (LLY) and Novo Nordisk, both of which saw fresh upgrades from analysts this week.</w:t>
      </w:r>
    </w:p>
    <w:p>
      <w:pPr>
        <w:pBdr>
          <w:bottom w:val="single" w:color="C9A84C" w:sz="6" w:space="2"/>
        </w:pBdr>
        <w:spacing w:after="80" w:before="320"/>
      </w:pPr>
      <w:r>
        <w:rPr>
          <w:rFonts w:ascii="Arial" w:cs="Arial" w:eastAsia="Arial" w:hAnsi="Arial"/>
          <w:b/>
          <w:bCs/>
          <w:color w:val="0D2545"/>
          <w:sz w:val="26"/>
          <w:szCs w:val="26"/>
        </w:rPr>
        <w:t xml:space="preserve">8. ANALYST CALLS &amp; UPGRADES / DOWNGRADES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400"/>
        <w:gridCol w:w="3000"/>
      </w:tblGrid>
      <w:tr>
        <w:tc>
          <w:tcPr>
            <w:tcW w:type="dxa" w:w="16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Firm</w:t>
            </w:r>
          </w:p>
        </w:tc>
        <w:tc>
          <w:tcPr>
            <w:tcW w:type="dxa" w:w="12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Ticker</w:t>
            </w:r>
          </w:p>
        </w:tc>
        <w:tc>
          <w:tcPr>
            <w:tcW w:type="dxa" w:w="14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Action</w:t>
            </w:r>
          </w:p>
        </w:tc>
        <w:tc>
          <w:tcPr>
            <w:tcW w:type="dxa" w:w="14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New PT</w:t>
            </w:r>
          </w:p>
        </w:tc>
        <w:tc>
          <w:tcPr>
            <w:tcW w:type="dxa" w:w="3000"/>
            <w:tcBorders>
              <w:top w:val="single" w:color="DDDDDD" w:sz="1"/>
              <w:left w:val="single" w:color="DDDDDD" w:sz="1"/>
              <w:bottom w:val="single" w:color="DDDDDD" w:sz="1"/>
              <w:right w:val="single" w:color="DDDDDD" w:sz="1"/>
            </w:tcBorders>
            <w:shd w:fill="0D2545" w:val="clear"/>
            <w:tcMar>
              <w:top w:type="dxa" w:w="60"/>
              <w:left w:type="dxa" w:w="120"/>
              <w:bottom w:type="dxa" w:w="60"/>
              <w:right w:type="dxa" w:w="120"/>
            </w:tcMar>
          </w:tcPr>
          <w:p>
            <w:pPr>
              <w:jc w:val="left"/>
            </w:pPr>
            <w:r>
              <w:rPr>
                <w:rFonts w:ascii="Arial" w:cs="Arial" w:eastAsia="Arial" w:hAnsi="Arial"/>
                <w:b/>
                <w:bCs/>
                <w:color w:val="FFFFFF"/>
                <w:sz w:val="20"/>
                <w:szCs w:val="20"/>
              </w:rPr>
              <w:t xml:space="preserve">Rationale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Seeking Alpha</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LLY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1A7F37"/>
                <w:sz w:val="20"/>
                <w:szCs w:val="20"/>
              </w:rPr>
              <w:t xml:space="preserve">Upgrade → Buy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$1,050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Sustained GLP-1 growth portfolio; obesity drug pipeline undervalued vs. peers.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Seeking Alpha</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UNP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Initiate Buy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$290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Industry-leading efficiency; rail pricing power in inflationary environment.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UBS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APA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Maintain Neutral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Oil price upside partially offset by balance sheet leverage at higher WTI.</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UBS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ACHC</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Maintain Buy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$31</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Behavioral health demand secular tailwind; execution improving post-integration.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Seeking Alpha</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AMD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B91C1C"/>
                <w:sz w:val="20"/>
                <w:szCs w:val="20"/>
              </w:rPr>
              <w:t xml:space="preserve">Downgrade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$160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Overvalued vs. AI peers; execution uncertainty on MI300 ramp vs. Nvidia H100 competition.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Seeking Alpha</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NFLX</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B91C1C"/>
                <w:sz w:val="20"/>
                <w:szCs w:val="20"/>
              </w:rPr>
              <w:t xml:space="preserve">Downgrade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$870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Near-term subscriber growth concerns post price hike; guidance reliability questioned.</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GLJ Research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TSLA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Reiterate Sell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50K inventory overhang; brand damage from Musk political activities; demand visibility low.</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Canaccord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RCI</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Maintain Buy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$55.50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Ahead of Rogers Communications Q1; lowered target slightly on telecom cost pressures.</w:t>
            </w:r>
          </w:p>
        </w:tc>
      </w:tr>
    </w:tbl>
    <w:p>
      <w:pPr>
        <w:pBdr>
          <w:bottom w:val="single" w:color="C9A84C" w:sz="6" w:space="2"/>
        </w:pBdr>
        <w:spacing w:after="80" w:before="320"/>
      </w:pPr>
      <w:r>
        <w:rPr>
          <w:rFonts w:ascii="Arial" w:cs="Arial" w:eastAsia="Arial" w:hAnsi="Arial"/>
          <w:b/>
          <w:bCs/>
          <w:color w:val="0D2545"/>
          <w:sz w:val="26"/>
          <w:szCs w:val="26"/>
        </w:rPr>
        <w:t xml:space="preserve">9. STOCKS TO WATCH</w:t>
      </w:r>
    </w:p>
    <w:p>
      <w:pPr>
        <w:spacing w:after="40" w:before="140"/>
      </w:pPr>
      <w:r>
        <w:rPr>
          <w:rFonts w:ascii="Arial" w:cs="Arial" w:eastAsia="Arial" w:hAnsi="Arial"/>
          <w:b/>
          <w:bCs/>
          <w:color w:val="C9A84C"/>
          <w:sz w:val="22"/>
          <w:szCs w:val="22"/>
        </w:rPr>
        <w:t xml:space="preserve">Tesla (TSLA) — The $390 Pivot</w:t>
      </w:r>
    </w:p>
    <w:p>
      <w:pPr>
        <w:spacing w:after="60" w:before="60"/>
      </w:pPr>
      <w:r>
        <w:rPr>
          <w:rFonts w:ascii="Arial" w:cs="Arial" w:eastAsia="Arial" w:hAnsi="Arial"/>
          <w:b w:val="false"/>
          <w:bCs w:val="false"/>
          <w:color w:val="111111"/>
          <w:sz w:val="22"/>
          <w:szCs w:val="22"/>
        </w:rPr>
        <w:t xml:space="preserve">Tesla opens Wednesday as the single most important individual stock in the market. The options market is implying a roughly 10% move in either direction on Q1 results after the close. The tactical setup is interesting: TSLA has been trading in a defined range with $390 acting as near-term resistance. A beat on gross margin — particularly if automotive gross margin holds above 16% — paired with incremental Robotaxi detail could propel a sharp short-covering rally. Conversely, a revenue miss combined with inventory commentary suggesting Q2 weakness could break $350 support. The stock is down roughly 20% YTD, meaning many institutional holders are already defensively positioned.</w:t>
      </w:r>
    </w:p>
    <w:p>
      <w:pPr>
        <w:spacing w:after="40" w:before="140"/>
      </w:pPr>
      <w:r>
        <w:rPr>
          <w:rFonts w:ascii="Arial" w:cs="Arial" w:eastAsia="Arial" w:hAnsi="Arial"/>
          <w:b/>
          <w:bCs/>
          <w:color w:val="C9A84C"/>
          <w:sz w:val="22"/>
          <w:szCs w:val="22"/>
        </w:rPr>
        <w:t xml:space="preserve">Boeing (BA) — Watching the Cash Burn Inflection</w:t>
      </w:r>
    </w:p>
    <w:p>
      <w:pPr>
        <w:spacing w:after="60" w:before="60"/>
      </w:pPr>
      <w:r>
        <w:rPr>
          <w:rFonts w:ascii="Arial" w:cs="Arial" w:eastAsia="Arial" w:hAnsi="Arial"/>
          <w:b w:val="false"/>
          <w:bCs w:val="false"/>
          <w:color w:val="111111"/>
          <w:sz w:val="22"/>
          <w:szCs w:val="22"/>
        </w:rPr>
        <w:t xml:space="preserve">Boeing's quarter will serve as a litmus test for the aerospace sector broadly. The stock has been one of the more interesting recovery trades of 2026, up from its crisis lows but still well below its pre-737 MAX grounding highs. The options market is pricing roughly ±7% for the earnings move. The most important single number is free cash flow — if Boeing can show even modest positive FCF for the first time in years, the narrative shifts from 'turnaround story' to 'recovery confirmed.' The $185-$195 range has been strong technical resistance; a clean beat could take it through that level on volume.</w:t>
      </w:r>
    </w:p>
    <w:p>
      <w:pPr>
        <w:spacing w:after="40" w:before="140"/>
      </w:pPr>
      <w:r>
        <w:rPr>
          <w:rFonts w:ascii="Arial" w:cs="Arial" w:eastAsia="Arial" w:hAnsi="Arial"/>
          <w:b/>
          <w:bCs/>
          <w:color w:val="C9A84C"/>
          <w:sz w:val="22"/>
          <w:szCs w:val="22"/>
        </w:rPr>
        <w:t xml:space="preserve">ExxonMobil (XOM) — The Iran Proxy</w:t>
      </w:r>
    </w:p>
    <w:p>
      <w:pPr>
        <w:spacing w:after="60" w:before="60"/>
      </w:pPr>
      <w:r>
        <w:rPr>
          <w:rFonts w:ascii="Arial" w:cs="Arial" w:eastAsia="Arial" w:hAnsi="Arial"/>
          <w:b w:val="false"/>
          <w:bCs w:val="false"/>
          <w:color w:val="111111"/>
          <w:sz w:val="22"/>
          <w:szCs w:val="22"/>
        </w:rPr>
        <w:t xml:space="preserve">With Brent threatening $100/bbl, XOM is the cleanest large-cap proxy for extended Middle East tension. The integrated major's upstream production economics become increasingly compelling at current prices, and the downstream refining margins are running above historical averages. XOM has strong support near $122 and has been consolidating after a multi-month breakout. If the ceasefire collapses and oil spikes toward $105, XOM could accelerate toward the $135-$140 range. Energy sector options are pricing elevated volatility, making defined-risk spreads an attractive structure for directional views.</w:t>
      </w:r>
    </w:p>
    <w:p>
      <w:pPr>
        <w:spacing w:after="40" w:before="140"/>
      </w:pPr>
      <w:r>
        <w:rPr>
          <w:rFonts w:ascii="Arial" w:cs="Arial" w:eastAsia="Arial" w:hAnsi="Arial"/>
          <w:b/>
          <w:bCs/>
          <w:color w:val="C9A84C"/>
          <w:sz w:val="22"/>
          <w:szCs w:val="22"/>
        </w:rPr>
        <w:t xml:space="preserve">Coinbase (COIN) — Riding the Bitcoin Wave</w:t>
      </w:r>
    </w:p>
    <w:p>
      <w:pPr>
        <w:spacing w:after="60" w:before="60"/>
      </w:pPr>
      <w:r>
        <w:rPr>
          <w:rFonts w:ascii="Arial" w:cs="Arial" w:eastAsia="Arial" w:hAnsi="Arial"/>
          <w:b w:val="false"/>
          <w:bCs w:val="false"/>
          <w:color w:val="111111"/>
          <w:sz w:val="22"/>
          <w:szCs w:val="22"/>
        </w:rPr>
        <w:t xml:space="preserve">Bitcoin's move back above $76,000 has Coinbase trading with momentum. COIN's revenue model is highly levered to crypto trading volume and asset prices, and at $76K BTC, the exchange is operating in a significantly more profitable environment than in Q1. The stock has a well-documented beta of roughly 1.5-2x to Bitcoin moves. Key watch: any regulatory news on stablecoin legislation or spot ETF expansion could be additional catalysts. COIN has near-term technical support at $240 and resistance around $275.</w:t>
      </w:r>
    </w:p>
    <w:p>
      <w:pPr>
        <w:pBdr>
          <w:bottom w:val="single" w:color="C9A84C" w:sz="6" w:space="2"/>
        </w:pBdr>
        <w:spacing w:after="80" w:before="320"/>
      </w:pPr>
      <w:r>
        <w:rPr>
          <w:rFonts w:ascii="Arial" w:cs="Arial" w:eastAsia="Arial" w:hAnsi="Arial"/>
          <w:b/>
          <w:bCs/>
          <w:color w:val="0D2545"/>
          <w:sz w:val="26"/>
          <w:szCs w:val="26"/>
        </w:rPr>
        <w:t xml:space="preserve">10. GLOBAL MACRO SNAPSHOT</w:t>
      </w:r>
    </w:p>
    <w:p>
      <w:pPr>
        <w:spacing w:after="60" w:before="60"/>
      </w:pPr>
      <w:r>
        <w:rPr>
          <w:rFonts w:ascii="Arial" w:cs="Arial" w:eastAsia="Arial" w:hAnsi="Arial"/>
          <w:b w:val="false"/>
          <w:bCs w:val="false"/>
          <w:color w:val="111111"/>
          <w:sz w:val="22"/>
          <w:szCs w:val="22"/>
        </w:rPr>
        <w:t xml:space="preserve">China: Beijing reported Q1 GDP growth of approximately 4.7% year-over-year last week — below the 5% official target and reflecting continued headwinds from the property sector and weak consumer confidence. However, March data showed a modest improvement in retail sales and industrial production, suggesting stabilization rather than acceleration. The PBOC has maintained an accommodative bias, and the yuan (USD/CNY ~7.25) is holding steady despite dollar weakness.</w:t>
      </w:r>
    </w:p>
    <w:p>
      <w:pPr>
        <w:spacing w:after="60" w:before="60"/>
      </w:pPr>
      <w:r>
        <w:rPr>
          <w:rFonts w:ascii="Arial" w:cs="Arial" w:eastAsia="Arial" w:hAnsi="Arial"/>
          <w:b w:val="false"/>
          <w:bCs w:val="false"/>
          <w:color w:val="111111"/>
          <w:sz w:val="22"/>
          <w:szCs w:val="22"/>
        </w:rPr>
        <w:t xml:space="preserve">Europe: The ECB is facing its own version of the energy dilemma — higher oil prices complicate its inflation trajectory, but weak industrial output (particularly in Germany, where the manufacturing PMI has been in contraction) argues for continued easing. EUR/USD at 1.075 is near the middle of its recent range; a ceasefire-driven oil pullback would likely push the pair above 1.09. European equity markets are pricing the Iran uncertainty more acutely than US markets given their greater oil import dependence.</w:t>
      </w:r>
    </w:p>
    <w:p>
      <w:pPr>
        <w:spacing w:after="60" w:before="60"/>
      </w:pPr>
      <w:r>
        <w:rPr>
          <w:rFonts w:ascii="Arial" w:cs="Arial" w:eastAsia="Arial" w:hAnsi="Arial"/>
          <w:b w:val="false"/>
          <w:bCs w:val="false"/>
          <w:color w:val="111111"/>
          <w:sz w:val="22"/>
          <w:szCs w:val="22"/>
        </w:rPr>
        <w:t xml:space="preserve">Emerging Markets: Oil-importing EM economies (India, South Korea, Turkey) face the sharpest squeeze from Brent near $100. The Indian rupee and Korean won have been under pressure. Conversely, EM oil exporters (Saudi Arabia, UAE, Brazil) are benefiting from the price environment. Brazil's Petrobras in particular has been a standout EM performer YTD. The MSCI EM ex-China index has shown relative resilience, supported by dollar weakness — the DXY at 98.35 is meaningfully below its 2025 highs.</w:t>
      </w:r>
    </w:p>
    <w:p>
      <w:pPr>
        <w:pBdr>
          <w:bottom w:val="single" w:color="C9A84C" w:sz="6" w:space="2"/>
        </w:pBdr>
        <w:spacing w:after="80" w:before="320"/>
      </w:pPr>
      <w:r>
        <w:rPr>
          <w:rFonts w:ascii="Arial" w:cs="Arial" w:eastAsia="Arial" w:hAnsi="Arial"/>
          <w:b/>
          <w:bCs/>
          <w:color w:val="0D2545"/>
          <w:sz w:val="26"/>
          <w:szCs w:val="26"/>
        </w:rPr>
        <w:t xml:space="preserve">11. WEEK AHEAD PREVIEW</w:t>
      </w:r>
    </w:p>
    <w:p>
      <w:pPr>
        <w:spacing w:after="60" w:before="60"/>
      </w:pPr>
      <w:r>
        <w:rPr>
          <w:rFonts w:ascii="Arial" w:cs="Arial" w:eastAsia="Arial" w:hAnsi="Arial"/>
          <w:b w:val="false"/>
          <w:bCs w:val="false"/>
          <w:color w:val="111111"/>
          <w:sz w:val="22"/>
          <w:szCs w:val="22"/>
        </w:rPr>
        <w:t xml:space="preserve">Thursday, April 23: Initial jobless claims (consensus ~215K); continuing claims; additional Q1 earnings (ServiceNow, Intuitive Surgical, Danaher). The jobless claims number will be closely watched given Fed blackout — any surprise in either direction feeds directly into rate cut probability models.</w:t>
      </w:r>
    </w:p>
    <w:p>
      <w:pPr>
        <w:spacing w:after="60" w:before="60"/>
      </w:pPr>
      <w:r>
        <w:rPr>
          <w:rFonts w:ascii="Arial" w:cs="Arial" w:eastAsia="Arial" w:hAnsi="Arial"/>
          <w:b w:val="false"/>
          <w:bCs w:val="false"/>
          <w:color w:val="111111"/>
          <w:sz w:val="22"/>
          <w:szCs w:val="22"/>
        </w:rPr>
        <w:t xml:space="preserve">Friday, April 24: Durable goods orders for March (consensus +0.8%); University of Michigan final April consumer sentiment (expect elevated inflation expectations given oil backdrop). Big week closes with sentiment data that could confirm or challenge the cautious-optimism trade.</w:t>
      </w:r>
    </w:p>
    <w:p>
      <w:pPr>
        <w:spacing w:after="60" w:before="60"/>
      </w:pPr>
      <w:r>
        <w:rPr>
          <w:rFonts w:ascii="Arial" w:cs="Arial" w:eastAsia="Arial" w:hAnsi="Arial"/>
          <w:b w:val="false"/>
          <w:bCs w:val="false"/>
          <w:color w:val="111111"/>
          <w:sz w:val="22"/>
          <w:szCs w:val="22"/>
        </w:rPr>
        <w:t xml:space="preserve">Weekend Geopolitical Watch: The Iran ceasefire extension gives until approximately mid-next week for peace talks to produce a framework. Markets will be watching for any official Iranian acknowledgment of US negotiating terms.</w:t>
      </w:r>
    </w:p>
    <w:p>
      <w:pPr>
        <w:spacing w:after="60" w:before="60"/>
      </w:pPr>
      <w:r>
        <w:rPr>
          <w:rFonts w:ascii="Arial" w:cs="Arial" w:eastAsia="Arial" w:hAnsi="Arial"/>
          <w:b w:val="false"/>
          <w:bCs w:val="false"/>
          <w:color w:val="111111"/>
          <w:sz w:val="22"/>
          <w:szCs w:val="22"/>
        </w:rPr>
        <w:t xml:space="preserve">Monday, April 27: April Dallas Fed manufacturing survey; more earnings. Tech mega-cap earnings begin their drumroll — Meta (Tuesday), Microsoft and Alphabet (Wednesday), Amazon (Thursday). This will be the highest-concentration single week of the earnings season and will likely set the tone for equities through May.</w:t>
      </w:r>
    </w:p>
    <w:p>
      <w:pPr>
        <w:spacing w:after="60" w:before="60"/>
      </w:pPr>
      <w:r>
        <w:rPr>
          <w:rFonts w:ascii="Arial" w:cs="Arial" w:eastAsia="Arial" w:hAnsi="Arial"/>
          <w:b w:val="false"/>
          <w:bCs w:val="false"/>
          <w:color w:val="111111"/>
          <w:sz w:val="22"/>
          <w:szCs w:val="22"/>
        </w:rPr>
        <w:t xml:space="preserve">Tuesday, April 29 (FOMC): Fed holds rates — focus shifts entirely to Powell's tone on the inflation/energy interaction and any hint of when cuts become viable. Markets will be parsing every word for dovish or hawkish drift.</w:t>
      </w:r>
    </w:p>
    <w:p>
      <w:pPr>
        <w:pBdr>
          <w:bottom w:val="single" w:color="C9A84C" w:sz="6" w:space="2"/>
        </w:pBdr>
        <w:spacing w:after="80" w:before="320"/>
      </w:pPr>
      <w:r>
        <w:rPr>
          <w:rFonts w:ascii="Arial" w:cs="Arial" w:eastAsia="Arial" w:hAnsi="Arial"/>
          <w:b/>
          <w:bCs/>
          <w:color w:val="0D2545"/>
          <w:sz w:val="26"/>
          <w:szCs w:val="26"/>
        </w:rPr>
        <w:t xml:space="preserve">12. CLOSING THOUGHT</w:t>
      </w:r>
    </w:p>
    <w:p>
      <w:pPr>
        <w:spacing w:after="80" w:before="100"/>
      </w:pPr>
      <w:r>
        <w:rPr>
          <w:rFonts w:ascii="Arial" w:cs="Arial" w:eastAsia="Arial" w:hAnsi="Arial"/>
          <w:b/>
          <w:bCs/>
          <w:color w:val="0D2545"/>
          <w:sz w:val="22"/>
          <w:szCs w:val="22"/>
        </w:rPr>
        <w:t xml:space="preserve">A market that refuses to go down significantly is telling you something. </w:t>
      </w:r>
      <w:r>
        <w:rPr>
          <w:rFonts w:ascii="Arial" w:cs="Arial" w:eastAsia="Arial" w:hAnsi="Arial"/>
          <w:sz w:val="22"/>
          <w:szCs w:val="22"/>
        </w:rPr>
        <w:t xml:space="preserve">Consider what investors are absorbing right now: a hot war in the Middle East that periodically blocks 20% of global oil supply; a major US tech company changing its CEO for the first time in 15 years; a presidential administration whose foreign policy pivots on a near-daily basis; and an earnings season where the most watched company is simultaneously the most controversial. Against this backdrop, the S&amp;P 500 sits at 7,064 — elevated by nearly any historical valuation metric.</w:t>
      </w:r>
    </w:p>
    <w:p>
      <w:pPr>
        <w:spacing w:after="60" w:before="60"/>
      </w:pPr>
      <w:r>
        <w:rPr>
          <w:rFonts w:ascii="Arial" w:cs="Arial" w:eastAsia="Arial" w:hAnsi="Arial"/>
          <w:b w:val="false"/>
          <w:bCs w:val="false"/>
          <w:color w:val="111111"/>
          <w:sz w:val="22"/>
          <w:szCs w:val="22"/>
        </w:rPr>
        <w:t xml:space="preserve">The contrarian read worth considering: the market may be pricing in a geopolitical resolution that is far from certain. A back-of-the-envelope calculation suggests that oil at $92/bbl — if sustained for a full quarter — reduces S&amp;P 500 EPS by roughly $8-$12 per share through margin compression and consumer spending drag. That's meaningful at current multiples. The market is acting as if the Iran situation resolves cleanly. History suggests these things rarely do — they tend to either escalate or resolve in ways no one expected. Position accordingly.</w:t>
      </w:r>
    </w:p>
    <w:p>
      <w:pPr>
        <w:spacing w:after="140" w:before="60"/>
      </w:pPr>
      <w:r>
        <w:rPr>
          <w:rFonts w:ascii="Arial" w:cs="Arial" w:eastAsia="Arial" w:hAnsi="Arial"/>
          <w:sz w:val="22"/>
          <w:szCs w:val="22"/>
        </w:rPr>
        <w:t xml:space="preserve">As always, the most expensive words in investing are </w:t>
      </w:r>
      <w:r>
        <w:rPr>
          <w:rFonts w:ascii="Arial" w:cs="Arial" w:eastAsia="Arial" w:hAnsi="Arial"/>
          <w:b/>
          <w:bCs/>
          <w:color w:val="0D2545"/>
          <w:sz w:val="22"/>
          <w:szCs w:val="22"/>
        </w:rPr>
        <w:t xml:space="preserve">"this time is different"</w:t>
      </w:r>
      <w:r>
        <w:rPr>
          <w:rFonts w:ascii="Arial" w:cs="Arial" w:eastAsia="Arial" w:hAnsi="Arial"/>
          <w:sz w:val="22"/>
          <w:szCs w:val="22"/>
        </w:rPr>
        <w:t xml:space="preserve"> — and the second most expensive are </w:t>
      </w:r>
      <w:r>
        <w:rPr>
          <w:rFonts w:ascii="Arial" w:cs="Arial" w:eastAsia="Arial" w:hAnsi="Arial"/>
          <w:b/>
          <w:bCs/>
          <w:color w:val="0D2545"/>
          <w:sz w:val="22"/>
          <w:szCs w:val="22"/>
        </w:rPr>
        <w:t xml:space="preserve">"this can't get worse."</w:t>
      </w:r>
    </w:p>
    <w:p>
      <w:pPr>
        <w:pBdr>
          <w:bottom w:val="single" w:color="C9A84C" w:sz="12" w:space="1"/>
        </w:pBdr>
        <w:spacing w:after="80" w:before="80"/>
      </w:pPr>
    </w:p>
    <w:p>
      <w:pPr>
        <w:spacing w:after="40" w:before="80"/>
      </w:pPr>
      <w:r>
        <w:rPr>
          <w:rFonts w:ascii="Arial" w:cs="Arial" w:eastAsia="Arial" w:hAnsi="Arial"/>
          <w:b w:val="false"/>
          <w:bCs w:val="false"/>
          <w:color w:val="555555"/>
          <w:sz w:val="18"/>
          <w:szCs w:val="18"/>
        </w:rPr>
        <w:t xml:space="preserve">Daily Financial Brief is compiled from public market data and news sources for informational purposes only. Not investment advice. All prices are approximate and sourced from pre-market data.</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spacing w:before="80"/>
    </w:pPr>
    <w:r>
      <w:rPr>
        <w:rFonts w:ascii="Arial" w:cs="Arial" w:eastAsia="Arial" w:hAnsi="Arial"/>
        <w:color w:val="555555"/>
        <w:sz w:val="16"/>
        <w:szCs w:val="16"/>
      </w:rPr>
      <w:t xml:space="preserve">Daily Financial Brief  •  Wednesday, April 22, 2026  •  For informational purposes only. Not investment advice.</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8" w:space="2"/>
      </w:pBdr>
      <w:spacing w:after="80" w:before="0"/>
    </w:pPr>
    <w:r>
      <w:rPr>
        <w:rFonts w:ascii="Arial" w:cs="Arial" w:eastAsia="Arial" w:hAnsi="Arial"/>
        <w:b/>
        <w:bCs/>
        <w:color w:val="FFFFFF"/>
        <w:sz w:val="32"/>
        <w:szCs w:val="32"/>
      </w:rPr>
      <w:t xml:space="preserve">DAILY FINANCIAL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2026-04-22T14:07:14.060Z</dcterms:created>
  <dcterms:modified xsi:type="dcterms:W3CDTF">2026-04-22T14:07:14.060Z</dcterms:modified>
</cp:coreProperties>
</file>

<file path=docProps/custom.xml><?xml version="1.0" encoding="utf-8"?>
<Properties xmlns="http://schemas.openxmlformats.org/officeDocument/2006/custom-properties" xmlns:vt="http://schemas.openxmlformats.org/officeDocument/2006/docPropsVTypes"/>
</file>