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0B2545"/>
          <w:sz w:val="44"/>
          <w:szCs w:val="44"/>
        </w:rPr>
        <w:t xml:space="preserve">DAILY FINANCIAL BRIEF</w:t>
      </w:r>
    </w:p>
    <w:p>
      <w:pPr>
        <w:pBdr>
          <w:bottom w:val="single" w:color="B8860B" w:sz="18" w:space="4"/>
        </w:pBdr>
        <w:spacing w:after="40"/>
        <w:jc w:val="center"/>
      </w:pPr>
      <w:r>
        <w:rPr>
          <w:rFonts w:ascii="Calibri" w:cs="Calibri" w:eastAsia="Calibri" w:hAnsi="Calibri"/>
          <w:i/>
          <w:iCs/>
          <w:color w:val="13315C"/>
          <w:sz w:val="24"/>
          <w:szCs w:val="24"/>
        </w:rPr>
        <w:t xml:space="preserve">Thursday, April 23, 2026  ·  9:30 AM ET</w:t>
      </w:r>
    </w:p>
    <w:p>
      <w:pPr>
        <w:spacing w:after="160"/>
      </w:pPr>
      <w:r>
        <w:rPr>
          <w:sz w:val="4"/>
          <w:szCs w:val="4"/>
        </w:rPr>
        <w:t xml:space="preserve"> </w:t>
      </w:r>
    </w:p>
    <w:p>
      <w:pPr>
        <w:pStyle w:val="Heading1"/>
        <w:pBdr>
          <w:bottom w:val="single" w:color="B8860B" w:sz="12" w:space="2"/>
        </w:pBdr>
        <w:spacing w:after="160" w:before="360"/>
      </w:pPr>
      <w:r>
        <w:rPr>
          <w:rFonts w:ascii="Calibri" w:cs="Calibri" w:eastAsia="Calibri" w:hAnsi="Calibri"/>
          <w:b/>
          <w:bCs/>
          <w:color w:val="0B2545"/>
          <w:sz w:val="30"/>
          <w:szCs w:val="30"/>
        </w:rPr>
        <w:t xml:space="preserve">1 · The Morning Setup</w:t>
      </w:r>
    </w:p>
    <w:p>
      <w:pPr>
        <w:spacing w:after="120" w:before="0" w:line="300"/>
        <w:jc w:val="left"/>
      </w:pPr>
      <w:r>
        <w:rPr>
          <w:rFonts w:ascii="Calibri" w:cs="Calibri" w:eastAsia="Calibri" w:hAnsi="Calibri"/>
          <w:b w:val="false"/>
          <w:bCs w:val="false"/>
          <w:i w:val="false"/>
          <w:iCs w:val="false"/>
          <w:color w:val="111111"/>
          <w:sz w:val="22"/>
          <w:szCs w:val="22"/>
        </w:rPr>
        <w:t xml:space="preserve">Oil is back in the driver's seat, and it is pulling global risk assets with it. For a fourth straight session, Brent crude has pushed higher, trading above $103 a barrel this morning after President Trump's indefinite truce extension failed to produce a second round of negotiations and the U.S. Navy reportedly intercepted three Iranian tankers in Asian waters. The Strait of Hormuz — through which roughly a fifth of the world's seaborne oil still transits — remains functionally contested, and that single fact is rewriting the arithmetic behind every central bank forecast, every corporate cost curve, and every equity multiple in the Western world.</w:t>
      </w:r>
    </w:p>
    <w:p>
      <w:pPr>
        <w:spacing w:after="120" w:before="0" w:line="300"/>
        <w:jc w:val="left"/>
      </w:pPr>
      <w:r>
        <w:rPr>
          <w:rFonts w:ascii="Calibri" w:cs="Calibri" w:eastAsia="Calibri" w:hAnsi="Calibri"/>
          <w:b w:val="false"/>
          <w:bCs w:val="false"/>
          <w:i w:val="false"/>
          <w:iCs w:val="false"/>
          <w:color w:val="111111"/>
          <w:sz w:val="22"/>
          <w:szCs w:val="22"/>
        </w:rPr>
        <w:t xml:space="preserve">The knock-on is a measured but unmistakable de-risking. S&amp;P 500 futures are off 0.2%, Nasdaq 100 futures are down 0.3%, and Dow futures are the weakest of the bunch at -0.4% as IBM's 10% after-hours slide — driven by fears that Anthropic's agentic AI tooling is eating into its services moat — crushes the price-weighted index. ServiceNow is indicated down a further 13% on an Armis integration air pocket. Tesla, which actually beat on the bottom line last night, is slipping 3% as Elon Musk frames the next two years as a capex-heavy fight for the robotaxi and humanoid-robot future. The tone for the day is set: beats are not enough; guidance, cash flow, and capital discipline are what the market wants to hear.</w:t>
      </w:r>
    </w:p>
    <w:p>
      <w:pPr>
        <w:pStyle w:val="Heading1"/>
        <w:pBdr>
          <w:bottom w:val="single" w:color="B8860B" w:sz="12" w:space="2"/>
        </w:pBdr>
        <w:spacing w:after="160" w:before="360"/>
      </w:pPr>
      <w:r>
        <w:rPr>
          <w:rFonts w:ascii="Calibri" w:cs="Calibri" w:eastAsia="Calibri" w:hAnsi="Calibri"/>
          <w:b/>
          <w:bCs/>
          <w:color w:val="0B2545"/>
          <w:sz w:val="30"/>
          <w:szCs w:val="30"/>
        </w:rPr>
        <w:t xml:space="preserve">2 · Markets at a Glance</w:t>
      </w:r>
    </w:p>
    <w:p>
      <w:pPr>
        <w:spacing w:after="120" w:before="0" w:line="300"/>
        <w:jc w:val="left"/>
      </w:pPr>
      <w:r>
        <w:rPr>
          <w:rFonts w:ascii="Calibri" w:cs="Calibri" w:eastAsia="Calibri" w:hAnsi="Calibri"/>
          <w:b w:val="false"/>
          <w:bCs w:val="false"/>
          <w:i/>
          <w:iCs/>
          <w:color w:val="606060"/>
          <w:sz w:val="20"/>
          <w:szCs w:val="20"/>
        </w:rPr>
        <w:t xml:space="preserve">All levels as of ~8:45 AM ET. Changes for futures and overseas indexes vs. prior session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3260"/>
      </w:tblGrid>
      <w:tr>
        <w:trPr>
          <w:tblHeader/>
        </w:trPr>
        <w:tc>
          <w:tcPr>
            <w:tcW w:type="dxa" w:w="2500"/>
            <w:tcBorders>
              <w:top w:val="single" w:color="CCCCCC" w:sz="4"/>
              <w:left w:val="single" w:color="CCCCCC" w:sz="4"/>
              <w:bottom w:val="single" w:color="CCCCCC" w:sz="4"/>
              <w:right w:val="single" w:color="CCCCCC" w:sz="4"/>
            </w:tcBorders>
            <w:shd w:fill="0B2545"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Instrument</w:t>
            </w:r>
          </w:p>
        </w:tc>
        <w:tc>
          <w:tcPr>
            <w:tcW w:type="dxa" w:w="1800"/>
            <w:tcBorders>
              <w:top w:val="single" w:color="CCCCCC" w:sz="4"/>
              <w:left w:val="single" w:color="CCCCCC" w:sz="4"/>
              <w:bottom w:val="single" w:color="CCCCCC" w:sz="4"/>
              <w:right w:val="single" w:color="CCCCCC" w:sz="4"/>
            </w:tcBorders>
            <w:shd w:fill="0B2545" w:color="auto"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Level</w:t>
            </w:r>
          </w:p>
        </w:tc>
        <w:tc>
          <w:tcPr>
            <w:tcW w:type="dxa" w:w="1800"/>
            <w:tcBorders>
              <w:top w:val="single" w:color="CCCCCC" w:sz="4"/>
              <w:left w:val="single" w:color="CCCCCC" w:sz="4"/>
              <w:bottom w:val="single" w:color="CCCCCC" w:sz="4"/>
              <w:right w:val="single" w:color="CCCCCC" w:sz="4"/>
            </w:tcBorders>
            <w:shd w:fill="0B2545" w:color="auto"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Change</w:t>
            </w:r>
          </w:p>
        </w:tc>
        <w:tc>
          <w:tcPr>
            <w:tcW w:type="dxa" w:w="3260"/>
            <w:tcBorders>
              <w:top w:val="single" w:color="CCCCCC" w:sz="4"/>
              <w:left w:val="single" w:color="CCCCCC" w:sz="4"/>
              <w:bottom w:val="single" w:color="CCCCCC" w:sz="4"/>
              <w:right w:val="single" w:color="CCCCCC" w:sz="4"/>
            </w:tcBorders>
            <w:shd w:fill="0B2545"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Context</w:t>
            </w:r>
          </w:p>
        </w:tc>
      </w:tr>
      <w:tr>
        <w:tc>
          <w:tcPr>
            <w:tcW w:type="dxa" w:w="9360"/>
            <w:gridSpan w:val="4"/>
            <w:tcBorders>
              <w:top w:val="single" w:color="CCCCCC" w:sz="4"/>
              <w:left w:val="single" w:color="CCCCCC" w:sz="4"/>
              <w:bottom w:val="single" w:color="CCCCCC" w:sz="4"/>
              <w:right w:val="single" w:color="CCCCCC" w:sz="4"/>
            </w:tcBorders>
            <w:shd w:fill="F5E6B8" w:color="auto" w:val="clear"/>
            <w:tcMar>
              <w:top w:type="dxa" w:w="60"/>
              <w:left w:type="dxa" w:w="120"/>
              <w:bottom w:type="dxa" w:w="60"/>
              <w:right w:type="dxa" w:w="120"/>
            </w:tcMar>
          </w:tcPr>
          <w:p>
            <w:r>
              <w:rPr>
                <w:rFonts w:ascii="Calibri" w:cs="Calibri" w:eastAsia="Calibri" w:hAnsi="Calibri"/>
                <w:b/>
                <w:bCs/>
                <w:color w:val="0B2545"/>
                <w:sz w:val="20"/>
                <w:szCs w:val="20"/>
              </w:rPr>
              <w:t xml:space="preserve">US EQUITY FUTURES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S&amp;P 500 (ES)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11111"/>
                <w:sz w:val="20"/>
                <w:szCs w:val="20"/>
              </w:rPr>
              <w:t xml:space="preserve">5,852</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B3261E"/>
                <w:sz w:val="20"/>
                <w:szCs w:val="20"/>
              </w:rPr>
              <w:t xml:space="preserve">-0.20%</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Pulling back from record close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Nasdaq 100 (NQ)</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11111"/>
                <w:sz w:val="20"/>
                <w:szCs w:val="20"/>
              </w:rPr>
              <w:t xml:space="preserve">20,610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B3261E"/>
                <w:sz w:val="20"/>
                <w:szCs w:val="20"/>
              </w:rPr>
              <w:t xml:space="preserve">-0.30%</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Tech drag from ServiceNow, IBM</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Dow (YM)</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11111"/>
                <w:sz w:val="20"/>
                <w:szCs w:val="20"/>
              </w:rPr>
              <w:t xml:space="preserve">42,475</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B3261E"/>
                <w:sz w:val="20"/>
                <w:szCs w:val="20"/>
              </w:rPr>
              <w:t xml:space="preserve">-0.40%</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IBM -10% weighing heavily</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Russell 2000 (RTY)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11111"/>
                <w:sz w:val="20"/>
                <w:szCs w:val="20"/>
              </w:rPr>
              <w:t xml:space="preserve">2,172</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B3261E"/>
                <w:sz w:val="20"/>
                <w:szCs w:val="20"/>
              </w:rPr>
              <w:t xml:space="preserve">-0.35%</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Small caps tracking risk-off tone</w:t>
            </w:r>
          </w:p>
        </w:tc>
      </w:tr>
      <w:tr>
        <w:tc>
          <w:tcPr>
            <w:tcW w:type="dxa" w:w="9360"/>
            <w:gridSpan w:val="4"/>
            <w:tcBorders>
              <w:top w:val="single" w:color="CCCCCC" w:sz="4"/>
              <w:left w:val="single" w:color="CCCCCC" w:sz="4"/>
              <w:bottom w:val="single" w:color="CCCCCC" w:sz="4"/>
              <w:right w:val="single" w:color="CCCCCC" w:sz="4"/>
            </w:tcBorders>
            <w:shd w:fill="F5E6B8" w:color="auto" w:val="clear"/>
            <w:tcMar>
              <w:top w:type="dxa" w:w="60"/>
              <w:left w:type="dxa" w:w="120"/>
              <w:bottom w:type="dxa" w:w="60"/>
              <w:right w:type="dxa" w:w="120"/>
            </w:tcMar>
          </w:tcPr>
          <w:p>
            <w:r>
              <w:rPr>
                <w:rFonts w:ascii="Calibri" w:cs="Calibri" w:eastAsia="Calibri" w:hAnsi="Calibri"/>
                <w:b/>
                <w:bCs/>
                <w:color w:val="0B2545"/>
                <w:sz w:val="20"/>
                <w:szCs w:val="20"/>
              </w:rPr>
              <w:t xml:space="preserve">ASIA (PRIOR CLOSE)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Nikkei 225</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11111"/>
                <w:sz w:val="20"/>
                <w:szCs w:val="20"/>
              </w:rPr>
              <w:t xml:space="preserve">59,140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B3261E"/>
                <w:sz w:val="20"/>
                <w:szCs w:val="20"/>
              </w:rPr>
              <w:t xml:space="preserve">-0.75%</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Off intraday record of 60,014</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Hang Seng</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11111"/>
                <w:sz w:val="20"/>
                <w:szCs w:val="20"/>
              </w:rPr>
              <w:t xml:space="preserve">23,480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B3261E"/>
                <w:sz w:val="20"/>
                <w:szCs w:val="20"/>
              </w:rPr>
              <w:t xml:space="preserve">-0.55%</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Property sector weakness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Shanghai Composite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11111"/>
                <w:sz w:val="20"/>
                <w:szCs w:val="20"/>
              </w:rPr>
              <w:t xml:space="preserve">4,098</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B3261E"/>
                <w:sz w:val="20"/>
                <w:szCs w:val="20"/>
              </w:rPr>
              <w:t xml:space="preserve">-0.18%</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Tracks 1-month high Wed</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Kospi</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11111"/>
                <w:sz w:val="20"/>
                <w:szCs w:val="20"/>
              </w:rPr>
              <w:t xml:space="preserve">2,865</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B3261E"/>
                <w:sz w:val="20"/>
                <w:szCs w:val="20"/>
              </w:rPr>
              <w:t xml:space="preserve">-0.62%</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Samsung, SK Hynix weaker</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ASX 200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11111"/>
                <w:sz w:val="20"/>
                <w:szCs w:val="20"/>
              </w:rPr>
              <w:t xml:space="preserve">8,215</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B3261E"/>
                <w:sz w:val="20"/>
                <w:szCs w:val="20"/>
              </w:rPr>
              <w:t xml:space="preserve">-0.22%</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Energy strong, banks softer</w:t>
            </w:r>
          </w:p>
        </w:tc>
      </w:tr>
      <w:tr>
        <w:tc>
          <w:tcPr>
            <w:tcW w:type="dxa" w:w="9360"/>
            <w:gridSpan w:val="4"/>
            <w:tcBorders>
              <w:top w:val="single" w:color="CCCCCC" w:sz="4"/>
              <w:left w:val="single" w:color="CCCCCC" w:sz="4"/>
              <w:bottom w:val="single" w:color="CCCCCC" w:sz="4"/>
              <w:right w:val="single" w:color="CCCCCC" w:sz="4"/>
            </w:tcBorders>
            <w:shd w:fill="F5E6B8" w:color="auto" w:val="clear"/>
            <w:tcMar>
              <w:top w:type="dxa" w:w="60"/>
              <w:left w:type="dxa" w:w="120"/>
              <w:bottom w:type="dxa" w:w="60"/>
              <w:right w:type="dxa" w:w="120"/>
            </w:tcMar>
          </w:tcPr>
          <w:p>
            <w:r>
              <w:rPr>
                <w:rFonts w:ascii="Calibri" w:cs="Calibri" w:eastAsia="Calibri" w:hAnsi="Calibri"/>
                <w:b/>
                <w:bCs/>
                <w:color w:val="0B2545"/>
                <w:sz w:val="20"/>
                <w:szCs w:val="20"/>
              </w:rPr>
              <w:t xml:space="preserve">EUROPE (EARLY TRADE)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Stoxx 600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11111"/>
                <w:sz w:val="20"/>
                <w:szCs w:val="20"/>
              </w:rPr>
              <w:t xml:space="preserve">554.8</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B3261E"/>
                <w:sz w:val="20"/>
                <w:szCs w:val="20"/>
              </w:rPr>
              <w:t xml:space="preserve">-0.35%</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Germany growth downgrade weighs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FTSE 100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11111"/>
                <w:sz w:val="20"/>
                <w:szCs w:val="20"/>
              </w:rPr>
              <w:t xml:space="preserve">8,422</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B3261E"/>
                <w:sz w:val="20"/>
                <w:szCs w:val="20"/>
              </w:rPr>
              <w:t xml:space="preserve">-0.15%</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Oil majors offer support</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DAX</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11111"/>
                <w:sz w:val="20"/>
                <w:szCs w:val="20"/>
              </w:rPr>
              <w:t xml:space="preserve">22,680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B3261E"/>
                <w:sz w:val="20"/>
                <w:szCs w:val="20"/>
              </w:rPr>
              <w:t xml:space="preserve">-0.55%</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Bundesbank halves GDP forecast</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CAC 40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11111"/>
                <w:sz w:val="20"/>
                <w:szCs w:val="20"/>
              </w:rPr>
              <w:t xml:space="preserve">8,108</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B3261E"/>
                <w:sz w:val="20"/>
                <w:szCs w:val="20"/>
              </w:rPr>
              <w:t xml:space="preserve">-0.42%</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Luxury sector sells off</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Euro Stoxx 50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11111"/>
                <w:sz w:val="20"/>
                <w:szCs w:val="20"/>
              </w:rPr>
              <w:t xml:space="preserve">5,347</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B3261E"/>
                <w:sz w:val="20"/>
                <w:szCs w:val="20"/>
              </w:rPr>
              <w:t xml:space="preserve">-0.48%</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Risk-off on Iran headlines</w:t>
            </w:r>
          </w:p>
        </w:tc>
      </w:tr>
      <w:tr>
        <w:tc>
          <w:tcPr>
            <w:tcW w:type="dxa" w:w="9360"/>
            <w:gridSpan w:val="4"/>
            <w:tcBorders>
              <w:top w:val="single" w:color="CCCCCC" w:sz="4"/>
              <w:left w:val="single" w:color="CCCCCC" w:sz="4"/>
              <w:bottom w:val="single" w:color="CCCCCC" w:sz="4"/>
              <w:right w:val="single" w:color="CCCCCC" w:sz="4"/>
            </w:tcBorders>
            <w:shd w:fill="F5E6B8" w:color="auto" w:val="clear"/>
            <w:tcMar>
              <w:top w:type="dxa" w:w="60"/>
              <w:left w:type="dxa" w:w="120"/>
              <w:bottom w:type="dxa" w:w="60"/>
              <w:right w:type="dxa" w:w="120"/>
            </w:tcMar>
          </w:tcPr>
          <w:p>
            <w:r>
              <w:rPr>
                <w:rFonts w:ascii="Calibri" w:cs="Calibri" w:eastAsia="Calibri" w:hAnsi="Calibri"/>
                <w:b/>
                <w:bCs/>
                <w:color w:val="0B2545"/>
                <w:sz w:val="20"/>
                <w:szCs w:val="20"/>
              </w:rPr>
              <w:t xml:space="preserve">VOLATILITY &amp; RATES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VIX</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11111"/>
                <w:sz w:val="20"/>
                <w:szCs w:val="20"/>
              </w:rPr>
              <w:t xml:space="preserve">18.6</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F7A1F"/>
                <w:sz w:val="20"/>
                <w:szCs w:val="20"/>
              </w:rPr>
              <w:t xml:space="preserve">+1.20</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Elevated on Iran risk premium</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MOVE Index</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11111"/>
                <w:sz w:val="20"/>
                <w:szCs w:val="20"/>
              </w:rPr>
              <w:t xml:space="preserve">105</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F7A1F"/>
                <w:sz w:val="20"/>
                <w:szCs w:val="20"/>
              </w:rPr>
              <w:t xml:space="preserve">+3pt</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Bond vol picking up</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US 2Y Yield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11111"/>
                <w:sz w:val="20"/>
                <w:szCs w:val="20"/>
              </w:rPr>
              <w:t xml:space="preserve">3.81%</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F7A1F"/>
                <w:sz w:val="20"/>
                <w:szCs w:val="20"/>
              </w:rPr>
              <w:t xml:space="preserve">+1 bp</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Pricing one cut in 2026, if any</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US 10Y Yield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11111"/>
                <w:sz w:val="20"/>
                <w:szCs w:val="20"/>
              </w:rPr>
              <w:t xml:space="preserve">4.30%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B3261E"/>
                <w:sz w:val="20"/>
                <w:szCs w:val="20"/>
              </w:rPr>
              <w:t xml:space="preserve">-1 bp</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Holding below last week's 4.35% peak</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US 30Y Yield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11111"/>
                <w:sz w:val="20"/>
                <w:szCs w:val="20"/>
              </w:rPr>
              <w:t xml:space="preserve">4.93%</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F7A1F"/>
                <w:sz w:val="20"/>
                <w:szCs w:val="20"/>
              </w:rPr>
              <w:t xml:space="preserve">+2 bps</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Curve re-steepening modestly</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10Y-2Y Spread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11111"/>
                <w:sz w:val="20"/>
                <w:szCs w:val="20"/>
              </w:rPr>
              <w:t xml:space="preserve">+49 bps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11111"/>
                <w:sz w:val="20"/>
                <w:szCs w:val="20"/>
              </w:rPr>
              <w:t xml:space="preserve">flat</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Normalized from 2024 inversion</w:t>
            </w:r>
          </w:p>
        </w:tc>
      </w:tr>
      <w:tr>
        <w:tc>
          <w:tcPr>
            <w:tcW w:type="dxa" w:w="9360"/>
            <w:gridSpan w:val="4"/>
            <w:tcBorders>
              <w:top w:val="single" w:color="CCCCCC" w:sz="4"/>
              <w:left w:val="single" w:color="CCCCCC" w:sz="4"/>
              <w:bottom w:val="single" w:color="CCCCCC" w:sz="4"/>
              <w:right w:val="single" w:color="CCCCCC" w:sz="4"/>
            </w:tcBorders>
            <w:shd w:fill="F5E6B8" w:color="auto" w:val="clear"/>
            <w:tcMar>
              <w:top w:type="dxa" w:w="60"/>
              <w:left w:type="dxa" w:w="120"/>
              <w:bottom w:type="dxa" w:w="60"/>
              <w:right w:type="dxa" w:w="120"/>
            </w:tcMar>
          </w:tcPr>
          <w:p>
            <w:r>
              <w:rPr>
                <w:rFonts w:ascii="Calibri" w:cs="Calibri" w:eastAsia="Calibri" w:hAnsi="Calibri"/>
                <w:b/>
                <w:bCs/>
                <w:color w:val="0B2545"/>
                <w:sz w:val="20"/>
                <w:szCs w:val="20"/>
              </w:rPr>
              <w:t xml:space="preserve">CURRENCIES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DXY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11111"/>
                <w:sz w:val="20"/>
                <w:szCs w:val="20"/>
              </w:rPr>
              <w:t xml:space="preserve">98.70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F7A1F"/>
                <w:sz w:val="20"/>
                <w:szCs w:val="20"/>
              </w:rPr>
              <w:t xml:space="preserve">+0.10%</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Bid on safe-haven flows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EUR/USD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11111"/>
                <w:sz w:val="20"/>
                <w:szCs w:val="20"/>
              </w:rPr>
              <w:t xml:space="preserve">1.0895</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B3261E"/>
                <w:sz w:val="20"/>
                <w:szCs w:val="20"/>
              </w:rPr>
              <w:t xml:space="preserve">-0.12%</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German data pressuring euro</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GBP/USD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11111"/>
                <w:sz w:val="20"/>
                <w:szCs w:val="20"/>
              </w:rPr>
              <w:t xml:space="preserve">1.2745</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B3261E"/>
                <w:sz w:val="20"/>
                <w:szCs w:val="20"/>
              </w:rPr>
              <w:t xml:space="preserve">-0.05%</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UK inflation stickier than hoped</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USD/JPY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11111"/>
                <w:sz w:val="20"/>
                <w:szCs w:val="20"/>
              </w:rPr>
              <w:t xml:space="preserve">154.85</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F7A1F"/>
                <w:sz w:val="20"/>
                <w:szCs w:val="20"/>
              </w:rPr>
              <w:t xml:space="preserve">+0.20%</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BOJ stays patient</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USD/CNY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11111"/>
                <w:sz w:val="20"/>
                <w:szCs w:val="20"/>
              </w:rPr>
              <w:t xml:space="preserve">7.24</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F7A1F"/>
                <w:sz w:val="20"/>
                <w:szCs w:val="20"/>
              </w:rPr>
              <w:t xml:space="preserve">+0.05%</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PBOC managing slow drift weaker</w:t>
            </w:r>
          </w:p>
        </w:tc>
      </w:tr>
      <w:tr>
        <w:tc>
          <w:tcPr>
            <w:tcW w:type="dxa" w:w="9360"/>
            <w:gridSpan w:val="4"/>
            <w:tcBorders>
              <w:top w:val="single" w:color="CCCCCC" w:sz="4"/>
              <w:left w:val="single" w:color="CCCCCC" w:sz="4"/>
              <w:bottom w:val="single" w:color="CCCCCC" w:sz="4"/>
              <w:right w:val="single" w:color="CCCCCC" w:sz="4"/>
            </w:tcBorders>
            <w:shd w:fill="F5E6B8" w:color="auto" w:val="clear"/>
            <w:tcMar>
              <w:top w:type="dxa" w:w="60"/>
              <w:left w:type="dxa" w:w="120"/>
              <w:bottom w:type="dxa" w:w="60"/>
              <w:right w:type="dxa" w:w="120"/>
            </w:tcMar>
          </w:tcPr>
          <w:p>
            <w:r>
              <w:rPr>
                <w:rFonts w:ascii="Calibri" w:cs="Calibri" w:eastAsia="Calibri" w:hAnsi="Calibri"/>
                <w:b/>
                <w:bCs/>
                <w:color w:val="0B2545"/>
                <w:sz w:val="20"/>
                <w:szCs w:val="20"/>
              </w:rPr>
              <w:t xml:space="preserve">COMMODITIES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WTI Crude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11111"/>
                <w:sz w:val="20"/>
                <w:szCs w:val="20"/>
              </w:rPr>
              <w:t xml:space="preserve">$94.46</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F7A1F"/>
                <w:sz w:val="20"/>
                <w:szCs w:val="20"/>
              </w:rPr>
              <w:t xml:space="preserve">+1.67%</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Fourth straight session of gains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Brent Crude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11111"/>
                <w:sz w:val="20"/>
                <w:szCs w:val="20"/>
              </w:rPr>
              <w:t xml:space="preserve">$103.38</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F7A1F"/>
                <w:sz w:val="20"/>
                <w:szCs w:val="20"/>
              </w:rPr>
              <w:t xml:space="preserve">+1.44%</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Back above $100 on Iran/Hormuz</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Natural Gas (HH)</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11111"/>
                <w:sz w:val="20"/>
                <w:szCs w:val="20"/>
              </w:rPr>
              <w:t xml:space="preserve">$3.82</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F7A1F"/>
                <w:sz w:val="20"/>
                <w:szCs w:val="20"/>
              </w:rPr>
              <w:t xml:space="preserve">+2.10%</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Cold snap forecasts lift prompt</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Gold (spot)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11111"/>
                <w:sz w:val="20"/>
                <w:szCs w:val="20"/>
              </w:rPr>
              <w:t xml:space="preserve">$4,753/oz</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F7A1F"/>
                <w:sz w:val="20"/>
                <w:szCs w:val="20"/>
              </w:rPr>
              <w:t xml:space="preserve">+0.68%</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Safe-haven + dollar debasement</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Silver (spot)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11111"/>
                <w:sz w:val="20"/>
                <w:szCs w:val="20"/>
              </w:rPr>
              <w:t xml:space="preserve">$77.80/oz</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B3261E"/>
                <w:sz w:val="20"/>
                <w:szCs w:val="20"/>
              </w:rPr>
              <w:t xml:space="preserve">-3.80%</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Sharp pullback after Tuesday</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Copper (LME)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11111"/>
                <w:sz w:val="20"/>
                <w:szCs w:val="20"/>
              </w:rPr>
              <w:t xml:space="preserve">$10,850/t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B3261E"/>
                <w:sz w:val="20"/>
                <w:szCs w:val="20"/>
              </w:rPr>
              <w:t xml:space="preserve">-0.40%</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Growth concerns creeping in</w:t>
            </w:r>
          </w:p>
        </w:tc>
      </w:tr>
      <w:tr>
        <w:tc>
          <w:tcPr>
            <w:tcW w:type="dxa" w:w="9360"/>
            <w:gridSpan w:val="4"/>
            <w:tcBorders>
              <w:top w:val="single" w:color="CCCCCC" w:sz="4"/>
              <w:left w:val="single" w:color="CCCCCC" w:sz="4"/>
              <w:bottom w:val="single" w:color="CCCCCC" w:sz="4"/>
              <w:right w:val="single" w:color="CCCCCC" w:sz="4"/>
            </w:tcBorders>
            <w:shd w:fill="F5E6B8" w:color="auto" w:val="clear"/>
            <w:tcMar>
              <w:top w:type="dxa" w:w="60"/>
              <w:left w:type="dxa" w:w="120"/>
              <w:bottom w:type="dxa" w:w="60"/>
              <w:right w:type="dxa" w:w="120"/>
            </w:tcMar>
          </w:tcPr>
          <w:p>
            <w:r>
              <w:rPr>
                <w:rFonts w:ascii="Calibri" w:cs="Calibri" w:eastAsia="Calibri" w:hAnsi="Calibri"/>
                <w:b/>
                <w:bCs/>
                <w:color w:val="0B2545"/>
                <w:sz w:val="20"/>
                <w:szCs w:val="20"/>
              </w:rPr>
              <w:t xml:space="preserve">CRYPTO</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Bitcoin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11111"/>
                <w:sz w:val="20"/>
                <w:szCs w:val="20"/>
              </w:rPr>
              <w:t xml:space="preserve">$77,810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F7A1F"/>
                <w:sz w:val="20"/>
                <w:szCs w:val="20"/>
              </w:rPr>
              <w:t xml:space="preserve">+2.68%</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Recovered from sub-$76K flush</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Ethereum</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11111"/>
                <w:sz w:val="20"/>
                <w:szCs w:val="20"/>
              </w:rPr>
              <w:t xml:space="preserve">$2,375</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bCs/>
                <w:color w:val="1F7A1F"/>
                <w:sz w:val="20"/>
                <w:szCs w:val="20"/>
              </w:rPr>
              <w:t xml:space="preserve">+1.71%</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Upgraded outlook vs. BTC</w:t>
            </w:r>
          </w:p>
        </w:tc>
      </w:tr>
    </w:tbl>
    <w:p>
      <w:r>
        <w:br w:type="page"/>
      </w:r>
    </w:p>
    <w:p>
      <w:pPr>
        <w:pStyle w:val="Heading1"/>
        <w:pBdr>
          <w:bottom w:val="single" w:color="B8860B" w:sz="12" w:space="2"/>
        </w:pBdr>
        <w:spacing w:after="160" w:before="360"/>
      </w:pPr>
      <w:r>
        <w:rPr>
          <w:rFonts w:ascii="Calibri" w:cs="Calibri" w:eastAsia="Calibri" w:hAnsi="Calibri"/>
          <w:b/>
          <w:bCs/>
          <w:color w:val="0B2545"/>
          <w:sz w:val="30"/>
          <w:szCs w:val="30"/>
        </w:rPr>
        <w:t xml:space="preserve">3 · Top Stories</w:t>
      </w:r>
    </w:p>
    <w:p>
      <w:pPr>
        <w:pStyle w:val="Heading2"/>
        <w:spacing w:after="100" w:before="240"/>
      </w:pPr>
      <w:r>
        <w:rPr>
          <w:rFonts w:ascii="Calibri" w:cs="Calibri" w:eastAsia="Calibri" w:hAnsi="Calibri"/>
          <w:b/>
          <w:bCs/>
          <w:color w:val="13315C"/>
          <w:sz w:val="26"/>
          <w:szCs w:val="26"/>
        </w:rPr>
        <w:t xml:space="preserve">Iran, Hormuz and the $100 oil regime</w:t>
      </w:r>
    </w:p>
    <w:p>
      <w:pPr>
        <w:spacing w:after="120" w:before="0" w:line="300"/>
        <w:jc w:val="left"/>
      </w:pPr>
      <w:r>
        <w:rPr>
          <w:rFonts w:ascii="Calibri" w:cs="Calibri" w:eastAsia="Calibri" w:hAnsi="Calibri"/>
          <w:b w:val="false"/>
          <w:bCs w:val="false"/>
          <w:i w:val="false"/>
          <w:iCs w:val="false"/>
          <w:color w:val="111111"/>
          <w:sz w:val="22"/>
          <w:szCs w:val="22"/>
        </w:rPr>
        <w:t xml:space="preserve">The single most important macro variable right now is the trajectory of Brent crude. Four consecutive up days have printed roughly a 9% move off last week's lows, and the futures curve has flipped further into backwardation — a structural tell that physical buyers are paying up for prompt cargoes. Trump's indefinite ceasefire extension was meant to calm nerves, but Tehran's refusal to attend a second round of talks, coupled with U.S. interdiction of at least three Iranian tankers in the Malacca region, has shifted the market from relief to renewed risk-pricing.</w:t>
      </w:r>
    </w:p>
    <w:p>
      <w:pPr>
        <w:spacing w:after="120" w:before="0" w:line="300"/>
        <w:jc w:val="left"/>
      </w:pPr>
      <w:r>
        <w:rPr>
          <w:rFonts w:ascii="Calibri" w:cs="Calibri" w:eastAsia="Calibri" w:hAnsi="Calibri"/>
          <w:b w:val="false"/>
          <w:bCs w:val="false"/>
          <w:i w:val="false"/>
          <w:iCs w:val="false"/>
          <w:color w:val="111111"/>
          <w:sz w:val="22"/>
          <w:szCs w:val="22"/>
        </w:rPr>
        <w:t xml:space="preserve">The practical consequences cascade. Germany's Economics Ministry yesterday halved its 2026 GDP forecast to 0.5%, explicitly citing Hormuz. Fed funds futures now imply no more than a single 25 bp cut in 2026, and a non-trivial minority of traders are beginning to price in a hike at the April 28-29 meeting. Airlines are the clearest single-industry casualty — American Airlines this morning beat consensus but slashed its full-year EPS outlook on fuel — and the refining complex is quietly the biggest winner: crack spreads are at three-year highs.</w:t>
      </w:r>
    </w:p>
    <w:p>
      <w:pPr>
        <w:spacing w:after="120" w:before="0" w:line="300"/>
        <w:jc w:val="left"/>
      </w:pPr>
      <w:r>
        <w:rPr>
          <w:rFonts w:ascii="Calibri" w:cs="Calibri" w:eastAsia="Calibri" w:hAnsi="Calibri"/>
          <w:b w:val="false"/>
          <w:bCs w:val="false"/>
          <w:i w:val="false"/>
          <w:iCs w:val="false"/>
          <w:color w:val="111111"/>
          <w:sz w:val="22"/>
          <w:szCs w:val="22"/>
        </w:rPr>
        <w:t xml:space="preserve">What to watch: a cargo-level disruption, not just a tanker seizure, would be the escalation that pushes Brent into the $110-$115 range that several sell-side desks have pinned as the breakpoint above which U.S. core PCE re-accelerates meaningfully.</w:t>
      </w:r>
    </w:p>
    <w:p>
      <w:pPr>
        <w:pStyle w:val="Heading2"/>
        <w:spacing w:after="100" w:before="240"/>
      </w:pPr>
      <w:r>
        <w:rPr>
          <w:rFonts w:ascii="Calibri" w:cs="Calibri" w:eastAsia="Calibri" w:hAnsi="Calibri"/>
          <w:b/>
          <w:bCs/>
          <w:color w:val="13315C"/>
          <w:sz w:val="26"/>
          <w:szCs w:val="26"/>
        </w:rPr>
        <w:t xml:space="preserve">IBM's agentic AI reckoning</w:t>
      </w:r>
    </w:p>
    <w:p>
      <w:pPr>
        <w:spacing w:after="120" w:before="0" w:line="300"/>
        <w:jc w:val="left"/>
      </w:pPr>
      <w:r>
        <w:rPr>
          <w:rFonts w:ascii="Calibri" w:cs="Calibri" w:eastAsia="Calibri" w:hAnsi="Calibri"/>
          <w:b w:val="false"/>
          <w:bCs w:val="false"/>
          <w:i w:val="false"/>
          <w:iCs w:val="false"/>
          <w:color w:val="111111"/>
          <w:sz w:val="22"/>
          <w:szCs w:val="22"/>
        </w:rPr>
        <w:t xml:space="preserve">IBM reported what was, on the face of it, a clean quarter — software and infrastructure both delivered double-digit growth on cloud and generative AI demand. Yet the stock fell 11% as investors digested an unchanged full-year guide that management blamed on 'geopolitical uncertainty,' and a notable softening in the consulting-services growth rate. The narrative forming on Wall Street is more uncomfortable: that Anthropic's new Claude-powered agentic tools are beginning to compress IBM's highest-margin advisory revenue, the same way cloud once compressed its hardware.</w:t>
      </w:r>
    </w:p>
    <w:p>
      <w:pPr>
        <w:spacing w:after="120" w:before="0" w:line="300"/>
        <w:jc w:val="left"/>
      </w:pPr>
      <w:r>
        <w:rPr>
          <w:rFonts w:ascii="Calibri" w:cs="Calibri" w:eastAsia="Calibri" w:hAnsi="Calibri"/>
          <w:b w:val="false"/>
          <w:bCs w:val="false"/>
          <w:i w:val="false"/>
          <w:iCs w:val="false"/>
          <w:color w:val="111111"/>
          <w:sz w:val="22"/>
          <w:szCs w:val="22"/>
        </w:rPr>
        <w:t xml:space="preserve">This is significant beyond one stock. IBM is a bellwether for the enterprise services complex — Accenture, Cognizant, Wipro, Infosys. If the IBM print is early evidence that tier-one consulting hours are being automated away, the operating model of a $1-trillion global services industry is on the table. Options markets are pricing ACN and CTSH to move 4-5% into their own prints.</w:t>
      </w:r>
    </w:p>
    <w:p>
      <w:pPr>
        <w:spacing w:after="120" w:before="0" w:line="300"/>
        <w:jc w:val="left"/>
      </w:pPr>
      <w:r>
        <w:rPr>
          <w:rFonts w:ascii="Calibri" w:cs="Calibri" w:eastAsia="Calibri" w:hAnsi="Calibri"/>
          <w:b w:val="false"/>
          <w:bCs w:val="false"/>
          <w:i w:val="false"/>
          <w:iCs w:val="false"/>
          <w:color w:val="111111"/>
          <w:sz w:val="22"/>
          <w:szCs w:val="22"/>
        </w:rPr>
        <w:t xml:space="preserve">What to watch: the Q2 consulting book-to-bill ratio at Accenture (May earnings). A print below 1.0x would confirm the thesis; a print above 1.1x would kill it.</w:t>
      </w:r>
    </w:p>
    <w:p>
      <w:pPr>
        <w:pStyle w:val="Heading2"/>
        <w:spacing w:after="100" w:before="240"/>
      </w:pPr>
      <w:r>
        <w:rPr>
          <w:rFonts w:ascii="Calibri" w:cs="Calibri" w:eastAsia="Calibri" w:hAnsi="Calibri"/>
          <w:b/>
          <w:bCs/>
          <w:color w:val="13315C"/>
          <w:sz w:val="26"/>
          <w:szCs w:val="26"/>
        </w:rPr>
        <w:t xml:space="preserve">Tesla beats, then sells off — Musk's capex spiral</w:t>
      </w:r>
    </w:p>
    <w:p>
      <w:pPr>
        <w:spacing w:after="120" w:before="0" w:line="300"/>
        <w:jc w:val="left"/>
      </w:pPr>
      <w:r>
        <w:rPr>
          <w:rFonts w:ascii="Calibri" w:cs="Calibri" w:eastAsia="Calibri" w:hAnsi="Calibri"/>
          <w:b w:val="false"/>
          <w:bCs w:val="false"/>
          <w:i w:val="false"/>
          <w:iCs w:val="false"/>
          <w:color w:val="111111"/>
          <w:sz w:val="22"/>
          <w:szCs w:val="22"/>
        </w:rPr>
        <w:t xml:space="preserve">Tesla's Q1 revenue of $22.71B topped consensus, and adjusted EPS of $0.41 comfortably beat the $0.37 expected. The stock still dropped 3% after-hours after Musk, on the call, laid out an accelerated capex program covering Optimus humanoid-robot production, Cybercab tooling, and additional Nevada and Texas AI training capacity. Full-year capex guidance was lifted to roughly $16 billion — a number that implies Tesla's free cash flow will be flat-to-negative for 2026 even under the bullish delivery scenario.</w:t>
      </w:r>
    </w:p>
    <w:p>
      <w:pPr>
        <w:spacing w:after="120" w:before="0" w:line="300"/>
        <w:jc w:val="left"/>
      </w:pPr>
      <w:r>
        <w:rPr>
          <w:rFonts w:ascii="Calibri" w:cs="Calibri" w:eastAsia="Calibri" w:hAnsi="Calibri"/>
          <w:b w:val="false"/>
          <w:bCs w:val="false"/>
          <w:i w:val="false"/>
          <w:iCs w:val="false"/>
          <w:color w:val="111111"/>
          <w:sz w:val="22"/>
          <w:szCs w:val="22"/>
        </w:rPr>
        <w:t xml:space="preserve">This is the Musk playbook reasserting itself: the market priced in a pivot to disciplined cash returns; the company is telling shareholders to brace for another two-year sprint. It also reframes the competitive picture. Tesla is effectively telling BYD, Xiaomi, and Waymo that it will outspend them into 2028 — a strategy that only works if the autonomy roadmap compounds on schedule.</w:t>
      </w:r>
    </w:p>
    <w:p>
      <w:pPr>
        <w:spacing w:after="120" w:before="0" w:line="300"/>
        <w:jc w:val="left"/>
      </w:pPr>
      <w:r>
        <w:rPr>
          <w:rFonts w:ascii="Calibri" w:cs="Calibri" w:eastAsia="Calibri" w:hAnsi="Calibri"/>
          <w:b w:val="false"/>
          <w:bCs w:val="false"/>
          <w:i w:val="false"/>
          <w:iCs w:val="false"/>
          <w:color w:val="111111"/>
          <w:sz w:val="22"/>
          <w:szCs w:val="22"/>
        </w:rPr>
        <w:t xml:space="preserve">What to watch: the Cybercab Austin pilot launch (targeted June) and the Optimus Pro-gen unveil at the September shareholder day. Any slip on either is the thesis-breaker.</w:t>
      </w:r>
    </w:p>
    <w:p>
      <w:pPr>
        <w:pStyle w:val="Heading2"/>
        <w:spacing w:after="100" w:before="240"/>
      </w:pPr>
      <w:r>
        <w:rPr>
          <w:rFonts w:ascii="Calibri" w:cs="Calibri" w:eastAsia="Calibri" w:hAnsi="Calibri"/>
          <w:b/>
          <w:bCs/>
          <w:color w:val="13315C"/>
          <w:sz w:val="26"/>
          <w:szCs w:val="26"/>
        </w:rPr>
        <w:t xml:space="preserve">The earnings-season quality filter</w:t>
      </w:r>
    </w:p>
    <w:p>
      <w:pPr>
        <w:spacing w:after="120" w:before="0" w:line="300"/>
        <w:jc w:val="left"/>
      </w:pPr>
      <w:r>
        <w:rPr>
          <w:rFonts w:ascii="Calibri" w:cs="Calibri" w:eastAsia="Calibri" w:hAnsi="Calibri"/>
          <w:b w:val="false"/>
          <w:bCs w:val="false"/>
          <w:i w:val="false"/>
          <w:iCs w:val="false"/>
          <w:color w:val="111111"/>
          <w:sz w:val="22"/>
          <w:szCs w:val="22"/>
        </w:rPr>
        <w:t xml:space="preserve">Aggregate Q1 S&amp;P 500 earnings growth is now tracking at roughly 11.4% with a third of the index reported — comfortably above the 7% estimate going into the season. But the distribution is bifurcating. Energy, utilities (data-center power), and select industrials are beating AND raising. The communications and discretionary sectors are beating on backward-looking metrics but missing on forward guidance.</w:t>
      </w:r>
    </w:p>
    <w:p>
      <w:pPr>
        <w:spacing w:after="120" w:before="0" w:line="300"/>
        <w:jc w:val="left"/>
      </w:pPr>
      <w:r>
        <w:rPr>
          <w:rFonts w:ascii="Calibri" w:cs="Calibri" w:eastAsia="Calibri" w:hAnsi="Calibri"/>
          <w:b w:val="false"/>
          <w:bCs w:val="false"/>
          <w:i w:val="false"/>
          <w:iCs w:val="false"/>
          <w:color w:val="111111"/>
          <w:sz w:val="22"/>
          <w:szCs w:val="22"/>
        </w:rPr>
        <w:t xml:space="preserve">This is exactly the pattern that precedes sector-leadership rotations. FactSet flags Energy's forward EPS growth at 35% for the next four quarters, which — if it holds — would make the sector a stealth leader despite its sub-4% index weight. Today's Dow Inc. print (beat on revenue and EPS, stock up 3% pre-market) reinforces the 'old economy re-rating' theme.</w:t>
      </w:r>
    </w:p>
    <w:p>
      <w:pPr>
        <w:spacing w:after="120" w:before="0" w:line="300"/>
        <w:jc w:val="left"/>
      </w:pPr>
      <w:r>
        <w:rPr>
          <w:rFonts w:ascii="Calibri" w:cs="Calibri" w:eastAsia="Calibri" w:hAnsi="Calibri"/>
          <w:b w:val="false"/>
          <w:bCs w:val="false"/>
          <w:i w:val="false"/>
          <w:iCs w:val="false"/>
          <w:color w:val="111111"/>
          <w:sz w:val="22"/>
          <w:szCs w:val="22"/>
        </w:rPr>
        <w:t xml:space="preserve">What to watch: next week's megacap tech prints (GOOGL Tuesday, META Wednesday, MSFT and AAPL Thursday). If their capex guides continue to accelerate — and three of four are likely to guide capex higher — the 'pick-and-shovel' trade through Vertiv, Eaton, Quanta, and the nuclear-utility complex gets another leg.</w:t>
      </w:r>
    </w:p>
    <w:p>
      <w:pPr>
        <w:pStyle w:val="Heading2"/>
        <w:spacing w:after="100" w:before="240"/>
      </w:pPr>
      <w:r>
        <w:rPr>
          <w:rFonts w:ascii="Calibri" w:cs="Calibri" w:eastAsia="Calibri" w:hAnsi="Calibri"/>
          <w:b/>
          <w:bCs/>
          <w:color w:val="13315C"/>
          <w:sz w:val="26"/>
          <w:szCs w:val="26"/>
        </w:rPr>
        <w:t xml:space="preserve">Germany halves 2026 GDP forecast</w:t>
      </w:r>
    </w:p>
    <w:p>
      <w:pPr>
        <w:spacing w:after="120" w:before="0" w:line="300"/>
        <w:jc w:val="left"/>
      </w:pPr>
      <w:r>
        <w:rPr>
          <w:rFonts w:ascii="Calibri" w:cs="Calibri" w:eastAsia="Calibri" w:hAnsi="Calibri"/>
          <w:b w:val="false"/>
          <w:bCs w:val="false"/>
          <w:i w:val="false"/>
          <w:iCs w:val="false"/>
          <w:color w:val="111111"/>
          <w:sz w:val="22"/>
          <w:szCs w:val="22"/>
        </w:rPr>
        <w:t xml:space="preserve">The Bundeswirtschaftsministerium now expects Europe's largest economy to grow just 0.5% in 2026, down from the 1.1% projected in January. The revision explicitly cites Middle East-driven energy costs and the Strait of Hormuz closure risk. Auto exports, chemicals, and capital-goods orders are the three channels cited as most vulnerable.</w:t>
      </w:r>
    </w:p>
    <w:p>
      <w:pPr>
        <w:spacing w:after="120" w:before="0" w:line="300"/>
        <w:jc w:val="left"/>
      </w:pPr>
      <w:r>
        <w:rPr>
          <w:rFonts w:ascii="Calibri" w:cs="Calibri" w:eastAsia="Calibri" w:hAnsi="Calibri"/>
          <w:b w:val="false"/>
          <w:bCs w:val="false"/>
          <w:i w:val="false"/>
          <w:iCs w:val="false"/>
          <w:color w:val="111111"/>
          <w:sz w:val="22"/>
          <w:szCs w:val="22"/>
        </w:rPr>
        <w:t xml:space="preserve">Europe is effectively importing both a demand shock (China exports softer) and a supply shock (energy) at once — the exact combination that paralyzed the ECB in 2022. The euro is trading 1.0895 against the dollar, down from 1.115 two weeks ago, and German 10-year Bund yields have retraced to 2.45% as real-rate expectations come off. Europe is back to being a regional underweight for most U.S.-based multi-asset books.</w:t>
      </w:r>
    </w:p>
    <w:p>
      <w:pPr>
        <w:spacing w:after="120" w:before="0" w:line="300"/>
        <w:jc w:val="left"/>
      </w:pPr>
      <w:r>
        <w:rPr>
          <w:rFonts w:ascii="Calibri" w:cs="Calibri" w:eastAsia="Calibri" w:hAnsi="Calibri"/>
          <w:b w:val="false"/>
          <w:bCs w:val="false"/>
          <w:i w:val="false"/>
          <w:iCs w:val="false"/>
          <w:color w:val="111111"/>
          <w:sz w:val="22"/>
          <w:szCs w:val="22"/>
        </w:rPr>
        <w:t xml:space="preserve">What to watch: ECB's June meeting and the composition of the next German Coalition's budget. If Berlin leans into defense and energy-security capex, the DAX has a path to decouple from the macro weakness.</w:t>
      </w:r>
    </w:p>
    <w:p>
      <w:pPr>
        <w:pStyle w:val="Heading2"/>
        <w:spacing w:after="100" w:before="240"/>
      </w:pPr>
      <w:r>
        <w:rPr>
          <w:rFonts w:ascii="Calibri" w:cs="Calibri" w:eastAsia="Calibri" w:hAnsi="Calibri"/>
          <w:b/>
          <w:bCs/>
          <w:color w:val="13315C"/>
          <w:sz w:val="26"/>
          <w:szCs w:val="26"/>
        </w:rPr>
        <w:t xml:space="preserve">Bitcoin's quiet recovery</w:t>
      </w:r>
    </w:p>
    <w:p>
      <w:pPr>
        <w:spacing w:after="120" w:before="0" w:line="300"/>
        <w:jc w:val="left"/>
      </w:pPr>
      <w:r>
        <w:rPr>
          <w:rFonts w:ascii="Calibri" w:cs="Calibri" w:eastAsia="Calibri" w:hAnsi="Calibri"/>
          <w:b w:val="false"/>
          <w:bCs w:val="false"/>
          <w:i w:val="false"/>
          <w:iCs w:val="false"/>
          <w:color w:val="111111"/>
          <w:sz w:val="22"/>
          <w:szCs w:val="22"/>
        </w:rPr>
        <w:t xml:space="preserve">Bitcoin traded above $77,800 this morning, up 2.7% on the session and now 5% off Monday's sub-$74,000 flush. The modest rally has less to do with crypto-specific catalysts than with a gold-style safe-haven bid; Ethereum's 1.7% move tracks the pattern. Spot BTC ETF flows turned positive yesterday for the first time in eight sessions, with IBIT and FBTC taking in a combined $410 million net.</w:t>
      </w:r>
    </w:p>
    <w:p>
      <w:pPr>
        <w:spacing w:after="120" w:before="0" w:line="300"/>
        <w:jc w:val="left"/>
      </w:pPr>
      <w:r>
        <w:rPr>
          <w:rFonts w:ascii="Calibri" w:cs="Calibri" w:eastAsia="Calibri" w:hAnsi="Calibri"/>
          <w:b w:val="false"/>
          <w:bCs w:val="false"/>
          <w:i w:val="false"/>
          <w:iCs w:val="false"/>
          <w:color w:val="111111"/>
          <w:sz w:val="22"/>
          <w:szCs w:val="22"/>
        </w:rPr>
        <w:t xml:space="preserve">The tell for crypto over the next month is not Bitcoin, it is Ether vs. Bitcoin. ETH/BTC has held 0.031 four times in six weeks — if it breaks 0.035 on heavy volume, that is the signal that the rotation into alt-beta is back on, and the Solana, Avalanche and L2 complex follows.</w:t>
      </w:r>
    </w:p>
    <w:p>
      <w:pPr>
        <w:spacing w:after="120" w:before="0" w:line="300"/>
        <w:jc w:val="left"/>
      </w:pPr>
      <w:r>
        <w:rPr>
          <w:rFonts w:ascii="Calibri" w:cs="Calibri" w:eastAsia="Calibri" w:hAnsi="Calibri"/>
          <w:b w:val="false"/>
          <w:bCs w:val="false"/>
          <w:i w:val="false"/>
          <w:iCs w:val="false"/>
          <w:color w:val="111111"/>
          <w:sz w:val="22"/>
          <w:szCs w:val="22"/>
        </w:rPr>
        <w:t xml:space="preserve">What to watch: the SEC's deadline on the pending ETH staking-ETF amendments (late May). A green light would be a structural buy catalyst; a denial would send ETH/BTC back to 0.028.</w:t>
      </w:r>
    </w:p>
    <w:p>
      <w:pPr>
        <w:pStyle w:val="Heading1"/>
        <w:pBdr>
          <w:bottom w:val="single" w:color="B8860B" w:sz="12" w:space="2"/>
        </w:pBdr>
        <w:spacing w:after="160" w:before="360"/>
      </w:pPr>
      <w:r>
        <w:rPr>
          <w:rFonts w:ascii="Calibri" w:cs="Calibri" w:eastAsia="Calibri" w:hAnsi="Calibri"/>
          <w:b/>
          <w:bCs/>
          <w:color w:val="0B2545"/>
          <w:sz w:val="30"/>
          <w:szCs w:val="30"/>
        </w:rPr>
        <w:t xml:space="preserve">4 · Macro &amp; Fed Watch</w:t>
      </w:r>
    </w:p>
    <w:p>
      <w:pPr>
        <w:spacing w:after="120" w:before="0" w:line="300"/>
        <w:jc w:val="left"/>
      </w:pPr>
      <w:r>
        <w:rPr>
          <w:rFonts w:ascii="Calibri" w:cs="Calibri" w:eastAsia="Calibri" w:hAnsi="Calibri"/>
          <w:b w:val="false"/>
          <w:bCs w:val="false"/>
          <w:i w:val="false"/>
          <w:iCs w:val="false"/>
          <w:color w:val="111111"/>
          <w:sz w:val="22"/>
          <w:szCs w:val="22"/>
        </w:rPr>
        <w:t xml:space="preserve">Fed funds futures have re-priced sharply over the last ten days. As recently as April 14, the curve implied 1.6 cuts in 2026; it now implies 0.8 cuts, and the front-end probability of a 25 bp HIKE at the April 28-29 FOMC meeting has ticked up to roughly 10%. The pivot is almost entirely an oil story: every $10 rise in Brent adds roughly 0.2 percentage points to headline CPI over a 6-month window, and the Fed's own Summary of Economic Projections in March assumed Brent in the $75-$80 range.</w:t>
      </w:r>
    </w:p>
    <w:p>
      <w:pPr>
        <w:spacing w:after="120" w:before="0" w:line="300"/>
        <w:jc w:val="left"/>
      </w:pPr>
      <w:r>
        <w:rPr>
          <w:rFonts w:ascii="Calibri" w:cs="Calibri" w:eastAsia="Calibri" w:hAnsi="Calibri"/>
          <w:b w:val="false"/>
          <w:bCs w:val="false"/>
          <w:i w:val="false"/>
          <w:iCs w:val="false"/>
          <w:color w:val="111111"/>
          <w:sz w:val="22"/>
          <w:szCs w:val="22"/>
        </w:rPr>
        <w:t xml:space="preserve">Chair Powell's rhetoric has leaned modestly more hawkish into this re-pricing. In last Wednesday's Economic Club of Chicago remarks, he described policy as 'mildly restrictive' and emphasized the FOMC's willingness to hold that stance as long as inflation expectations remain 'well anchored' — language that traders read as a direct response to the 5-year-5-year inflation swap moving above 2.50% for the first time in eighteen months. Crucially, Powell's term as Chair expires in May 2026, and the shortlist for his successor (Warsh, Waller, Hassett) skews somewhat more hawkish on average. That leadership uncertainty is itself a term-premium story: note the 30-year yield at 4.93% while the 10-year trades 4.30%, a curve steepening that is partly a succession-risk premium.</w:t>
      </w:r>
    </w:p>
    <w:p>
      <w:pPr>
        <w:spacing w:after="120" w:before="0" w:line="300"/>
        <w:jc w:val="left"/>
      </w:pPr>
      <w:r>
        <w:rPr>
          <w:rFonts w:ascii="Calibri" w:cs="Calibri" w:eastAsia="Calibri" w:hAnsi="Calibri"/>
          <w:b w:val="false"/>
          <w:bCs w:val="false"/>
          <w:i w:val="false"/>
          <w:iCs w:val="false"/>
          <w:color w:val="111111"/>
          <w:sz w:val="22"/>
          <w:szCs w:val="22"/>
        </w:rPr>
        <w:t xml:space="preserve">Under the surface, the yield curve has fully normalized from 2024's deep inversion; the 10-year-2-year spread is now +49 basis points. That is historically a late-cycle, not early-cycle, configuration — and it warrants skepticism toward the 'Goldilocks' narrative that was popular a month ago. Credit markets are corroborating: investment-grade spreads have widened to 112 bps from 95 in mid-March, and high-yield has moved from 310 to 355. Not a crisis, but a clear tightening of financial conditions that the Fed will need to factor in.</w:t>
      </w:r>
    </w:p>
    <w:p>
      <w:pPr>
        <w:pStyle w:val="Heading1"/>
        <w:pBdr>
          <w:bottom w:val="single" w:color="B8860B" w:sz="12" w:space="2"/>
        </w:pBdr>
        <w:spacing w:after="160" w:before="360"/>
      </w:pPr>
      <w:r>
        <w:rPr>
          <w:rFonts w:ascii="Calibri" w:cs="Calibri" w:eastAsia="Calibri" w:hAnsi="Calibri"/>
          <w:b/>
          <w:bCs/>
          <w:color w:val="0B2545"/>
          <w:sz w:val="30"/>
          <w:szCs w:val="30"/>
        </w:rPr>
        <w:t xml:space="preserve">5 · Economic Calendar —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400"/>
        <w:gridCol w:w="1400"/>
        <w:gridCol w:w="2160"/>
      </w:tblGrid>
      <w:tr>
        <w:trPr>
          <w:tblHeader/>
        </w:trPr>
        <w:tc>
          <w:tcPr>
            <w:tcW w:type="dxa" w:w="1200"/>
            <w:tcBorders>
              <w:top w:val="single" w:color="CCCCCC" w:sz="4"/>
              <w:left w:val="single" w:color="CCCCCC" w:sz="4"/>
              <w:bottom w:val="single" w:color="CCCCCC" w:sz="4"/>
              <w:right w:val="single" w:color="CCCCCC" w:sz="4"/>
            </w:tcBorders>
            <w:shd w:fill="0B2545"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Time (ET)</w:t>
            </w:r>
          </w:p>
        </w:tc>
        <w:tc>
          <w:tcPr>
            <w:tcW w:type="dxa" w:w="3200"/>
            <w:tcBorders>
              <w:top w:val="single" w:color="CCCCCC" w:sz="4"/>
              <w:left w:val="single" w:color="CCCCCC" w:sz="4"/>
              <w:bottom w:val="single" w:color="CCCCCC" w:sz="4"/>
              <w:right w:val="single" w:color="CCCCCC" w:sz="4"/>
            </w:tcBorders>
            <w:shd w:fill="0B2545"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Release</w:t>
            </w:r>
          </w:p>
        </w:tc>
        <w:tc>
          <w:tcPr>
            <w:tcW w:type="dxa" w:w="1400"/>
            <w:tcBorders>
              <w:top w:val="single" w:color="CCCCCC" w:sz="4"/>
              <w:left w:val="single" w:color="CCCCCC" w:sz="4"/>
              <w:bottom w:val="single" w:color="CCCCCC" w:sz="4"/>
              <w:right w:val="single" w:color="CCCCCC" w:sz="4"/>
            </w:tcBorders>
            <w:shd w:fill="0B2545" w:color="auto"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Prior</w:t>
            </w:r>
          </w:p>
        </w:tc>
        <w:tc>
          <w:tcPr>
            <w:tcW w:type="dxa" w:w="1400"/>
            <w:tcBorders>
              <w:top w:val="single" w:color="CCCCCC" w:sz="4"/>
              <w:left w:val="single" w:color="CCCCCC" w:sz="4"/>
              <w:bottom w:val="single" w:color="CCCCCC" w:sz="4"/>
              <w:right w:val="single" w:color="CCCCCC" w:sz="4"/>
            </w:tcBorders>
            <w:shd w:fill="0B2545" w:color="auto"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Consensus</w:t>
            </w:r>
          </w:p>
        </w:tc>
        <w:tc>
          <w:tcPr>
            <w:tcW w:type="dxa" w:w="2160"/>
            <w:tcBorders>
              <w:top w:val="single" w:color="CCCCCC" w:sz="4"/>
              <w:left w:val="single" w:color="CCCCCC" w:sz="4"/>
              <w:bottom w:val="single" w:color="CCCCCC" w:sz="4"/>
              <w:right w:val="single" w:color="CCCCCC" w:sz="4"/>
            </w:tcBorders>
            <w:shd w:fill="0B2545"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Why it matters</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8:30 AM</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Initial Jobless Claims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val="false"/>
                <w:bCs w:val="false"/>
                <w:color w:val="111111"/>
                <w:sz w:val="20"/>
                <w:szCs w:val="20"/>
              </w:rPr>
              <w:t xml:space="preserve">211K</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val="false"/>
                <w:bCs w:val="false"/>
                <w:color w:val="111111"/>
                <w:sz w:val="20"/>
                <w:szCs w:val="20"/>
              </w:rPr>
              <w:t xml:space="preserve">212K</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Watching for any crack in the labor market</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8:30 AM</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Continuing Claims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val="false"/>
                <w:bCs w:val="false"/>
                <w:color w:val="111111"/>
                <w:sz w:val="20"/>
                <w:szCs w:val="20"/>
              </w:rPr>
              <w:t xml:space="preserve">1,818K</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val="false"/>
                <w:bCs w:val="false"/>
                <w:color w:val="111111"/>
                <w:sz w:val="20"/>
                <w:szCs w:val="20"/>
              </w:rPr>
              <w:t xml:space="preserve">1,825K</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Gauge of re-employment difficulty</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8:30 AM</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Chicago Fed Nat'l Activity Idx</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val="false"/>
                <w:bCs w:val="false"/>
                <w:color w:val="111111"/>
                <w:sz w:val="20"/>
                <w:szCs w:val="20"/>
              </w:rPr>
              <w:t xml:space="preserve">-0.11</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val="false"/>
                <w:bCs w:val="false"/>
                <w:color w:val="111111"/>
                <w:sz w:val="20"/>
                <w:szCs w:val="20"/>
              </w:rPr>
              <w:t xml:space="preserve">-0.05</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Broad macro pulse — negative = below trend</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9:45 AM</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S&amp;P Flash Mfg PMI (Apr)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val="false"/>
                <w:bCs w:val="false"/>
                <w:color w:val="111111"/>
                <w:sz w:val="20"/>
                <w:szCs w:val="20"/>
              </w:rPr>
              <w:t xml:space="preserve">51.3</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val="false"/>
                <w:bCs w:val="false"/>
                <w:color w:val="111111"/>
                <w:sz w:val="20"/>
                <w:szCs w:val="20"/>
              </w:rPr>
              <w:t xml:space="preserve">51.0</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Will tariff/oil drag show in new orders?</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9:45 AM</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S&amp;P Flash Services PMI (Apr)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val="false"/>
                <w:bCs w:val="false"/>
                <w:color w:val="111111"/>
                <w:sz w:val="20"/>
                <w:szCs w:val="20"/>
              </w:rPr>
              <w:t xml:space="preserve">54.2</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val="false"/>
                <w:bCs w:val="false"/>
                <w:color w:val="111111"/>
                <w:sz w:val="20"/>
                <w:szCs w:val="20"/>
              </w:rPr>
              <w:t xml:space="preserve">53.6</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Services carrying the expansion</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10:00 AM</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New Home Sales (Mar)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val="false"/>
                <w:bCs w:val="false"/>
                <w:color w:val="111111"/>
                <w:sz w:val="20"/>
                <w:szCs w:val="20"/>
              </w:rPr>
              <w:t xml:space="preserve">676K</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val="false"/>
                <w:bCs w:val="false"/>
                <w:color w:val="111111"/>
                <w:sz w:val="20"/>
                <w:szCs w:val="20"/>
              </w:rPr>
              <w:t xml:space="preserve">685K</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Rate-sensitive housing read</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10:00 AM</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KC Fed Mfg Survey</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val="false"/>
                <w:bCs w:val="false"/>
                <w:color w:val="111111"/>
                <w:sz w:val="20"/>
                <w:szCs w:val="20"/>
              </w:rPr>
              <w:t xml:space="preserve">+11</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val="false"/>
                <w:bCs w:val="false"/>
                <w:color w:val="111111"/>
                <w:sz w:val="20"/>
                <w:szCs w:val="20"/>
              </w:rPr>
              <w:t xml:space="preserve">+6</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Regional Fed check on factory trend</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10:30 AM</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EIA Natural Gas Storage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val="false"/>
                <w:bCs w:val="false"/>
                <w:color w:val="111111"/>
                <w:sz w:val="20"/>
                <w:szCs w:val="20"/>
              </w:rPr>
              <w:t xml:space="preserve">+59 Bcf</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val="false"/>
                <w:bCs w:val="false"/>
                <w:color w:val="111111"/>
                <w:sz w:val="20"/>
                <w:szCs w:val="20"/>
              </w:rPr>
              <w:t xml:space="preserve">+48 Bcf</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Key for NG futures direction</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1:00 PM</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Treasury 7-Yr Note Auction</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val="false"/>
                <w:bCs w:val="false"/>
                <w:color w:val="111111"/>
                <w:sz w:val="20"/>
                <w:szCs w:val="20"/>
              </w:rPr>
              <w:t xml:space="preserv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val="false"/>
                <w:bCs w:val="false"/>
                <w:color w:val="111111"/>
                <w:sz w:val="20"/>
                <w:szCs w:val="20"/>
              </w:rPr>
              <w:t xml:space="preserve">$44B</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Duration appetite at these yields</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4:30 PM</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Fed Balance Sheet / H.4.1</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val="false"/>
                <w:bCs w:val="false"/>
                <w:color w:val="111111"/>
                <w:sz w:val="20"/>
                <w:szCs w:val="20"/>
              </w:rPr>
              <w:t xml:space="preserv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val="false"/>
                <w:bCs w:val="false"/>
                <w:color w:val="111111"/>
                <w:sz w:val="20"/>
                <w:szCs w:val="20"/>
              </w:rPr>
              <w:t xml:space="preserve">—</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Watch QT pace vs. reserves level</w:t>
            </w:r>
          </w:p>
        </w:tc>
      </w:tr>
    </w:tbl>
    <w:p>
      <w:r>
        <w:br w:type="page"/>
      </w:r>
    </w:p>
    <w:p>
      <w:pPr>
        <w:pStyle w:val="Heading1"/>
        <w:pBdr>
          <w:bottom w:val="single" w:color="B8860B" w:sz="12" w:space="2"/>
        </w:pBdr>
        <w:spacing w:after="160" w:before="360"/>
      </w:pPr>
      <w:r>
        <w:rPr>
          <w:rFonts w:ascii="Calibri" w:cs="Calibri" w:eastAsia="Calibri" w:hAnsi="Calibri"/>
          <w:b/>
          <w:bCs/>
          <w:color w:val="0B2545"/>
          <w:sz w:val="30"/>
          <w:szCs w:val="30"/>
        </w:rPr>
        <w:t xml:space="preserve">6 · Earnings Watch</w:t>
      </w:r>
    </w:p>
    <w:p>
      <w:pPr>
        <w:spacing w:after="120" w:before="0" w:line="300"/>
        <w:jc w:val="left"/>
      </w:pPr>
      <w:r>
        <w:rPr>
          <w:rFonts w:ascii="Calibri" w:cs="Calibri" w:eastAsia="Calibri" w:hAnsi="Calibri"/>
          <w:b w:val="false"/>
          <w:bCs w:val="false"/>
          <w:i w:val="false"/>
          <w:iCs w:val="false"/>
          <w:color w:val="111111"/>
          <w:sz w:val="22"/>
          <w:szCs w:val="22"/>
        </w:rPr>
        <w:t xml:space="preserve">Pre-market reporters today skew to old-economy beta. Dow Inc. (DOW) has already beaten, with Q1 net sales of $9.79B versus $9.74B consensus and a non-GAAP loss of $(0.14) versus the $(0.27) expected; management pointed to improved packaging &amp; specialty plastics pricing. American Airlines (AAL) beat on EPS but cut full-year guidance on fuel — watch the entire airline complex trade in sympathy. Comcast (CMCSA) beat on revenue and EPS with Peacock paid-sub net adds ahead of expectations; Texas Instruments (TXN) delivered a rare upside surprise after six quarters of inventory-normalization pain, and analog-sector read-throughs to ON, ADI and MCHP are constructive. United Rentals (URI) beat and raised — a positive tell for non-residential construction activity. Union Pacific (UNP), Philip Morris (PM), Valero (VLO), Nokia (NOK), and Freeport-McMoRan (FCX) also report pre-market; FCX is the single most leveraged read on copper demand.</w:t>
      </w:r>
    </w:p>
    <w:p>
      <w:pPr>
        <w:spacing w:after="120" w:before="0" w:line="300"/>
        <w:jc w:val="left"/>
      </w:pPr>
      <w:r>
        <w:rPr>
          <w:rFonts w:ascii="Calibri" w:cs="Calibri" w:eastAsia="Calibri" w:hAnsi="Calibri"/>
          <w:b w:val="false"/>
          <w:bCs w:val="false"/>
          <w:i w:val="false"/>
          <w:iCs w:val="false"/>
          <w:color w:val="111111"/>
          <w:sz w:val="22"/>
          <w:szCs w:val="22"/>
        </w:rPr>
        <w:t xml:space="preserve">After-close, the focus shifts squarely to Alphabet (GOOGL), Intel (INTC), Eastman Chemical (EMN) and T-Mobile (TMUS). Alphabet consensus: Q1 revenue $89.1B, EPS $2.16; the key number is Google Cloud growth (consensus 28% y/y) and an update on TPU v6 ramp and Waymo ride volumes. Options are implied a 5.8% move. Intel consensus: Q1 revenue $12.6B, EPS -$0.05; the story is whether new CEO Lip-Bu Tan's first guide repudiates or doubles down on Foundry capex. Implied move: 8.2%. T-Mobile consensus: $21.2B revenue, EPS $2.62 — a bellwether for postpaid phone net adds. Options imply 3.4%.</w:t>
      </w:r>
    </w:p>
    <w:p>
      <w:pPr>
        <w:spacing w:after="120" w:before="0" w:line="300"/>
        <w:jc w:val="left"/>
      </w:pPr>
      <w:r>
        <w:rPr>
          <w:rFonts w:ascii="Calibri" w:cs="Calibri" w:eastAsia="Calibri" w:hAnsi="Calibri"/>
          <w:b w:val="false"/>
          <w:bCs w:val="false"/>
          <w:i w:val="false"/>
          <w:iCs w:val="false"/>
          <w:color w:val="111111"/>
          <w:sz w:val="22"/>
          <w:szCs w:val="22"/>
        </w:rPr>
        <w:t xml:space="preserve">Context for the full season: with 33% of the S&amp;P 500 reported, 79% have beaten on EPS and 66% on revenue — both slightly above the 5-year averages. But the average positive earnings surprise is running just 4.5%, below the 8.3% five-year average. Translation: companies are beating, but by narrower margins and with weaker forward guidance. That is the textbook setup for multiple compression in the back half of 2026 if earnings estimates stop being revised upward.</w:t>
      </w:r>
    </w:p>
    <w:p>
      <w:pPr>
        <w:pStyle w:val="Heading1"/>
        <w:pBdr>
          <w:bottom w:val="single" w:color="B8860B" w:sz="12" w:space="2"/>
        </w:pBdr>
        <w:spacing w:after="160" w:before="360"/>
      </w:pPr>
      <w:r>
        <w:rPr>
          <w:rFonts w:ascii="Calibri" w:cs="Calibri" w:eastAsia="Calibri" w:hAnsi="Calibri"/>
          <w:b/>
          <w:bCs/>
          <w:color w:val="0B2545"/>
          <w:sz w:val="30"/>
          <w:szCs w:val="30"/>
        </w:rPr>
        <w:t xml:space="preserve">7 · Sector Spotlight</w:t>
      </w:r>
    </w:p>
    <w:p>
      <w:pPr>
        <w:spacing w:after="120" w:before="0" w:line="300"/>
        <w:jc w:val="left"/>
      </w:pPr>
      <w:r>
        <w:rPr>
          <w:rFonts w:ascii="Calibri" w:cs="Calibri" w:eastAsia="Calibri" w:hAnsi="Calibri"/>
          <w:b w:val="false"/>
          <w:bCs w:val="false"/>
          <w:i w:val="false"/>
          <w:iCs w:val="false"/>
          <w:color w:val="111111"/>
          <w:sz w:val="22"/>
          <w:szCs w:val="22"/>
        </w:rPr>
        <w:t xml:space="preserve">ENERGY &amp; POWER INFRASTRUCTURE is the clear leader this week, and the rotation has legs. Brent at $103 plus the accelerating 'data-center power' capex cycle are combining to re-rate a group the market left for dead eighteen months ago. S&amp;P 500 Energy is up 4.1% week-to-date against the index's +0.3%; within the sector, refiners (VLO, MPC, PSX) are leading on crack spreads, while integrated majors (XOM, CVX) are outperforming their European peers thanks to lower Hormuz exposure. Layer in the utilities re-rating — CEG, VST, and NRG are up 9-14% in April on nuclear PPAs to hyperscalers — and the 'real-asset' trade is the cleanest alpha in the tape.</w:t>
      </w:r>
    </w:p>
    <w:p>
      <w:pPr>
        <w:spacing w:after="120" w:before="0" w:line="300"/>
        <w:jc w:val="left"/>
      </w:pPr>
      <w:r>
        <w:rPr>
          <w:rFonts w:ascii="Calibri" w:cs="Calibri" w:eastAsia="Calibri" w:hAnsi="Calibri"/>
          <w:b w:val="false"/>
          <w:bCs w:val="false"/>
          <w:i w:val="false"/>
          <w:iCs w:val="false"/>
          <w:color w:val="111111"/>
          <w:sz w:val="22"/>
          <w:szCs w:val="22"/>
        </w:rPr>
        <w:t xml:space="preserve">The contra-play is LARGE-CAP GROWTH SOFTWARE, where yesterday's IBM/NOW drawdowns mark a second warning shot after the February Salesforce guide-down. The IGV ETF is down 3.2% this week, underperforming Nasdaq by 240 bps. Watch MDB, SNOW, and DDOG into earnings — if consumption-based software guides lower on 'AI optimization,' the sector's 28x forward EV/Sales multiple will compress quickly.</w:t>
      </w:r>
    </w:p>
    <w:p>
      <w:pPr>
        <w:pStyle w:val="Heading1"/>
        <w:pBdr>
          <w:bottom w:val="single" w:color="B8860B" w:sz="12" w:space="2"/>
        </w:pBdr>
        <w:spacing w:after="160" w:before="360"/>
      </w:pPr>
      <w:r>
        <w:rPr>
          <w:rFonts w:ascii="Calibri" w:cs="Calibri" w:eastAsia="Calibri" w:hAnsi="Calibri"/>
          <w:b/>
          <w:bCs/>
          <w:color w:val="0B2545"/>
          <w:sz w:val="30"/>
          <w:szCs w:val="30"/>
        </w:rPr>
        <w:t xml:space="preserve">8 · Analyst Calls &amp; Upgrades / Downgrades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1400"/>
        <w:gridCol w:w="2560"/>
      </w:tblGrid>
      <w:tr>
        <w:trPr>
          <w:tblHeader/>
        </w:trPr>
        <w:tc>
          <w:tcPr>
            <w:tcW w:type="dxa" w:w="2000"/>
            <w:tcBorders>
              <w:top w:val="single" w:color="CCCCCC" w:sz="4"/>
              <w:left w:val="single" w:color="CCCCCC" w:sz="4"/>
              <w:bottom w:val="single" w:color="CCCCCC" w:sz="4"/>
              <w:right w:val="single" w:color="CCCCCC" w:sz="4"/>
            </w:tcBorders>
            <w:shd w:fill="0B2545"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Firm</w:t>
            </w:r>
          </w:p>
        </w:tc>
        <w:tc>
          <w:tcPr>
            <w:tcW w:type="dxa" w:w="1600"/>
            <w:tcBorders>
              <w:top w:val="single" w:color="CCCCCC" w:sz="4"/>
              <w:left w:val="single" w:color="CCCCCC" w:sz="4"/>
              <w:bottom w:val="single" w:color="CCCCCC" w:sz="4"/>
              <w:right w:val="single" w:color="CCCCCC" w:sz="4"/>
            </w:tcBorders>
            <w:shd w:fill="0B2545"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Stock</w:t>
            </w:r>
          </w:p>
        </w:tc>
        <w:tc>
          <w:tcPr>
            <w:tcW w:type="dxa" w:w="1800"/>
            <w:tcBorders>
              <w:top w:val="single" w:color="CCCCCC" w:sz="4"/>
              <w:left w:val="single" w:color="CCCCCC" w:sz="4"/>
              <w:bottom w:val="single" w:color="CCCCCC" w:sz="4"/>
              <w:right w:val="single" w:color="CCCCCC" w:sz="4"/>
            </w:tcBorders>
            <w:shd w:fill="0B2545"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Action</w:t>
            </w:r>
          </w:p>
        </w:tc>
        <w:tc>
          <w:tcPr>
            <w:tcW w:type="dxa" w:w="1400"/>
            <w:tcBorders>
              <w:top w:val="single" w:color="CCCCCC" w:sz="4"/>
              <w:left w:val="single" w:color="CCCCCC" w:sz="4"/>
              <w:bottom w:val="single" w:color="CCCCCC" w:sz="4"/>
              <w:right w:val="single" w:color="CCCCCC" w:sz="4"/>
            </w:tcBorders>
            <w:shd w:fill="0B2545" w:color="auto"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Target</w:t>
            </w:r>
          </w:p>
        </w:tc>
        <w:tc>
          <w:tcPr>
            <w:tcW w:type="dxa" w:w="2560"/>
            <w:tcBorders>
              <w:top w:val="single" w:color="CCCCCC" w:sz="4"/>
              <w:left w:val="single" w:color="CCCCCC" w:sz="4"/>
              <w:bottom w:val="single" w:color="CCCCCC" w:sz="4"/>
              <w:right w:val="single" w:color="CCCCCC" w:sz="4"/>
            </w:tcBorders>
            <w:shd w:fill="0B2545"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Rationale</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Wells Fargo</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bCs/>
                <w:color w:val="111111"/>
                <w:sz w:val="20"/>
                <w:szCs w:val="20"/>
              </w:rPr>
              <w:t xml:space="preserve">ABNB</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Upgrade to OW</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val="false"/>
                <w:bCs w:val="false"/>
                <w:color w:val="111111"/>
                <w:sz w:val="20"/>
                <w:szCs w:val="20"/>
              </w:rPr>
              <w:t xml:space="preserve">$178</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Margin inflection, ADR/RevPAR stabilizing</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Wells Fargo</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bCs/>
                <w:color w:val="111111"/>
                <w:sz w:val="20"/>
                <w:szCs w:val="20"/>
              </w:rPr>
              <w:t xml:space="preserve">BIIB</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Upgrade to OW</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val="false"/>
                <w:bCs w:val="false"/>
                <w:color w:val="111111"/>
                <w:sz w:val="20"/>
                <w:szCs w:val="20"/>
              </w:rPr>
              <w:t xml:space="preserve">$250</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Leqembi uptake, cost discipline</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Barclays</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bCs/>
                <w:color w:val="111111"/>
                <w:sz w:val="20"/>
                <w:szCs w:val="20"/>
              </w:rPr>
              <w:t xml:space="preserve">QRVO</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Upgrade to OW</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val="false"/>
                <w:bCs w:val="false"/>
                <w:color w:val="111111"/>
                <w:sz w:val="20"/>
                <w:szCs w:val="20"/>
              </w:rPr>
              <w:t xml:space="preserve">$100</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Handset demand stabilizing, defense mix</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Truist</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bCs/>
                <w:color w:val="111111"/>
                <w:sz w:val="20"/>
                <w:szCs w:val="20"/>
              </w:rPr>
              <w:t xml:space="preserve">SBAC</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Upgrade to Buy</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val="false"/>
                <w:bCs w:val="false"/>
                <w:color w:val="111111"/>
                <w:sz w:val="20"/>
                <w:szCs w:val="20"/>
              </w:rPr>
              <w:t xml:space="preserve">$247</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Tower REIT leverage to data traffic</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Citigroup</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bCs/>
                <w:color w:val="111111"/>
                <w:sz w:val="20"/>
                <w:szCs w:val="20"/>
              </w:rPr>
              <w:t xml:space="preserve">LION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Downgrade to Neutral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val="false"/>
                <w:bCs w:val="false"/>
                <w:color w:val="111111"/>
                <w:sz w:val="20"/>
                <w:szCs w:val="20"/>
              </w:rPr>
              <w:t xml:space="preserve">$12.60</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Valuation stretched after rally</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Wells Fargo</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bCs/>
                <w:color w:val="111111"/>
                <w:sz w:val="20"/>
                <w:szCs w:val="20"/>
              </w:rPr>
              <w:t xml:space="preserve">CNTA</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Downgrade to EW</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val="false"/>
                <w:bCs w:val="false"/>
                <w:color w:val="111111"/>
                <w:sz w:val="20"/>
                <w:szCs w:val="20"/>
              </w:rPr>
              <w:t xml:space="preserve">$42</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Risk/reward less compelling</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YR Research</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bCs/>
                <w:color w:val="111111"/>
                <w:sz w:val="20"/>
                <w:szCs w:val="20"/>
              </w:rPr>
              <w:t xml:space="preserve">AAPL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Upgrade to Hold</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val="false"/>
                <w:bCs w:val="false"/>
                <w:color w:val="111111"/>
                <w:sz w:val="20"/>
                <w:szCs w:val="20"/>
              </w:rPr>
              <w:t xml:space="preserve">—</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Clarity on Cook succession</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Kenio Fontes</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bCs/>
                <w:color w:val="111111"/>
                <w:sz w:val="20"/>
                <w:szCs w:val="20"/>
              </w:rPr>
              <w:t xml:space="preserve">SPOT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Upgrade to Buy</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val="false"/>
                <w:bCs w:val="false"/>
                <w:color w:val="111111"/>
                <w:sz w:val="20"/>
                <w:szCs w:val="20"/>
              </w:rPr>
              <w:t xml:space="preserve">—</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Operating leverage materializing</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BTIG</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bCs/>
                <w:color w:val="111111"/>
                <w:sz w:val="20"/>
                <w:szCs w:val="20"/>
              </w:rPr>
              <w:t xml:space="preserve">BRSP</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Upgrade to Buy</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right"/>
            </w:pPr>
            <w:r>
              <w:rPr>
                <w:rFonts w:ascii="Calibri" w:cs="Calibri" w:eastAsia="Calibri" w:hAnsi="Calibri"/>
                <w:b w:val="false"/>
                <w:bCs w:val="false"/>
                <w:color w:val="111111"/>
                <w:sz w:val="20"/>
                <w:szCs w:val="20"/>
              </w:rPr>
              <w:t xml:space="preserve">$7.00</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CRE book cleaner, dividend sustainable</w:t>
            </w:r>
          </w:p>
        </w:tc>
      </w:tr>
    </w:tbl>
    <w:p>
      <w:r>
        <w:br w:type="page"/>
      </w:r>
    </w:p>
    <w:p>
      <w:pPr>
        <w:pStyle w:val="Heading1"/>
        <w:pBdr>
          <w:bottom w:val="single" w:color="B8860B" w:sz="12" w:space="2"/>
        </w:pBdr>
        <w:spacing w:after="160" w:before="360"/>
      </w:pPr>
      <w:r>
        <w:rPr>
          <w:rFonts w:ascii="Calibri" w:cs="Calibri" w:eastAsia="Calibri" w:hAnsi="Calibri"/>
          <w:b/>
          <w:bCs/>
          <w:color w:val="0B2545"/>
          <w:sz w:val="30"/>
          <w:szCs w:val="30"/>
        </w:rPr>
        <w:t xml:space="preserve">9 · Stocks to Watch</w:t>
      </w:r>
    </w:p>
    <w:p>
      <w:pPr>
        <w:pStyle w:val="Heading2"/>
        <w:spacing w:after="100" w:before="240"/>
      </w:pPr>
      <w:r>
        <w:rPr>
          <w:rFonts w:ascii="Calibri" w:cs="Calibri" w:eastAsia="Calibri" w:hAnsi="Calibri"/>
          <w:b/>
          <w:bCs/>
          <w:color w:val="13315C"/>
          <w:sz w:val="26"/>
          <w:szCs w:val="26"/>
        </w:rPr>
        <w:t xml:space="preserve">Freeport-McMoRan (FCX) — pre-market</w:t>
      </w:r>
    </w:p>
    <w:p>
      <w:pPr>
        <w:spacing w:after="120" w:before="0" w:line="300"/>
        <w:jc w:val="left"/>
      </w:pPr>
      <w:r>
        <w:rPr>
          <w:rFonts w:ascii="Calibri" w:cs="Calibri" w:eastAsia="Calibri" w:hAnsi="Calibri"/>
          <w:b w:val="false"/>
          <w:bCs w:val="false"/>
          <w:i w:val="false"/>
          <w:iCs w:val="false"/>
          <w:color w:val="111111"/>
          <w:sz w:val="22"/>
          <w:szCs w:val="22"/>
        </w:rPr>
        <w:t xml:space="preserve">FCX is the global market's most direct public-equity read on copper demand, and it reports Q1 pre-market. Consensus EPS $0.47 on $6.4B revenue. The critical data point is not the headline — it's Grasberg mill throughput and Indonesian export permit commentary. Shares have consolidated between $44 and $49 for six weeks; a break above $49.50 on volume targets $55 resistance from late 2024. Copper at $10,850/ton is still 12% off its February high of $12,300, so the setup is asymmetric to the upside if management sounds constructive.</w:t>
      </w:r>
    </w:p>
    <w:p>
      <w:pPr>
        <w:pStyle w:val="Heading2"/>
        <w:spacing w:after="100" w:before="240"/>
      </w:pPr>
      <w:r>
        <w:rPr>
          <w:rFonts w:ascii="Calibri" w:cs="Calibri" w:eastAsia="Calibri" w:hAnsi="Calibri"/>
          <w:b/>
          <w:bCs/>
          <w:color w:val="13315C"/>
          <w:sz w:val="26"/>
          <w:szCs w:val="26"/>
        </w:rPr>
        <w:t xml:space="preserve">Alphabet (GOOGL) — after close</w:t>
      </w:r>
    </w:p>
    <w:p>
      <w:pPr>
        <w:spacing w:after="120" w:before="0" w:line="300"/>
        <w:jc w:val="left"/>
      </w:pPr>
      <w:r>
        <w:rPr>
          <w:rFonts w:ascii="Calibri" w:cs="Calibri" w:eastAsia="Calibri" w:hAnsi="Calibri"/>
          <w:b w:val="false"/>
          <w:bCs w:val="false"/>
          <w:i w:val="false"/>
          <w:iCs w:val="false"/>
          <w:color w:val="111111"/>
          <w:sz w:val="22"/>
          <w:szCs w:val="22"/>
        </w:rPr>
        <w:t xml:space="preserve">The single most important print of the week. The debate is not whether Cloud grows 28% — it's whether management can convincingly defend the $75B+ 2026 AI capex spend in a quarter where IBM just got punished for AI disruption fears. Watch specifically for TPU v6 customer-adoption commentary and any update on Waymo's weekly ride volume (currently ~300K, targeting 1M by year-end). Technical setup: the stock is coiling between $175 and $182 on contracting volume. Implied move: 5.8%; that is a 1.5x multiple of realized, suggesting options are fairly priced relative to what the print can actually deliver.</w:t>
      </w:r>
    </w:p>
    <w:p>
      <w:pPr>
        <w:pStyle w:val="Heading2"/>
        <w:spacing w:after="100" w:before="240"/>
      </w:pPr>
      <w:r>
        <w:rPr>
          <w:rFonts w:ascii="Calibri" w:cs="Calibri" w:eastAsia="Calibri" w:hAnsi="Calibri"/>
          <w:b/>
          <w:bCs/>
          <w:color w:val="13315C"/>
          <w:sz w:val="26"/>
          <w:szCs w:val="26"/>
        </w:rPr>
        <w:t xml:space="preserve">Exxon Mobil (XOM) — watch into tomorrow's print</w:t>
      </w:r>
    </w:p>
    <w:p>
      <w:pPr>
        <w:spacing w:after="120" w:before="0" w:line="300"/>
        <w:jc w:val="left"/>
      </w:pPr>
      <w:r>
        <w:rPr>
          <w:rFonts w:ascii="Calibri" w:cs="Calibri" w:eastAsia="Calibri" w:hAnsi="Calibri"/>
          <w:b w:val="false"/>
          <w:bCs w:val="false"/>
          <w:i w:val="false"/>
          <w:iCs w:val="false"/>
          <w:color w:val="111111"/>
          <w:sz w:val="22"/>
          <w:szCs w:val="22"/>
        </w:rPr>
        <w:t xml:space="preserve">XOM reports Friday pre-market. With Brent at $103 and refining spreads at cycle-highs, this is the quarter where the energy complex gets to validate its re-rating. Consensus EPS $2.14 on $90.2B revenue. More important than the number is the capital-returns commentary: the Street wants to see the buyback accelerated above the current $20B annual pace. Stock has broken out of a two-year range above $118 and is working on the next leg to $132; a hot EPS number that gets sold is a real warning sign — a soft number that rallies is the opposite.</w:t>
      </w:r>
    </w:p>
    <w:p>
      <w:pPr>
        <w:pStyle w:val="Heading2"/>
        <w:spacing w:after="100" w:before="240"/>
      </w:pPr>
      <w:r>
        <w:rPr>
          <w:rFonts w:ascii="Calibri" w:cs="Calibri" w:eastAsia="Calibri" w:hAnsi="Calibri"/>
          <w:b/>
          <w:bCs/>
          <w:color w:val="13315C"/>
          <w:sz w:val="26"/>
          <w:szCs w:val="26"/>
        </w:rPr>
        <w:t xml:space="preserve">Intel (INTC) — after close</w:t>
      </w:r>
    </w:p>
    <w:p>
      <w:pPr>
        <w:spacing w:after="120" w:before="0" w:line="300"/>
        <w:jc w:val="left"/>
      </w:pPr>
      <w:r>
        <w:rPr>
          <w:rFonts w:ascii="Calibri" w:cs="Calibri" w:eastAsia="Calibri" w:hAnsi="Calibri"/>
          <w:b w:val="false"/>
          <w:bCs w:val="false"/>
          <w:i w:val="false"/>
          <w:iCs w:val="false"/>
          <w:color w:val="111111"/>
          <w:sz w:val="22"/>
          <w:szCs w:val="22"/>
        </w:rPr>
        <w:t xml:space="preserve">First full quarter under Lip-Bu Tan. The stock's 22% rally off February lows has priced in a credible pivot; the question is whether Tan uses his maiden call to reset expectations. Consensus: $12.6B revenue, -$0.05 EPS. The options market is pricing an 8.2% move, the largest of any megacap tonight. Watch specifically for commentary on the 18A ramp schedule and whether Foundry will secure a second large external customer (post-Microsoft). Shares are $24.80 — a hot print could run to $28.50 (the 200-day); a guide-down puts $21.50 support in play quickly.</w:t>
      </w:r>
    </w:p>
    <w:p>
      <w:pPr>
        <w:pStyle w:val="Heading1"/>
        <w:pBdr>
          <w:bottom w:val="single" w:color="B8860B" w:sz="12" w:space="2"/>
        </w:pBdr>
        <w:spacing w:after="160" w:before="360"/>
      </w:pPr>
      <w:r>
        <w:rPr>
          <w:rFonts w:ascii="Calibri" w:cs="Calibri" w:eastAsia="Calibri" w:hAnsi="Calibri"/>
          <w:b/>
          <w:bCs/>
          <w:color w:val="0B2545"/>
          <w:sz w:val="30"/>
          <w:szCs w:val="30"/>
        </w:rPr>
        <w:t xml:space="preserve">10 · Global Macro Snapshot</w:t>
      </w:r>
    </w:p>
    <w:p>
      <w:pPr>
        <w:spacing w:after="120" w:before="0" w:line="300"/>
        <w:jc w:val="left"/>
      </w:pPr>
      <w:r>
        <w:rPr>
          <w:rFonts w:ascii="Calibri" w:cs="Calibri" w:eastAsia="Calibri" w:hAnsi="Calibri"/>
          <w:b w:val="false"/>
          <w:bCs w:val="false"/>
          <w:i w:val="false"/>
          <w:iCs w:val="false"/>
          <w:color w:val="111111"/>
          <w:sz w:val="22"/>
          <w:szCs w:val="22"/>
        </w:rPr>
        <w:t xml:space="preserve">CHINA: April's flash manufacturing PMI is expected Monday and consensus calls for 50.3, a hair above contraction. The more telling data point is property — new-home prices fell for a 15th straight month in March, and the PBOC's 1Y LPR cut to 3.10% has produced almost no visible transmission to mortgage demand. Expect a targeted RRR cut in May to blunt the Hormuz-driven terms-of-trade hit. EUROPE: Germany's halved growth forecast is the week's macro centerpiece. The ECB is now expected to deliver two more cuts by September, down from three before the oil move; Bund-Treasury spreads will widen further if this plays out. EMERGING MARKETS: stress is concentrating in oil-importing EM — Turkey (inflation re-accelerating), South Africa (ZAR down 3% week-to-date) and the Philippines (reserves drawing). Oil exporters — Brazil, Saudi, Kazakhstan, Nigeria — are outperforming. JAPAN: the Nikkei's pullback from its record is a profit-take, not a regime change; the BOJ's reluctance to raise while U.S. tightening is back on the table leaves the yen as a pressure valve (USD/JPY 154.85, testing 155.00 resistance). COMMODITY CURRENCIES: CAD and AUD are both bid on the energy and copper-complex moves respectively.</w:t>
      </w:r>
    </w:p>
    <w:p>
      <w:pPr>
        <w:pStyle w:val="Heading1"/>
        <w:pBdr>
          <w:bottom w:val="single" w:color="B8860B" w:sz="12" w:space="2"/>
        </w:pBdr>
        <w:spacing w:after="160" w:before="360"/>
      </w:pPr>
      <w:r>
        <w:rPr>
          <w:rFonts w:ascii="Calibri" w:cs="Calibri" w:eastAsia="Calibri" w:hAnsi="Calibri"/>
          <w:b/>
          <w:bCs/>
          <w:color w:val="0B2545"/>
          <w:sz w:val="30"/>
          <w:szCs w:val="30"/>
        </w:rPr>
        <w:t xml:space="preserve">11 · Week Ahead Preview</w:t>
      </w:r>
    </w:p>
    <w:p>
      <w:pPr>
        <w:spacing w:after="120" w:before="0" w:line="300"/>
        <w:jc w:val="left"/>
      </w:pPr>
      <w:r>
        <w:rPr>
          <w:rFonts w:ascii="Calibri" w:cs="Calibri" w:eastAsia="Calibri" w:hAnsi="Calibri"/>
          <w:b w:val="false"/>
          <w:bCs w:val="false"/>
          <w:i w:val="false"/>
          <w:iCs w:val="false"/>
          <w:color w:val="111111"/>
          <w:sz w:val="22"/>
          <w:szCs w:val="22"/>
        </w:rPr>
        <w:t xml:space="preserve">FRIDAY, APR 24: Q1 Advance GDP is the data highlight — consensus 1.8% annualized, down from 2.4% in Q4. Personal consumption expected at 2.2%. A sub-1.5% print combined with hot inflation would deliver the first true 'stagflation' headline of the cycle and could trigger a sharp curve flattening. Also reporting: XOM, CVX, AbbVie (ABBV), Colgate (CL). MONDAY, APR 27: Dallas Fed Manufacturing; China NBS April PMIs overnight. TUESDAY, APR 28: JOLTS, Conference Board Consumer Confidence; Alphabet's next-day hangover in tech; earnings from Caterpillar (CAT), UPS, Visa (V), Coca-Cola (KO), Starbucks (SBUX). WEDNESDAY, APR 29: The main event — FOMC decision at 2:00 PM, with Chair Powell's 2:30 press conference. Consensus is no change; every nuance of the statement and the dot plot will be parsed. Core PCE for March drops 30 minutes earlier at 8:30 AM; consensus 2.7% y/y. Meta, MSFT and AAPL all report Wednesday after the close. THURSDAY, APR 30: Q1 Employment Cost Index — a sleeper release that the Fed weighs heavily. Amazon after the close. FRIDAY, MAY 1: Nonfarm Payrolls — consensus +165K, unemployment 4.1%.</w:t>
      </w:r>
    </w:p>
    <w:p>
      <w:pPr>
        <w:pStyle w:val="Heading1"/>
        <w:pBdr>
          <w:bottom w:val="single" w:color="B8860B" w:sz="12" w:space="2"/>
        </w:pBdr>
        <w:spacing w:after="160" w:before="360"/>
      </w:pPr>
      <w:r>
        <w:rPr>
          <w:rFonts w:ascii="Calibri" w:cs="Calibri" w:eastAsia="Calibri" w:hAnsi="Calibri"/>
          <w:b/>
          <w:bCs/>
          <w:color w:val="0B2545"/>
          <w:sz w:val="30"/>
          <w:szCs w:val="30"/>
        </w:rPr>
        <w:t xml:space="preserve">12 · Closing Thought</w:t>
      </w:r>
    </w:p>
    <w:p>
      <w:pPr>
        <w:spacing w:after="120" w:before="0" w:line="300"/>
        <w:jc w:val="left"/>
      </w:pPr>
      <w:r>
        <w:rPr>
          <w:rFonts w:ascii="Calibri" w:cs="Calibri" w:eastAsia="Calibri" w:hAnsi="Calibri"/>
          <w:b w:val="false"/>
          <w:bCs w:val="false"/>
          <w:i w:val="false"/>
          <w:iCs w:val="false"/>
          <w:color w:val="111111"/>
          <w:sz w:val="22"/>
          <w:szCs w:val="22"/>
        </w:rPr>
        <w:t xml:space="preserve">The market's consensus narrative for 2026 has been elegant and, so far, largely correct: AI capex accelerates, productivity lifts margins, the Fed cuts modestly, and multiples hold. But there is a risk that narrative is about to meet a very 1973 reality. Nominal GDP was running hot, commodity shocks were episodic, and the Fed discovered it could not simultaneously cut rates, contain inflation, and sustain asset prices. The parallel is imperfect — household balance sheets are far stronger, energy intensity has halved, and the dollar's reserve status is less contested than it was — but the pattern of a commodity-shock-driven re-rating of long-duration assets is not something the 2020s crop of investors has lived through.</w:t>
      </w:r>
    </w:p>
    <w:p>
      <w:pPr>
        <w:spacing w:after="120" w:before="0" w:line="300"/>
        <w:jc w:val="left"/>
      </w:pPr>
      <w:r>
        <w:rPr>
          <w:rFonts w:ascii="Calibri" w:cs="Calibri" w:eastAsia="Calibri" w:hAnsi="Calibri"/>
          <w:b w:val="false"/>
          <w:bCs w:val="false"/>
          <w:i w:val="false"/>
          <w:iCs w:val="false"/>
          <w:color w:val="111111"/>
          <w:sz w:val="22"/>
          <w:szCs w:val="22"/>
        </w:rPr>
        <w:t xml:space="preserve">The S&amp;P 500 at 23x forward earnings, with 10-year yields at 4.30% and Brent above $100, is a combination that history suggests is not stable. Either earnings estimates move up faster than the consensus now projects (unlikely with guidance softening) or multiples come in. The quiet way for this to resolve is a 5-8% chop through the summer while earnings catch up. The loud way is a sharper revaluation triggered by a supply-side shock. Either way, the coming six weeks — encompassing the FOMC, peak earnings season, and a European political calendar that will decide whether Hormuz remains geopolitical tinder — are the pivot. Position accordingly.</w:t>
      </w:r>
    </w:p>
    <w:p>
      <w:pPr>
        <w:pBdr>
          <w:top w:val="single" w:color="B8860B" w:sz="12" w:space="4"/>
        </w:pBdr>
        <w:spacing w:after="60" w:before="240"/>
      </w:pPr>
      <w:r>
        <w:rPr>
          <w:sz w:val="4"/>
          <w:szCs w:val="4"/>
        </w:rPr>
        <w:t xml:space="preserve"> </w:t>
      </w:r>
    </w:p>
    <w:p>
      <w:pPr>
        <w:jc w:val="center"/>
      </w:pPr>
      <w:r>
        <w:rPr>
          <w:rFonts w:ascii="Calibri" w:cs="Calibri" w:eastAsia="Calibri" w:hAnsi="Calibri"/>
          <w:i/>
          <w:iCs/>
          <w:color w:val="808080"/>
          <w:sz w:val="18"/>
          <w:szCs w:val="18"/>
        </w:rPr>
        <w:t xml:space="preserve">Daily Financial Brief · Compiled April 23, 2026 · For informational purposes only.</w:t>
      </w:r>
    </w:p>
    <w:p>
      <w:pPr>
        <w:jc w:val="center"/>
      </w:pPr>
      <w:r>
        <w:rPr>
          <w:rFonts w:ascii="Calibri" w:cs="Calibri" w:eastAsia="Calibri" w:hAnsi="Calibri"/>
          <w:i/>
          <w:iCs/>
          <w:color w:val="808080"/>
          <w:sz w:val="18"/>
          <w:szCs w:val="18"/>
        </w:rPr>
        <w:t xml:space="preserve">Sources: CNBC, Reuters, Yahoo Finance, Bloomberg, FactSet, Fortune, U.S. Treasury, S&amp;P Global, CME Group.</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2545" w:sz="8" w:space="2"/>
      </w:pBdr>
      <w:jc w:val="right"/>
    </w:pPr>
    <w:r>
      <w:rPr>
        <w:rFonts w:ascii="Calibri" w:cs="Calibri" w:eastAsia="Calibri" w:hAnsi="Calibri"/>
        <w:b/>
        <w:bCs/>
        <w:color w:val="0B2545"/>
        <w:sz w:val="18"/>
        <w:szCs w:val="18"/>
      </w:rPr>
      <w:t xml:space="preserve">DAILY FINANCIAL BRIEF  ·  April 23,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B2545"/>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1331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Daily Financial Brief</dc:title>
  <dc:creator>Claude</dc:creator>
  <cp:lastModifiedBy>Un-named</cp:lastModifiedBy>
  <cp:revision>1</cp:revision>
  <dcterms:created xsi:type="dcterms:W3CDTF">2026-04-23T14:41:13.985Z</dcterms:created>
  <dcterms:modified xsi:type="dcterms:W3CDTF">2026-04-23T14:41:13.985Z</dcterms:modified>
</cp:coreProperties>
</file>

<file path=docProps/custom.xml><?xml version="1.0" encoding="utf-8"?>
<Properties xmlns="http://schemas.openxmlformats.org/officeDocument/2006/custom-properties" xmlns:vt="http://schemas.openxmlformats.org/officeDocument/2006/docPropsVTypes"/>
</file>