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F44"/>
          <w:sz w:val="44"/>
        </w:rPr>
        <w:t>DAILY FINANCIAL BRIEF</w:t>
      </w:r>
    </w:p>
    <w:p>
      <w:pPr>
        <w:jc w:val="center"/>
      </w:pPr>
      <w:r>
        <w:rPr>
          <w:i/>
          <w:color w:val="C9A227"/>
          <w:sz w:val="22"/>
        </w:rPr>
        <w:t>Friday, April 24, 2026  •  Morning Edition  •  9:30 AM EST</w:t>
      </w:r>
    </w:p>
    <w:p>
      <w:pPr>
        <w:pBdr>
          <w:bottom w:val="single" w:sz="18" w:color="C9A227"/>
        </w:pBdr>
      </w:pPr>
    </w:p>
    <w:p>
      <w:pPr>
        <w:pBdr>
          <w:bottom w:val="single" w:sz="8" w:color="0A1F44"/>
        </w:pBdr>
      </w:pPr>
      <w:r>
        <w:rPr>
          <w:b/>
          <w:color w:val="0A1F44"/>
          <w:sz w:val="28"/>
        </w:rPr>
        <w:t>THE MORNING SETUP</w:t>
      </w:r>
    </w:p>
    <w:p>
      <w:r>
        <w:rPr>
          <w:sz w:val="22"/>
        </w:rPr>
        <w:t>Markets head into Friday's session with the most combustible setup of the year: a blockbuster earnings beat from an unlikely hero, Intel, colliding with a Middle East standoff that refuses to resolve and an oil market that has decided, for now, to price in disruption rather than diplomacy. U.S. equity futures are pointing modestly higher — S&amp;P 500 futures last traded up about 0.4% — almost entirely on the back of Intel's thirty-percent pre-market surge after the chipmaker delivered its strongest quarter in nearly a decade. Beneath that bid, however, the tape is uneasy. Brent has punched above $107, WTI above $97, and the Strait of Hormuz remains effectively choked by an undeclared naval blockade that has now shut off the world's single most important oil artery for eight consecutive trading days. The VIX, at 19.3, is higher than you'd expect for a market this close to record highs — a tell that investors are hedging, not celebrating. Today's calendar brings durable goods and the University of Michigan sentiment final, both likely to be dwarfed by a pair of earnings (Procter &amp; Gamble, Colgate-Palmolive) and the ongoing question the bond market is trying to answer: is $105 oil a growth scare or an inflation scare? So far, it's both.</w:t>
      </w:r>
    </w:p>
    <w:p>
      <w:pPr>
        <w:pBdr>
          <w:bottom w:val="single" w:sz="8" w:color="0A1F44"/>
        </w:pBdr>
      </w:pPr>
      <w:r>
        <w:rPr>
          <w:b/>
          <w:color w:val="0A1F44"/>
          <w:sz w:val="28"/>
        </w:rPr>
        <w:t>MARKETS AT A GLANCE</w:t>
      </w:r>
    </w:p>
    <w:p>
      <w:r>
        <w:rPr>
          <w:b/>
          <w:color w:val="0A1F44"/>
          <w:sz w:val="24"/>
        </w:rPr>
        <w:t>U.S. Equity Futures (as of 8:15 a.m. ET)</w:t>
      </w:r>
    </w:p>
    <w:tbl>
      <w:tblPr>
        <w:tblW w:type="auto" w:w="0"/>
        <w:tblLayout w:type="fixed"/>
        <w:tblLook w:firstColumn="1" w:firstRow="1" w:lastColumn="0" w:lastRow="0" w:noHBand="0" w:noVBand="1" w:val="04A0"/>
      </w:tblPr>
      <w:tblGrid>
        <w:gridCol w:w="2412"/>
        <w:gridCol w:w="2412"/>
        <w:gridCol w:w="2412"/>
        <w:gridCol w:w="2412"/>
      </w:tblGrid>
      <w:tr>
        <w:tc>
          <w:tcPr>
            <w:tcW w:type="dxa" w:w="3168"/>
            <w:shd w:val="clear" w:color="auto" w:fill="0A1F44"/>
            <w:tcBorders>
              <w:top w:val="single" w:sz="4" w:color="BFBFBF"/>
              <w:left w:val="single" w:sz="4" w:color="BFBFBF"/>
              <w:bottom w:val="single" w:sz="4" w:color="BFBFBF"/>
              <w:right w:val="single" w:sz="4" w:color="BFBFBF"/>
            </w:tcBorders>
          </w:tcPr>
          <w:p>
            <w:r/>
            <w:r>
              <w:rPr>
                <w:b/>
                <w:color w:val="FFFFFF"/>
                <w:sz w:val="20"/>
              </w:rPr>
              <w:t>Instrument</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Level</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Change</w:t>
            </w:r>
          </w:p>
        </w:tc>
        <w:tc>
          <w:tcPr>
            <w:tcW w:type="dxa" w:w="2880"/>
            <w:shd w:val="clear" w:color="auto" w:fill="0A1F44"/>
            <w:tcBorders>
              <w:top w:val="single" w:sz="4" w:color="BFBFBF"/>
              <w:left w:val="single" w:sz="4" w:color="BFBFBF"/>
              <w:bottom w:val="single" w:sz="4" w:color="BFBFBF"/>
              <w:right w:val="single" w:sz="4" w:color="BFBFBF"/>
            </w:tcBorders>
          </w:tcPr>
          <w:p>
            <w:r/>
            <w:r>
              <w:rPr>
                <w:b/>
                <w:color w:val="FFFFFF"/>
                <w:sz w:val="20"/>
              </w:rPr>
              <w:t>Note</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S&amp;P 500 futures</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7,138.25</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+0.42%</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Bid on Intel blowout</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Nasdaq 100 futures</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26,080.10</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+0.61%</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Chip strength leads</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Dow futures</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49,515</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+0.21%</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PG premarket +4%</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Russell 2000 futures</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2,364.40</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+0.15%</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Small caps flat</w:t>
            </w:r>
          </w:p>
        </w:tc>
      </w:tr>
    </w:tbl>
    <w:p>
      <w:r>
        <w:rPr>
          <w:b/>
          <w:color w:val="0A1F44"/>
          <w:sz w:val="24"/>
        </w:rPr>
        <w:t>Prior U.S. Close (Thursday, April 23)</w:t>
      </w:r>
    </w:p>
    <w:tbl>
      <w:tblPr>
        <w:tblW w:type="auto" w:w="0"/>
        <w:tblLayout w:type="fixed"/>
        <w:tblLook w:firstColumn="1" w:firstRow="1" w:lastColumn="0" w:lastRow="0" w:noHBand="0" w:noVBand="1" w:val="04A0"/>
      </w:tblPr>
      <w:tblGrid>
        <w:gridCol w:w="2412"/>
        <w:gridCol w:w="2412"/>
        <w:gridCol w:w="2412"/>
        <w:gridCol w:w="2412"/>
      </w:tblGrid>
      <w:tr>
        <w:tc>
          <w:tcPr>
            <w:tcW w:type="dxa" w:w="3168"/>
            <w:shd w:val="clear" w:color="auto" w:fill="0A1F44"/>
            <w:tcBorders>
              <w:top w:val="single" w:sz="4" w:color="BFBFBF"/>
              <w:left w:val="single" w:sz="4" w:color="BFBFBF"/>
              <w:bottom w:val="single" w:sz="4" w:color="BFBFBF"/>
              <w:right w:val="single" w:sz="4" w:color="BFBFBF"/>
            </w:tcBorders>
          </w:tcPr>
          <w:p>
            <w:r/>
            <w:r>
              <w:rPr>
                <w:b/>
                <w:color w:val="FFFFFF"/>
                <w:sz w:val="20"/>
              </w:rPr>
              <w:t>Index</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Close</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Change</w:t>
            </w:r>
          </w:p>
        </w:tc>
        <w:tc>
          <w:tcPr>
            <w:tcW w:type="dxa" w:w="2880"/>
            <w:shd w:val="clear" w:color="auto" w:fill="0A1F44"/>
            <w:tcBorders>
              <w:top w:val="single" w:sz="4" w:color="BFBFBF"/>
              <w:left w:val="single" w:sz="4" w:color="BFBFBF"/>
              <w:bottom w:val="single" w:sz="4" w:color="BFBFBF"/>
              <w:right w:val="single" w:sz="4" w:color="BFBFBF"/>
            </w:tcBorders>
          </w:tcPr>
          <w:p>
            <w:r/>
            <w:r>
              <w:rPr>
                <w:b/>
                <w:color w:val="FFFFFF"/>
                <w:sz w:val="20"/>
              </w:rPr>
              <w:t>Note</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S&amp;P 500</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7,108.40</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-0.41%</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Software-led pullback</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Nasdaq Composite</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24,438.50</w:t>
            </w:r>
          </w:p>
        </w:tc>
        <w:tc>
          <w:tcPr>
            <w:tcW w:type="dxa" w:w="1872"/>
            <w:shd w:val="clear" w:color="auto" w:fill="F5F5F5"/>
            <w:tcBorders>
              <w:top w:val="single" w:sz="4" w:color="BFBFBF"/>
              <w:left w:val="single" w:sz="4" w:color="BFBFBF"/>
              <w:bottom w:val="single" w:sz="4" w:color="BFBFBF"/>
              <w:right w:val="single" w:sz="4" w:color="BFBFBF"/>
            </w:tcBorders>
          </w:tcPr>
          <w:p>
            <w:r/>
            <w:r>
              <w:rPr>
                <w:color w:val="B31B1B"/>
                <w:sz w:val="20"/>
              </w:rPr>
              <w:t>-0.89%</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IBM, NOW drag</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Dow Industrials</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49,310.32</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-0.36%</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-179.71 points</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Russell 2000</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2,361.85</w:t>
            </w:r>
          </w:p>
        </w:tc>
        <w:tc>
          <w:tcPr>
            <w:tcW w:type="dxa" w:w="1872"/>
            <w:shd w:val="clear" w:color="auto" w:fill="F5F5F5"/>
            <w:tcBorders>
              <w:top w:val="single" w:sz="4" w:color="BFBFBF"/>
              <w:left w:val="single" w:sz="4" w:color="BFBFBF"/>
              <w:bottom w:val="single" w:sz="4" w:color="BFBFBF"/>
              <w:right w:val="single" w:sz="4" w:color="BFBFBF"/>
            </w:tcBorders>
          </w:tcPr>
          <w:p>
            <w:r/>
            <w:r>
              <w:rPr>
                <w:color w:val="B31B1B"/>
                <w:sz w:val="20"/>
              </w:rPr>
              <w:t>-0.54%</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Breadth poor</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VIX</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19.31</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+2.06%</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Creeping higher</w:t>
            </w:r>
          </w:p>
        </w:tc>
      </w:tr>
    </w:tbl>
    <w:p>
      <w:r>
        <w:rPr>
          <w:b/>
          <w:color w:val="0A1F44"/>
          <w:sz w:val="24"/>
        </w:rPr>
        <w:t>Asia Close (Friday, April 24)</w:t>
      </w:r>
    </w:p>
    <w:tbl>
      <w:tblPr>
        <w:tblW w:type="auto" w:w="0"/>
        <w:tblLayout w:type="fixed"/>
        <w:tblLook w:firstColumn="1" w:firstRow="1" w:lastColumn="0" w:lastRow="0" w:noHBand="0" w:noVBand="1" w:val="04A0"/>
      </w:tblPr>
      <w:tblGrid>
        <w:gridCol w:w="2412"/>
        <w:gridCol w:w="2412"/>
        <w:gridCol w:w="2412"/>
        <w:gridCol w:w="2412"/>
      </w:tblGrid>
      <w:tr>
        <w:tc>
          <w:tcPr>
            <w:tcW w:type="dxa" w:w="3168"/>
            <w:shd w:val="clear" w:color="auto" w:fill="0A1F44"/>
            <w:tcBorders>
              <w:top w:val="single" w:sz="4" w:color="BFBFBF"/>
              <w:left w:val="single" w:sz="4" w:color="BFBFBF"/>
              <w:bottom w:val="single" w:sz="4" w:color="BFBFBF"/>
              <w:right w:val="single" w:sz="4" w:color="BFBFBF"/>
            </w:tcBorders>
          </w:tcPr>
          <w:p>
            <w:r/>
            <w:r>
              <w:rPr>
                <w:b/>
                <w:color w:val="FFFFFF"/>
                <w:sz w:val="20"/>
              </w:rPr>
              <w:t>Index</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Close</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Change</w:t>
            </w:r>
          </w:p>
        </w:tc>
        <w:tc>
          <w:tcPr>
            <w:tcW w:type="dxa" w:w="2880"/>
            <w:shd w:val="clear" w:color="auto" w:fill="0A1F44"/>
            <w:tcBorders>
              <w:top w:val="single" w:sz="4" w:color="BFBFBF"/>
              <w:left w:val="single" w:sz="4" w:color="BFBFBF"/>
              <w:bottom w:val="single" w:sz="4" w:color="BFBFBF"/>
              <w:right w:val="single" w:sz="4" w:color="BFBFBF"/>
            </w:tcBorders>
          </w:tcPr>
          <w:p>
            <w:r/>
            <w:r>
              <w:rPr>
                <w:b/>
                <w:color w:val="FFFFFF"/>
                <w:sz w:val="20"/>
              </w:rPr>
              <w:t>Note</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Nikkei 225 (Japan)</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59,716.18</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+1.00%</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Tech bid on Intel halo</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Hang Seng (HK)</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25,976.65</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+0.20%</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Reversed early loss</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Shanghai Composite</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4,090.48</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-0.10%</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Thin, rangebound</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Kospi (Korea)</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6,475.63</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~flat</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Samsung, SK Hynix mixed</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ASX 200 (Australia)</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8,786.50</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-0.10%</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Oil majors lift energy</w:t>
            </w:r>
          </w:p>
        </w:tc>
      </w:tr>
    </w:tbl>
    <w:p>
      <w:r>
        <w:rPr>
          <w:b/>
          <w:color w:val="0A1F44"/>
          <w:sz w:val="24"/>
        </w:rPr>
        <w:t>Europe (Early Trade)</w:t>
      </w:r>
    </w:p>
    <w:tbl>
      <w:tblPr>
        <w:tblW w:type="auto" w:w="0"/>
        <w:tblLayout w:type="fixed"/>
        <w:tblLook w:firstColumn="1" w:firstRow="1" w:lastColumn="0" w:lastRow="0" w:noHBand="0" w:noVBand="1" w:val="04A0"/>
      </w:tblPr>
      <w:tblGrid>
        <w:gridCol w:w="2412"/>
        <w:gridCol w:w="2412"/>
        <w:gridCol w:w="2412"/>
        <w:gridCol w:w="2412"/>
      </w:tblGrid>
      <w:tr>
        <w:tc>
          <w:tcPr>
            <w:tcW w:type="dxa" w:w="3168"/>
            <w:shd w:val="clear" w:color="auto" w:fill="0A1F44"/>
            <w:tcBorders>
              <w:top w:val="single" w:sz="4" w:color="BFBFBF"/>
              <w:left w:val="single" w:sz="4" w:color="BFBFBF"/>
              <w:bottom w:val="single" w:sz="4" w:color="BFBFBF"/>
              <w:right w:val="single" w:sz="4" w:color="BFBFBF"/>
            </w:tcBorders>
          </w:tcPr>
          <w:p>
            <w:r/>
            <w:r>
              <w:rPr>
                <w:b/>
                <w:color w:val="FFFFFF"/>
                <w:sz w:val="20"/>
              </w:rPr>
              <w:t>Index</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Level</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Change</w:t>
            </w:r>
          </w:p>
        </w:tc>
        <w:tc>
          <w:tcPr>
            <w:tcW w:type="dxa" w:w="2880"/>
            <w:shd w:val="clear" w:color="auto" w:fill="0A1F44"/>
            <w:tcBorders>
              <w:top w:val="single" w:sz="4" w:color="BFBFBF"/>
              <w:left w:val="single" w:sz="4" w:color="BFBFBF"/>
              <w:bottom w:val="single" w:sz="4" w:color="BFBFBF"/>
              <w:right w:val="single" w:sz="4" w:color="BFBFBF"/>
            </w:tcBorders>
          </w:tcPr>
          <w:p>
            <w:r/>
            <w:r>
              <w:rPr>
                <w:b/>
                <w:color w:val="FFFFFF"/>
                <w:sz w:val="20"/>
              </w:rPr>
              <w:t>Note</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FTSE 100 (UK)</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9,486.20</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-0.72%</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Miners offset by BP/Shell</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DAX (Germany)</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22,914.85</w:t>
            </w:r>
          </w:p>
        </w:tc>
        <w:tc>
          <w:tcPr>
            <w:tcW w:type="dxa" w:w="1872"/>
            <w:shd w:val="clear" w:color="auto" w:fill="F5F5F5"/>
            <w:tcBorders>
              <w:top w:val="single" w:sz="4" w:color="BFBFBF"/>
              <w:left w:val="single" w:sz="4" w:color="BFBFBF"/>
              <w:bottom w:val="single" w:sz="4" w:color="BFBFBF"/>
              <w:right w:val="single" w:sz="4" w:color="BFBFBF"/>
            </w:tcBorders>
          </w:tcPr>
          <w:p>
            <w:r/>
            <w:r>
              <w:rPr>
                <w:color w:val="B31B1B"/>
                <w:sz w:val="20"/>
              </w:rPr>
              <w:t>-0.05%</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Flat; Siemens leads</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CAC 40 (France)</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8,294.11</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-0.58%</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Luxury weak</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Euro Stoxx 50</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5,612.40</w:t>
            </w:r>
          </w:p>
        </w:tc>
        <w:tc>
          <w:tcPr>
            <w:tcW w:type="dxa" w:w="1872"/>
            <w:shd w:val="clear" w:color="auto" w:fill="F5F5F5"/>
            <w:tcBorders>
              <w:top w:val="single" w:sz="4" w:color="BFBFBF"/>
              <w:left w:val="single" w:sz="4" w:color="BFBFBF"/>
              <w:bottom w:val="single" w:sz="4" w:color="BFBFBF"/>
              <w:right w:val="single" w:sz="4" w:color="BFBFBF"/>
            </w:tcBorders>
          </w:tcPr>
          <w:p>
            <w:r/>
            <w:r>
              <w:rPr>
                <w:color w:val="B31B1B"/>
                <w:sz w:val="20"/>
              </w:rPr>
              <w:t>-0.60%</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Risk-off skew</w:t>
            </w:r>
          </w:p>
        </w:tc>
      </w:tr>
    </w:tbl>
    <w:p>
      <w:r>
        <w:rPr>
          <w:b/>
          <w:color w:val="0A1F44"/>
          <w:sz w:val="24"/>
        </w:rPr>
        <w:t>Rates, Credit &amp; FX</w:t>
      </w:r>
    </w:p>
    <w:tbl>
      <w:tblPr>
        <w:tblW w:type="auto" w:w="0"/>
        <w:tblLayout w:type="fixed"/>
        <w:tblLook w:firstColumn="1" w:firstRow="1" w:lastColumn="0" w:lastRow="0" w:noHBand="0" w:noVBand="1" w:val="04A0"/>
      </w:tblPr>
      <w:tblGrid>
        <w:gridCol w:w="2412"/>
        <w:gridCol w:w="2412"/>
        <w:gridCol w:w="2412"/>
        <w:gridCol w:w="2412"/>
      </w:tblGrid>
      <w:tr>
        <w:tc>
          <w:tcPr>
            <w:tcW w:type="dxa" w:w="3168"/>
            <w:shd w:val="clear" w:color="auto" w:fill="0A1F44"/>
            <w:tcBorders>
              <w:top w:val="single" w:sz="4" w:color="BFBFBF"/>
              <w:left w:val="single" w:sz="4" w:color="BFBFBF"/>
              <w:bottom w:val="single" w:sz="4" w:color="BFBFBF"/>
              <w:right w:val="single" w:sz="4" w:color="BFBFBF"/>
            </w:tcBorders>
          </w:tcPr>
          <w:p>
            <w:r/>
            <w:r>
              <w:rPr>
                <w:b/>
                <w:color w:val="FFFFFF"/>
                <w:sz w:val="20"/>
              </w:rPr>
              <w:t>Instrument</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Level</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Change</w:t>
            </w:r>
          </w:p>
        </w:tc>
        <w:tc>
          <w:tcPr>
            <w:tcW w:type="dxa" w:w="2880"/>
            <w:shd w:val="clear" w:color="auto" w:fill="0A1F44"/>
            <w:tcBorders>
              <w:top w:val="single" w:sz="4" w:color="BFBFBF"/>
              <w:left w:val="single" w:sz="4" w:color="BFBFBF"/>
              <w:bottom w:val="single" w:sz="4" w:color="BFBFBF"/>
              <w:right w:val="single" w:sz="4" w:color="BFBFBF"/>
            </w:tcBorders>
          </w:tcPr>
          <w:p>
            <w:r/>
            <w:r>
              <w:rPr>
                <w:b/>
                <w:color w:val="FFFFFF"/>
                <w:sz w:val="20"/>
              </w:rPr>
              <w:t>Note</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US 2Y yield</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3.79%</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+2 bps</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Fed-hold repricing</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US 5Y yield</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4.05%</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+3 bps</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Belly leading selloff</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US 10Y yield</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4.30%</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+4 bps</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Oil-inflation impulse</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US 30Y yield</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4.92%</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+5 bps</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Long end under pressure</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2s10s spread</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+51 bps</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+2 bps</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Steepening resumes</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IG CDX</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62 bps</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+1 bp</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Tight but widening</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HY CDX</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341 bps</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+6 bps</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Risk premia rising</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DXY</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98.58</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+0.15%</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Two-week high</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EUR/USD</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1.0842</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-0.18%</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Euro soft on growth</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GBP/USD</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1.2616</w:t>
            </w:r>
          </w:p>
        </w:tc>
        <w:tc>
          <w:tcPr>
            <w:tcW w:type="dxa" w:w="1872"/>
            <w:shd w:val="clear" w:color="auto" w:fill="F5F5F5"/>
            <w:tcBorders>
              <w:top w:val="single" w:sz="4" w:color="BFBFBF"/>
              <w:left w:val="single" w:sz="4" w:color="BFBFBF"/>
              <w:bottom w:val="single" w:sz="4" w:color="BFBFBF"/>
              <w:right w:val="single" w:sz="4" w:color="BFBFBF"/>
            </w:tcBorders>
          </w:tcPr>
          <w:p>
            <w:r/>
            <w:r>
              <w:rPr>
                <w:color w:val="B31B1B"/>
                <w:sz w:val="20"/>
              </w:rPr>
              <w:t>-0.22%</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BoE cut bets building</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USD/JPY</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156.94</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+0.11%</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Carry reasserting</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USD/CNY</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7.2790</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+0.05%</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PBoC anchor holds</w:t>
            </w:r>
          </w:p>
        </w:tc>
      </w:tr>
    </w:tbl>
    <w:p>
      <w:r>
        <w:rPr>
          <w:b/>
          <w:color w:val="0A1F44"/>
          <w:sz w:val="24"/>
        </w:rPr>
        <w:t>Commodities &amp; Crypto</w:t>
      </w:r>
    </w:p>
    <w:tbl>
      <w:tblPr>
        <w:tblW w:type="auto" w:w="0"/>
        <w:tblLayout w:type="fixed"/>
        <w:tblLook w:firstColumn="1" w:firstRow="1" w:lastColumn="0" w:lastRow="0" w:noHBand="0" w:noVBand="1" w:val="04A0"/>
      </w:tblPr>
      <w:tblGrid>
        <w:gridCol w:w="2412"/>
        <w:gridCol w:w="2412"/>
        <w:gridCol w:w="2412"/>
        <w:gridCol w:w="2412"/>
      </w:tblGrid>
      <w:tr>
        <w:tc>
          <w:tcPr>
            <w:tcW w:type="dxa" w:w="3168"/>
            <w:shd w:val="clear" w:color="auto" w:fill="0A1F44"/>
            <w:tcBorders>
              <w:top w:val="single" w:sz="4" w:color="BFBFBF"/>
              <w:left w:val="single" w:sz="4" w:color="BFBFBF"/>
              <w:bottom w:val="single" w:sz="4" w:color="BFBFBF"/>
              <w:right w:val="single" w:sz="4" w:color="BFBFBF"/>
            </w:tcBorders>
          </w:tcPr>
          <w:p>
            <w:r/>
            <w:r>
              <w:rPr>
                <w:b/>
                <w:color w:val="FFFFFF"/>
                <w:sz w:val="20"/>
              </w:rPr>
              <w:t>Instrument</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Level</w:t>
            </w:r>
          </w:p>
        </w:tc>
        <w:tc>
          <w:tcPr>
            <w:tcW w:type="dxa" w:w="1872"/>
            <w:shd w:val="clear" w:color="auto" w:fill="0A1F44"/>
            <w:tcBorders>
              <w:top w:val="single" w:sz="4" w:color="BFBFBF"/>
              <w:left w:val="single" w:sz="4" w:color="BFBFBF"/>
              <w:bottom w:val="single" w:sz="4" w:color="BFBFBF"/>
              <w:right w:val="single" w:sz="4" w:color="BFBFBF"/>
            </w:tcBorders>
          </w:tcPr>
          <w:p>
            <w:r/>
            <w:r>
              <w:rPr>
                <w:b/>
                <w:color w:val="FFFFFF"/>
                <w:sz w:val="20"/>
              </w:rPr>
              <w:t>Change</w:t>
            </w:r>
          </w:p>
        </w:tc>
        <w:tc>
          <w:tcPr>
            <w:tcW w:type="dxa" w:w="2880"/>
            <w:shd w:val="clear" w:color="auto" w:fill="0A1F44"/>
            <w:tcBorders>
              <w:top w:val="single" w:sz="4" w:color="BFBFBF"/>
              <w:left w:val="single" w:sz="4" w:color="BFBFBF"/>
              <w:bottom w:val="single" w:sz="4" w:color="BFBFBF"/>
              <w:right w:val="single" w:sz="4" w:color="BFBFBF"/>
            </w:tcBorders>
          </w:tcPr>
          <w:p>
            <w:r/>
            <w:r>
              <w:rPr>
                <w:b/>
                <w:color w:val="FFFFFF"/>
                <w:sz w:val="20"/>
              </w:rPr>
              <w:t>Note</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WTI crude</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$97.71</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+1.9%</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Hormuz choke</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Brent crude</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$107.38</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+2.2%</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Above $105 resistance</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Nat gas (Henry Hub)</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$2.66/MMBtu</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-0.4%</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Multi-year low</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Gold</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$4,738.53/oz</w:t>
            </w:r>
          </w:p>
        </w:tc>
        <w:tc>
          <w:tcPr>
            <w:tcW w:type="dxa" w:w="1872"/>
            <w:shd w:val="clear" w:color="auto" w:fill="F5F5F5"/>
            <w:tcBorders>
              <w:top w:val="single" w:sz="4" w:color="BFBFBF"/>
              <w:left w:val="single" w:sz="4" w:color="BFBFBF"/>
              <w:bottom w:val="single" w:sz="4" w:color="BFBFBF"/>
              <w:right w:val="single" w:sz="4" w:color="BFBFBF"/>
            </w:tcBorders>
          </w:tcPr>
          <w:p>
            <w:r/>
            <w:r>
              <w:rPr>
                <w:color w:val="B31B1B"/>
                <w:sz w:val="20"/>
              </w:rPr>
              <w:t>-0.3%</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Consolidating near highs</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Silver</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$52.14/oz</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-0.6%</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Profit-taking</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Copper</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$6.10/lb</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+0.4%</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China-growth bid</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Wheat</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$6.24/bu</w:t>
            </w:r>
          </w:p>
        </w:tc>
        <w:tc>
          <w:tcPr>
            <w:tcW w:type="dxa" w:w="1872"/>
            <w:shd w:val="clear" w:color="auto" w:fill="FFFFFF"/>
            <w:tcBorders>
              <w:top w:val="single" w:sz="4" w:color="BFBFBF"/>
              <w:left w:val="single" w:sz="4" w:color="BFBFBF"/>
              <w:bottom w:val="single" w:sz="4" w:color="BFBFBF"/>
              <w:right w:val="single" w:sz="4" w:color="BFBFBF"/>
            </w:tcBorders>
          </w:tcPr>
          <w:p>
            <w:r/>
            <w:r>
              <w:rPr>
                <w:color w:val="B31B1B"/>
                <w:sz w:val="20"/>
              </w:rPr>
              <w:t>-0.2%</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Harvest pressure</w:t>
            </w:r>
          </w:p>
        </w:tc>
      </w:tr>
      <w:tr>
        <w:tc>
          <w:tcPr>
            <w:tcW w:type="dxa" w:w="3168"/>
            <w:shd w:val="clear" w:color="auto" w:fill="F5F5F5"/>
            <w:tcBorders>
              <w:top w:val="single" w:sz="4" w:color="BFBFBF"/>
              <w:left w:val="single" w:sz="4" w:color="BFBFBF"/>
              <w:bottom w:val="single" w:sz="4" w:color="BFBFBF"/>
              <w:right w:val="single" w:sz="4" w:color="BFBFBF"/>
            </w:tcBorders>
          </w:tcPr>
          <w:p>
            <w:r/>
            <w:r>
              <w:rPr>
                <w:sz w:val="20"/>
              </w:rPr>
              <w:t>Bitcoin (BTC)</w:t>
            </w:r>
          </w:p>
        </w:tc>
        <w:tc>
          <w:tcPr>
            <w:tcW w:type="dxa" w:w="1872"/>
            <w:shd w:val="clear" w:color="auto" w:fill="F5F5F5"/>
            <w:tcBorders>
              <w:top w:val="single" w:sz="4" w:color="BFBFBF"/>
              <w:left w:val="single" w:sz="4" w:color="BFBFBF"/>
              <w:bottom w:val="single" w:sz="4" w:color="BFBFBF"/>
              <w:right w:val="single" w:sz="4" w:color="BFBFBF"/>
            </w:tcBorders>
          </w:tcPr>
          <w:p>
            <w:r/>
            <w:r>
              <w:rPr>
                <w:sz w:val="20"/>
              </w:rPr>
              <w:t>$78,126</w:t>
            </w:r>
          </w:p>
        </w:tc>
        <w:tc>
          <w:tcPr>
            <w:tcW w:type="dxa" w:w="1872"/>
            <w:shd w:val="clear" w:color="auto" w:fill="F5F5F5"/>
            <w:tcBorders>
              <w:top w:val="single" w:sz="4" w:color="BFBFBF"/>
              <w:left w:val="single" w:sz="4" w:color="BFBFBF"/>
              <w:bottom w:val="single" w:sz="4" w:color="BFBFBF"/>
              <w:right w:val="single" w:sz="4" w:color="BFBFBF"/>
            </w:tcBorders>
          </w:tcPr>
          <w:p>
            <w:r/>
            <w:r>
              <w:rPr>
                <w:color w:val="0B6B3A"/>
                <w:sz w:val="20"/>
              </w:rPr>
              <w:t>+1.1%</w:t>
            </w:r>
          </w:p>
        </w:tc>
        <w:tc>
          <w:tcPr>
            <w:tcW w:type="dxa" w:w="2880"/>
            <w:shd w:val="clear" w:color="auto" w:fill="F5F5F5"/>
            <w:tcBorders>
              <w:top w:val="single" w:sz="4" w:color="BFBFBF"/>
              <w:left w:val="single" w:sz="4" w:color="BFBFBF"/>
              <w:bottom w:val="single" w:sz="4" w:color="BFBFBF"/>
              <w:right w:val="single" w:sz="4" w:color="BFBFBF"/>
            </w:tcBorders>
          </w:tcPr>
          <w:p>
            <w:r/>
            <w:r>
              <w:rPr>
                <w:sz w:val="20"/>
              </w:rPr>
              <w:t>24h: +2.3%</w:t>
            </w:r>
          </w:p>
        </w:tc>
      </w:tr>
      <w:tr>
        <w:tc>
          <w:tcPr>
            <w:tcW w:type="dxa" w:w="3168"/>
            <w:shd w:val="clear" w:color="auto" w:fill="FFFFFF"/>
            <w:tcBorders>
              <w:top w:val="single" w:sz="4" w:color="BFBFBF"/>
              <w:left w:val="single" w:sz="4" w:color="BFBFBF"/>
              <w:bottom w:val="single" w:sz="4" w:color="BFBFBF"/>
              <w:right w:val="single" w:sz="4" w:color="BFBFBF"/>
            </w:tcBorders>
          </w:tcPr>
          <w:p>
            <w:r/>
            <w:r>
              <w:rPr>
                <w:sz w:val="20"/>
              </w:rPr>
              <w:t>Ethereum (ETH)</w:t>
            </w:r>
          </w:p>
        </w:tc>
        <w:tc>
          <w:tcPr>
            <w:tcW w:type="dxa" w:w="1872"/>
            <w:shd w:val="clear" w:color="auto" w:fill="FFFFFF"/>
            <w:tcBorders>
              <w:top w:val="single" w:sz="4" w:color="BFBFBF"/>
              <w:left w:val="single" w:sz="4" w:color="BFBFBF"/>
              <w:bottom w:val="single" w:sz="4" w:color="BFBFBF"/>
              <w:right w:val="single" w:sz="4" w:color="BFBFBF"/>
            </w:tcBorders>
          </w:tcPr>
          <w:p>
            <w:r/>
            <w:r>
              <w:rPr>
                <w:sz w:val="20"/>
              </w:rPr>
              <w:t>$2,353</w:t>
            </w:r>
          </w:p>
        </w:tc>
        <w:tc>
          <w:tcPr>
            <w:tcW w:type="dxa" w:w="1872"/>
            <w:shd w:val="clear" w:color="auto" w:fill="FFFFFF"/>
            <w:tcBorders>
              <w:top w:val="single" w:sz="4" w:color="BFBFBF"/>
              <w:left w:val="single" w:sz="4" w:color="BFBFBF"/>
              <w:bottom w:val="single" w:sz="4" w:color="BFBFBF"/>
              <w:right w:val="single" w:sz="4" w:color="BFBFBF"/>
            </w:tcBorders>
          </w:tcPr>
          <w:p>
            <w:r/>
            <w:r>
              <w:rPr>
                <w:color w:val="0B6B3A"/>
                <w:sz w:val="20"/>
              </w:rPr>
              <w:t>+0.9%</w:t>
            </w:r>
          </w:p>
        </w:tc>
        <w:tc>
          <w:tcPr>
            <w:tcW w:type="dxa" w:w="2880"/>
            <w:shd w:val="clear" w:color="auto" w:fill="FFFFFF"/>
            <w:tcBorders>
              <w:top w:val="single" w:sz="4" w:color="BFBFBF"/>
              <w:left w:val="single" w:sz="4" w:color="BFBFBF"/>
              <w:bottom w:val="single" w:sz="4" w:color="BFBFBF"/>
              <w:right w:val="single" w:sz="4" w:color="BFBFBF"/>
            </w:tcBorders>
          </w:tcPr>
          <w:p>
            <w:r/>
            <w:r>
              <w:rPr>
                <w:sz w:val="20"/>
              </w:rPr>
              <w:t>24h: +1.7%</w:t>
            </w:r>
          </w:p>
        </w:tc>
      </w:tr>
    </w:tbl>
    <w:p>
      <w:pPr>
        <w:pBdr>
          <w:bottom w:val="single" w:sz="8" w:color="0A1F44"/>
        </w:pBdr>
      </w:pPr>
      <w:r>
        <w:rPr>
          <w:b/>
          <w:color w:val="0A1F44"/>
          <w:sz w:val="28"/>
        </w:rPr>
        <w:t>TOP STORIES</w:t>
      </w:r>
    </w:p>
    <w:p>
      <w:r>
        <w:rPr>
          <w:b/>
          <w:color w:val="0A1F44"/>
          <w:sz w:val="24"/>
        </w:rPr>
        <w:t>1. Intel Stuns With Blowout Quarter, Stock Surges 30% Pre-Market</w:t>
      </w:r>
    </w:p>
    <w:p>
      <w:r>
        <w:rPr>
          <w:sz w:val="22"/>
        </w:rPr>
        <w:t>Intel delivered the earnings surprise of 2026. The struggling chipmaker — written off by most of Wall Street as recently as last autumn — reported first-quarter adjusted EPS of $0.29 versus the $0.01 consensus, on revenue of $13.58 billion against a $12.42 billion forecast. Data-center revenue climbed 22% year-over-year to $5.1 billion, the single most important line item in the report: it is the first unambiguous evidence that Intel is participating in the AI-driven CPU cycle it has spent three years claiming was coming. Guidance was the rocket fuel. Intel forecast Q2 revenue of $13.8–$14.8 billion and EPS of roughly $0.20, both well above Street estimates.</w:t>
      </w:r>
    </w:p>
    <w:p>
      <w:r>
        <w:rPr>
          <w:sz w:val="22"/>
        </w:rPr>
        <w:t>Shares closed up 9% regular session and then tacked on another 20% in after-hours trade. By 7:30 a.m. ET Friday, the stock traded near $87.09, up roughly 30% and on course to open at an all-time high. The read-through is not subtle: for the first time since the Pat Gelsinger era began, Intel is capturing incremental AI-server budget rather than surrendering it to AMD and Nvidia. Expect a wave of analyst upgrades and meaningful short-covering through Friday. Watch: $90 as the technical breakout level; $95 is the next resistance. The broader semiconductor complex — SOX, SMH — is indicated up 2–3% pre-market.</w:t>
      </w:r>
    </w:p>
    <w:p>
      <w:r>
        <w:rPr>
          <w:b/>
          <w:color w:val="0A1F44"/>
          <w:sz w:val="24"/>
        </w:rPr>
        <w:t>2. Strait of Hormuz Remains Shut as U.S.-Iran Ceasefire Frays</w:t>
      </w:r>
    </w:p>
    <w:p>
      <w:r>
        <w:rPr>
          <w:sz w:val="22"/>
        </w:rPr>
        <w:t>The Iran ceasefire, technically still in force, is no longer a market positive. Shipping through the Strait of Hormuz has collapsed: only five vessels transited in the last 24 hours, one of them an Iranian oil products tanker. President Trump ordered the Navy to "shoot and kill" any Iranian vessels laying mines, while Tehran has seized two commercial ships and declared the U.S. naval presence the "main obstacle" to restarting talks. Trump, asked Thursday evening about a timetable, told reporters "don't rush me."</w:t>
      </w:r>
    </w:p>
    <w:p>
      <w:r>
        <w:rPr>
          <w:sz w:val="22"/>
        </w:rPr>
        <w:t>The number to watch is not the headline — it is the tanker traffic count. Roughly 20% of global seaborne oil, and nearly all of Qatar's LNG, normally transits Hormuz. Every additional day of disruption tightens physical crude balances by an estimated 1.5–2 million barrels per day. Traders currently price a four-to-six-week disruption; if it runs longer, $120 Brent is the consensus next stop. Separately, Trump announced a three-week extension of the Israel-Lebanon ceasefire, the one piece of Middle East good news on the tape this morning.</w:t>
      </w:r>
    </w:p>
    <w:p>
      <w:r>
        <w:rPr>
          <w:b/>
          <w:color w:val="0A1F44"/>
          <w:sz w:val="24"/>
        </w:rPr>
        <w:t>3. Oil Markets Enter Second Week Above $100</w:t>
      </w:r>
    </w:p>
    <w:p>
      <w:r>
        <w:rPr>
          <w:sz w:val="22"/>
        </w:rPr>
        <w:t>Brent has now closed above $100 for eight consecutive sessions, the longest such streak since the 2022 post-invasion spike. WTI is approaching $98. The move is no longer purely geopolitical: OPEC+ has signaled it is in no rush to add barrels, U.S. Strategic Petroleum Reserve releases have been paused, and Gulf of Mexico hurricane-season pre-positioning has begun. Refining margins — particularly gasoline cracks — are widening, which historically precedes pump-price pass-through by four to six weeks.</w:t>
      </w:r>
    </w:p>
    <w:p>
      <w:r>
        <w:rPr>
          <w:sz w:val="22"/>
        </w:rPr>
        <w:t>The macro knock-on is meaningful. Each sustained $10 move in Brent adds roughly 15–20 basis points to headline CPI. With March CPI already at 3.3% year-over-year (up from 2.4% in February), a full quarter at $105 Brent would push headline inflation back above 4% by the July print. That is the single most important macro variable for the Fed meeting next Wednesday. Watch the five-year, five-year inflation breakeven, last at 2.48% — anything above 2.55% is the tripwire for a meaningfully more hawkish Powell press conference.</w:t>
      </w:r>
    </w:p>
    <w:p>
      <w:r>
        <w:rPr>
          <w:b/>
          <w:color w:val="0A1F44"/>
          <w:sz w:val="24"/>
        </w:rPr>
        <w:t>4. Procter &amp; Gamble Delivers Long-Awaited Volume Breakout</w:t>
      </w:r>
    </w:p>
    <w:p>
      <w:r>
        <w:rPr>
          <w:sz w:val="22"/>
        </w:rPr>
        <w:t>P&amp;G's fiscal third-quarter print is the most important consumer-staples read of the season. EPS of $1.59 adjusted beat the $1.56 estimate; revenue of $21.24 billion beat $20.50 billion expected. The line that matters: total volume grew 2%, ending four straight quarters of volume declines. For the entire staples complex — KO, CL, CHD, KMB, EL — volume has been the single greatest overhang, as price-led revenue growth ran out of road.</w:t>
      </w:r>
    </w:p>
    <w:p>
      <w:r>
        <w:rPr>
          <w:sz w:val="22"/>
        </w:rPr>
        <w:t>P&amp;G raised the lower end of its full-year organic sales guidance to 2–4% from 1–3%, and shares are up about 4% pre-market. The ripple effects should lift Colgate-Palmolive (reporting this morning before the open), Church &amp; Dwight, and Kimberly-Clark. Broader implication: if even one of the price-elasticity canaries is recovering, the Fed's disinflation path is not as linear as it was three months ago. Watch XLP relative to SPY; staples have been a relative laggard and could finally catch a bid.</w:t>
      </w:r>
    </w:p>
    <w:p>
      <w:r>
        <w:rPr>
          <w:b/>
          <w:color w:val="0A1F44"/>
          <w:sz w:val="24"/>
        </w:rPr>
        <w:t>5. Treasury Long End Cracks as Inflation Expectations Re-Rate</w:t>
      </w:r>
    </w:p>
    <w:p>
      <w:r>
        <w:rPr>
          <w:sz w:val="22"/>
        </w:rPr>
        <w:t>The 30-year Treasury yield closed at 4.92% on Thursday, within a whisker of the 5% psychological level that cracked equity sentiment last autumn. The move — up five basis points yesterday and 23 basis points over the past two weeks — is being driven almost entirely by the term premium, not by rate-cut repricing. The 2-year yield at 3.79% has barely moved. This is a classic bear-steepener, and historically a poor setup for long-duration equity.</w:t>
      </w:r>
    </w:p>
    <w:p>
      <w:r>
        <w:rPr>
          <w:sz w:val="22"/>
        </w:rPr>
        <w:t>The MOVE index, which measures Treasury volatility, has climbed to 98 from 82 at month-start. Dealers point to two proximate causes: rising oil-driven inflation expectations, and growing concern about fiscal deficits as the administration telegraphs new tariff-revenue spending programs. Next week's $69 billion 2-year, $70 billion 5-year, and $44 billion 7-year auctions will be closely watched. A sloppy long-end auction is the single most likely catalyst for a 3–5% equity drawdown into the FOMC.</w:t>
      </w:r>
    </w:p>
    <w:p>
      <w:r>
        <w:rPr>
          <w:b/>
          <w:color w:val="0A1F44"/>
          <w:sz w:val="24"/>
        </w:rPr>
        <w:t>6. China Q1 GDP Surprises, But Stimulus Off the Table</w:t>
      </w:r>
    </w:p>
    <w:p>
      <w:r>
        <w:rPr>
          <w:sz w:val="22"/>
        </w:rPr>
        <w:t>China reported Q1 GDP growth of 5.0% year-over-year, accelerating from 4.5% in Q4 and beating the 4.8% consensus — the fastest rate in three quarters. Exports remained the primary driver, with AI-related global demand offsetting continued property-sector drag. The People's Bank of China left benchmark lending rates unchanged for the 11th consecutive month, confirming a policy stance that prioritizes yuan stability and financial-system discipline over short-term stimulus.</w:t>
      </w:r>
    </w:p>
    <w:p>
      <w:r>
        <w:rPr>
          <w:sz w:val="22"/>
        </w:rPr>
        <w:t>For U.S. investors, the read-through is mixed. Strong China growth supports the commodity-linked trade (copper, iron ore, LNG demand) and helps multinational industrials like Caterpillar and Deere. But the absence of stimulus limits upside for the China-consumer names — Apple, LVMH, Estée Lauder — whose thesis has required a Beijing-driven consumption recovery that keeps failing to materialize. FXI and KWEB are underperforming EFA by 200 basis points year-to-date despite the GDP beat.</w:t>
      </w:r>
    </w:p>
    <w:p>
      <w:pPr>
        <w:pBdr>
          <w:bottom w:val="single" w:sz="8" w:color="0A1F44"/>
        </w:pBdr>
      </w:pPr>
      <w:r>
        <w:rPr>
          <w:b/>
          <w:color w:val="0A1F44"/>
          <w:sz w:val="28"/>
        </w:rPr>
        <w:t>MACRO &amp; FED WATCH</w:t>
      </w:r>
    </w:p>
    <w:p>
      <w:r>
        <w:rPr>
          <w:sz w:val="22"/>
        </w:rPr>
        <w:t>The Federal Reserve meets next Tuesday and Wednesday (April 28–29) for what is shaping up to be the most consequential FOMC since March. Futures markets price a 99.4% probability of no change to the 3.50%–3.75% target range, and Chair Powell is all but certain to hold. The action is in the dot plot and, more importantly, the press conference. As of Thursday's close, Fed funds futures imply just 11 basis points of cuts for full-year 2026 — down from 42 basis points priced at the start of April, and 75 basis points at year-start. The December meeting is the only one with a non-trivial cut probability, and even there the market assigns just 26% to a 25 basis-point move.</w:t>
      </w:r>
    </w:p>
    <w:p>
      <w:r>
        <w:rPr>
          <w:sz w:val="22"/>
        </w:rPr>
        <w:t>The driver is inflation. March CPI surprised hot at 3.3% year-over-year, up from 2.4% in February, with energy the dominant contributor. The Cleveland Fed's Nowcast is tracking April headline CPI at 3.5% and core at 3.1% — well above the Fed's 2% target, and rising. The Michigan sentiment survey out today, with its early April preliminary crash to 47.6 (a historic low), will be closely parsed for inflation expectations: the five-year measure jumped to 4.1% in the preliminary, the highest since 1993. A confirmation of that figure would make a June cut functionally impossible and push the cycle's next easing into Q4 at earliest.</w:t>
      </w:r>
    </w:p>
    <w:p>
      <w:r>
        <w:rPr>
          <w:sz w:val="22"/>
        </w:rPr>
        <w:t>The yield curve is telling a nuanced story. The 2s10s has re-steepened to +51 basis points from inverted territory in early 2025, suggesting the market expects the Fed to eventually cut — but not soon, and not by much. Credit spreads remain benign (IG 62 bps, HY 341 bps), which is the single most important signal that recession risk is not being priced. Watch Powell's press conference Wednesday for any language change around "sufficiently restrictive" — a downgrade to "modestly restrictive" would effectively close the door on 2026 cuts entirely.</w:t>
      </w:r>
    </w:p>
    <w:p>
      <w:pPr>
        <w:pBdr>
          <w:bottom w:val="single" w:sz="8" w:color="0A1F44"/>
        </w:pBdr>
      </w:pPr>
      <w:r>
        <w:rPr>
          <w:b/>
          <w:color w:val="0A1F44"/>
          <w:sz w:val="28"/>
        </w:rPr>
        <w:t>ECONOMIC CALENDAR — TODAY</w:t>
      </w:r>
    </w:p>
    <w:tbl>
      <w:tblPr>
        <w:tblW w:type="auto" w:w="0"/>
        <w:tblLayout w:type="fixed"/>
        <w:tblLook w:firstColumn="1" w:firstRow="1" w:lastColumn="0" w:lastRow="0" w:noHBand="0" w:noVBand="1" w:val="04A0"/>
      </w:tblPr>
      <w:tblGrid>
        <w:gridCol w:w="1930"/>
        <w:gridCol w:w="1930"/>
        <w:gridCol w:w="1930"/>
        <w:gridCol w:w="1930"/>
        <w:gridCol w:w="1930"/>
      </w:tblGrid>
      <w:tr>
        <w:tc>
          <w:tcPr>
            <w:tcW w:type="dxa" w:w="1440"/>
            <w:shd w:val="clear" w:color="auto" w:fill="0A1F44"/>
            <w:tcBorders>
              <w:top w:val="single" w:sz="4" w:color="BFBFBF"/>
              <w:left w:val="single" w:sz="4" w:color="BFBFBF"/>
              <w:bottom w:val="single" w:sz="4" w:color="BFBFBF"/>
              <w:right w:val="single" w:sz="4" w:color="BFBFBF"/>
            </w:tcBorders>
          </w:tcPr>
          <w:p>
            <w:r/>
            <w:r>
              <w:rPr>
                <w:b/>
                <w:color w:val="FFFFFF"/>
                <w:sz w:val="20"/>
              </w:rPr>
              <w:t>Time</w:t>
            </w:r>
          </w:p>
        </w:tc>
        <w:tc>
          <w:tcPr>
            <w:tcW w:type="dxa" w:w="3312"/>
            <w:shd w:val="clear" w:color="auto" w:fill="0A1F44"/>
            <w:tcBorders>
              <w:top w:val="single" w:sz="4" w:color="BFBFBF"/>
              <w:left w:val="single" w:sz="4" w:color="BFBFBF"/>
              <w:bottom w:val="single" w:sz="4" w:color="BFBFBF"/>
              <w:right w:val="single" w:sz="4" w:color="BFBFBF"/>
            </w:tcBorders>
          </w:tcPr>
          <w:p>
            <w:r/>
            <w:r>
              <w:rPr>
                <w:b/>
                <w:color w:val="FFFFFF"/>
                <w:sz w:val="20"/>
              </w:rPr>
              <w:t>Release</w:t>
            </w:r>
          </w:p>
        </w:tc>
        <w:tc>
          <w:tcPr>
            <w:tcW w:type="dxa" w:w="1440"/>
            <w:shd w:val="clear" w:color="auto" w:fill="0A1F44"/>
            <w:tcBorders>
              <w:top w:val="single" w:sz="4" w:color="BFBFBF"/>
              <w:left w:val="single" w:sz="4" w:color="BFBFBF"/>
              <w:bottom w:val="single" w:sz="4" w:color="BFBFBF"/>
              <w:right w:val="single" w:sz="4" w:color="BFBFBF"/>
            </w:tcBorders>
          </w:tcPr>
          <w:p>
            <w:r/>
            <w:r>
              <w:rPr>
                <w:b/>
                <w:color w:val="FFFFFF"/>
                <w:sz w:val="20"/>
              </w:rPr>
              <w:t>Prior</w:t>
            </w:r>
          </w:p>
        </w:tc>
        <w:tc>
          <w:tcPr>
            <w:tcW w:type="dxa" w:w="1296"/>
            <w:shd w:val="clear" w:color="auto" w:fill="0A1F44"/>
            <w:tcBorders>
              <w:top w:val="single" w:sz="4" w:color="BFBFBF"/>
              <w:left w:val="single" w:sz="4" w:color="BFBFBF"/>
              <w:bottom w:val="single" w:sz="4" w:color="BFBFBF"/>
              <w:right w:val="single" w:sz="4" w:color="BFBFBF"/>
            </w:tcBorders>
          </w:tcPr>
          <w:p>
            <w:r/>
            <w:r>
              <w:rPr>
                <w:b/>
                <w:color w:val="FFFFFF"/>
                <w:sz w:val="20"/>
              </w:rPr>
              <w:t>Consensus</w:t>
            </w:r>
          </w:p>
        </w:tc>
        <w:tc>
          <w:tcPr>
            <w:tcW w:type="dxa" w:w="3168"/>
            <w:shd w:val="clear" w:color="auto" w:fill="0A1F44"/>
            <w:tcBorders>
              <w:top w:val="single" w:sz="4" w:color="BFBFBF"/>
              <w:left w:val="single" w:sz="4" w:color="BFBFBF"/>
              <w:bottom w:val="single" w:sz="4" w:color="BFBFBF"/>
              <w:right w:val="single" w:sz="4" w:color="BFBFBF"/>
            </w:tcBorders>
          </w:tcPr>
          <w:p>
            <w:r/>
            <w:r>
              <w:rPr>
                <w:b/>
                <w:color w:val="FFFFFF"/>
                <w:sz w:val="20"/>
              </w:rPr>
              <w:t>Why It Matters</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8:30 a.m. ET</w:t>
            </w:r>
          </w:p>
        </w:tc>
        <w:tc>
          <w:tcPr>
            <w:tcW w:type="dxa" w:w="3312"/>
            <w:shd w:val="clear" w:color="auto" w:fill="FFFFFF"/>
            <w:tcBorders>
              <w:top w:val="single" w:sz="4" w:color="BFBFBF"/>
              <w:left w:val="single" w:sz="4" w:color="BFBFBF"/>
              <w:bottom w:val="single" w:sz="4" w:color="BFBFBF"/>
              <w:right w:val="single" w:sz="4" w:color="BFBFBF"/>
            </w:tcBorders>
          </w:tcPr>
          <w:p>
            <w:r/>
            <w:r>
              <w:rPr>
                <w:sz w:val="20"/>
              </w:rPr>
              <w:t>Durable Goods Orders (Mar)</w:t>
            </w:r>
          </w:p>
        </w:tc>
        <w:tc>
          <w:tcPr>
            <w:tcW w:type="dxa" w:w="1440"/>
            <w:shd w:val="clear" w:color="auto" w:fill="FFFFFF"/>
            <w:tcBorders>
              <w:top w:val="single" w:sz="4" w:color="BFBFBF"/>
              <w:left w:val="single" w:sz="4" w:color="BFBFBF"/>
              <w:bottom w:val="single" w:sz="4" w:color="BFBFBF"/>
              <w:right w:val="single" w:sz="4" w:color="BFBFBF"/>
            </w:tcBorders>
          </w:tcPr>
          <w:p>
            <w:r/>
            <w:r>
              <w:rPr>
                <w:sz w:val="20"/>
              </w:rPr>
              <w:t>-6.3%</w:t>
            </w:r>
          </w:p>
        </w:tc>
        <w:tc>
          <w:tcPr>
            <w:tcW w:type="dxa" w:w="1296"/>
            <w:shd w:val="clear" w:color="auto" w:fill="FFFFFF"/>
            <w:tcBorders>
              <w:top w:val="single" w:sz="4" w:color="BFBFBF"/>
              <w:left w:val="single" w:sz="4" w:color="BFBFBF"/>
              <w:bottom w:val="single" w:sz="4" w:color="BFBFBF"/>
              <w:right w:val="single" w:sz="4" w:color="BFBFBF"/>
            </w:tcBorders>
          </w:tcPr>
          <w:p>
            <w:r/>
            <w:r>
              <w:rPr>
                <w:sz w:val="20"/>
              </w:rPr>
              <w:t>+2.0%</w:t>
            </w:r>
          </w:p>
        </w:tc>
        <w:tc>
          <w:tcPr>
            <w:tcW w:type="dxa" w:w="3168"/>
            <w:shd w:val="clear" w:color="auto" w:fill="FFFFFF"/>
            <w:tcBorders>
              <w:top w:val="single" w:sz="4" w:color="BFBFBF"/>
              <w:left w:val="single" w:sz="4" w:color="BFBFBF"/>
              <w:bottom w:val="single" w:sz="4" w:color="BFBFBF"/>
              <w:right w:val="single" w:sz="4" w:color="BFBFBF"/>
            </w:tcBorders>
          </w:tcPr>
          <w:p>
            <w:r/>
            <w:r>
              <w:rPr>
                <w:sz w:val="20"/>
              </w:rPr>
              <w:t>Aircraft-driven bounce; core critical</w:t>
            </w:r>
          </w:p>
        </w:tc>
      </w:tr>
      <w:tr>
        <w:tc>
          <w:tcPr>
            <w:tcW w:type="dxa" w:w="1440"/>
            <w:shd w:val="clear" w:color="auto" w:fill="F5F5F5"/>
            <w:tcBorders>
              <w:top w:val="single" w:sz="4" w:color="BFBFBF"/>
              <w:left w:val="single" w:sz="4" w:color="BFBFBF"/>
              <w:bottom w:val="single" w:sz="4" w:color="BFBFBF"/>
              <w:right w:val="single" w:sz="4" w:color="BFBFBF"/>
            </w:tcBorders>
          </w:tcPr>
          <w:p>
            <w:r/>
            <w:r>
              <w:rPr>
                <w:sz w:val="20"/>
              </w:rPr>
              <w:t>8:30 a.m. ET</w:t>
            </w:r>
          </w:p>
        </w:tc>
        <w:tc>
          <w:tcPr>
            <w:tcW w:type="dxa" w:w="3312"/>
            <w:shd w:val="clear" w:color="auto" w:fill="F5F5F5"/>
            <w:tcBorders>
              <w:top w:val="single" w:sz="4" w:color="BFBFBF"/>
              <w:left w:val="single" w:sz="4" w:color="BFBFBF"/>
              <w:bottom w:val="single" w:sz="4" w:color="BFBFBF"/>
              <w:right w:val="single" w:sz="4" w:color="BFBFBF"/>
            </w:tcBorders>
          </w:tcPr>
          <w:p>
            <w:r/>
            <w:r>
              <w:rPr>
                <w:sz w:val="20"/>
              </w:rPr>
              <w:t>Core Durable Goods ex-Transport</w:t>
            </w:r>
          </w:p>
        </w:tc>
        <w:tc>
          <w:tcPr>
            <w:tcW w:type="dxa" w:w="1440"/>
            <w:shd w:val="clear" w:color="auto" w:fill="F5F5F5"/>
            <w:tcBorders>
              <w:top w:val="single" w:sz="4" w:color="BFBFBF"/>
              <w:left w:val="single" w:sz="4" w:color="BFBFBF"/>
              <w:bottom w:val="single" w:sz="4" w:color="BFBFBF"/>
              <w:right w:val="single" w:sz="4" w:color="BFBFBF"/>
            </w:tcBorders>
          </w:tcPr>
          <w:p>
            <w:r/>
            <w:r>
              <w:rPr>
                <w:sz w:val="20"/>
              </w:rPr>
              <w:t>+0.4%</w:t>
            </w:r>
          </w:p>
        </w:tc>
        <w:tc>
          <w:tcPr>
            <w:tcW w:type="dxa" w:w="1296"/>
            <w:shd w:val="clear" w:color="auto" w:fill="F5F5F5"/>
            <w:tcBorders>
              <w:top w:val="single" w:sz="4" w:color="BFBFBF"/>
              <w:left w:val="single" w:sz="4" w:color="BFBFBF"/>
              <w:bottom w:val="single" w:sz="4" w:color="BFBFBF"/>
              <w:right w:val="single" w:sz="4" w:color="BFBFBF"/>
            </w:tcBorders>
          </w:tcPr>
          <w:p>
            <w:r/>
            <w:r>
              <w:rPr>
                <w:sz w:val="20"/>
              </w:rPr>
              <w:t>+0.2%</w:t>
            </w:r>
          </w:p>
        </w:tc>
        <w:tc>
          <w:tcPr>
            <w:tcW w:type="dxa" w:w="3168"/>
            <w:shd w:val="clear" w:color="auto" w:fill="F5F5F5"/>
            <w:tcBorders>
              <w:top w:val="single" w:sz="4" w:color="BFBFBF"/>
              <w:left w:val="single" w:sz="4" w:color="BFBFBF"/>
              <w:bottom w:val="single" w:sz="4" w:color="BFBFBF"/>
              <w:right w:val="single" w:sz="4" w:color="BFBFBF"/>
            </w:tcBorders>
          </w:tcPr>
          <w:p>
            <w:r/>
            <w:r>
              <w:rPr>
                <w:sz w:val="20"/>
              </w:rPr>
              <w:t>Capex proxy — watch business investment</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8:30 a.m. ET</w:t>
            </w:r>
          </w:p>
        </w:tc>
        <w:tc>
          <w:tcPr>
            <w:tcW w:type="dxa" w:w="3312"/>
            <w:shd w:val="clear" w:color="auto" w:fill="FFFFFF"/>
            <w:tcBorders>
              <w:top w:val="single" w:sz="4" w:color="BFBFBF"/>
              <w:left w:val="single" w:sz="4" w:color="BFBFBF"/>
              <w:bottom w:val="single" w:sz="4" w:color="BFBFBF"/>
              <w:right w:val="single" w:sz="4" w:color="BFBFBF"/>
            </w:tcBorders>
          </w:tcPr>
          <w:p>
            <w:r/>
            <w:r>
              <w:rPr>
                <w:sz w:val="20"/>
              </w:rPr>
              <w:t>Core Capital Goods Orders</w:t>
            </w:r>
          </w:p>
        </w:tc>
        <w:tc>
          <w:tcPr>
            <w:tcW w:type="dxa" w:w="1440"/>
            <w:shd w:val="clear" w:color="auto" w:fill="FFFFFF"/>
            <w:tcBorders>
              <w:top w:val="single" w:sz="4" w:color="BFBFBF"/>
              <w:left w:val="single" w:sz="4" w:color="BFBFBF"/>
              <w:bottom w:val="single" w:sz="4" w:color="BFBFBF"/>
              <w:right w:val="single" w:sz="4" w:color="BFBFBF"/>
            </w:tcBorders>
          </w:tcPr>
          <w:p>
            <w:r/>
            <w:r>
              <w:rPr>
                <w:sz w:val="20"/>
              </w:rPr>
              <w:t>-0.1%</w:t>
            </w:r>
          </w:p>
        </w:tc>
        <w:tc>
          <w:tcPr>
            <w:tcW w:type="dxa" w:w="1296"/>
            <w:shd w:val="clear" w:color="auto" w:fill="FFFFFF"/>
            <w:tcBorders>
              <w:top w:val="single" w:sz="4" w:color="BFBFBF"/>
              <w:left w:val="single" w:sz="4" w:color="BFBFBF"/>
              <w:bottom w:val="single" w:sz="4" w:color="BFBFBF"/>
              <w:right w:val="single" w:sz="4" w:color="BFBFBF"/>
            </w:tcBorders>
          </w:tcPr>
          <w:p>
            <w:r/>
            <w:r>
              <w:rPr>
                <w:sz w:val="20"/>
              </w:rPr>
              <w:t>+0.2%</w:t>
            </w:r>
          </w:p>
        </w:tc>
        <w:tc>
          <w:tcPr>
            <w:tcW w:type="dxa" w:w="3168"/>
            <w:shd w:val="clear" w:color="auto" w:fill="FFFFFF"/>
            <w:tcBorders>
              <w:top w:val="single" w:sz="4" w:color="BFBFBF"/>
              <w:left w:val="single" w:sz="4" w:color="BFBFBF"/>
              <w:bottom w:val="single" w:sz="4" w:color="BFBFBF"/>
              <w:right w:val="single" w:sz="4" w:color="BFBFBF"/>
            </w:tcBorders>
          </w:tcPr>
          <w:p>
            <w:r/>
            <w:r>
              <w:rPr>
                <w:sz w:val="20"/>
              </w:rPr>
              <w:t>Best real-time capex signal</w:t>
            </w:r>
          </w:p>
        </w:tc>
      </w:tr>
      <w:tr>
        <w:tc>
          <w:tcPr>
            <w:tcW w:type="dxa" w:w="1440"/>
            <w:shd w:val="clear" w:color="auto" w:fill="F5F5F5"/>
            <w:tcBorders>
              <w:top w:val="single" w:sz="4" w:color="BFBFBF"/>
              <w:left w:val="single" w:sz="4" w:color="BFBFBF"/>
              <w:bottom w:val="single" w:sz="4" w:color="BFBFBF"/>
              <w:right w:val="single" w:sz="4" w:color="BFBFBF"/>
            </w:tcBorders>
          </w:tcPr>
          <w:p>
            <w:r/>
            <w:r>
              <w:rPr>
                <w:sz w:val="20"/>
              </w:rPr>
              <w:t>10:00 a.m. ET</w:t>
            </w:r>
          </w:p>
        </w:tc>
        <w:tc>
          <w:tcPr>
            <w:tcW w:type="dxa" w:w="3312"/>
            <w:shd w:val="clear" w:color="auto" w:fill="F5F5F5"/>
            <w:tcBorders>
              <w:top w:val="single" w:sz="4" w:color="BFBFBF"/>
              <w:left w:val="single" w:sz="4" w:color="BFBFBF"/>
              <w:bottom w:val="single" w:sz="4" w:color="BFBFBF"/>
              <w:right w:val="single" w:sz="4" w:color="BFBFBF"/>
            </w:tcBorders>
          </w:tcPr>
          <w:p>
            <w:r/>
            <w:r>
              <w:rPr>
                <w:sz w:val="20"/>
              </w:rPr>
              <w:t>Michigan Sentiment (Apr Final)</w:t>
            </w:r>
          </w:p>
        </w:tc>
        <w:tc>
          <w:tcPr>
            <w:tcW w:type="dxa" w:w="1440"/>
            <w:shd w:val="clear" w:color="auto" w:fill="F5F5F5"/>
            <w:tcBorders>
              <w:top w:val="single" w:sz="4" w:color="BFBFBF"/>
              <w:left w:val="single" w:sz="4" w:color="BFBFBF"/>
              <w:bottom w:val="single" w:sz="4" w:color="BFBFBF"/>
              <w:right w:val="single" w:sz="4" w:color="BFBFBF"/>
            </w:tcBorders>
          </w:tcPr>
          <w:p>
            <w:r/>
            <w:r>
              <w:rPr>
                <w:sz w:val="20"/>
              </w:rPr>
              <w:t>47.6 (prelim)</w:t>
            </w:r>
          </w:p>
        </w:tc>
        <w:tc>
          <w:tcPr>
            <w:tcW w:type="dxa" w:w="1296"/>
            <w:shd w:val="clear" w:color="auto" w:fill="F5F5F5"/>
            <w:tcBorders>
              <w:top w:val="single" w:sz="4" w:color="BFBFBF"/>
              <w:left w:val="single" w:sz="4" w:color="BFBFBF"/>
              <w:bottom w:val="single" w:sz="4" w:color="BFBFBF"/>
              <w:right w:val="single" w:sz="4" w:color="BFBFBF"/>
            </w:tcBorders>
          </w:tcPr>
          <w:p>
            <w:r/>
            <w:r>
              <w:rPr>
                <w:sz w:val="20"/>
              </w:rPr>
              <w:t>48.0</w:t>
            </w:r>
          </w:p>
        </w:tc>
        <w:tc>
          <w:tcPr>
            <w:tcW w:type="dxa" w:w="3168"/>
            <w:shd w:val="clear" w:color="auto" w:fill="F5F5F5"/>
            <w:tcBorders>
              <w:top w:val="single" w:sz="4" w:color="BFBFBF"/>
              <w:left w:val="single" w:sz="4" w:color="BFBFBF"/>
              <w:bottom w:val="single" w:sz="4" w:color="BFBFBF"/>
              <w:right w:val="single" w:sz="4" w:color="BFBFBF"/>
            </w:tcBorders>
          </w:tcPr>
          <w:p>
            <w:r/>
            <w:r>
              <w:rPr>
                <w:sz w:val="20"/>
              </w:rPr>
              <w:t>Historic low; 5Y inflation expectation key</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10:00 a.m. ET</w:t>
            </w:r>
          </w:p>
        </w:tc>
        <w:tc>
          <w:tcPr>
            <w:tcW w:type="dxa" w:w="3312"/>
            <w:shd w:val="clear" w:color="auto" w:fill="FFFFFF"/>
            <w:tcBorders>
              <w:top w:val="single" w:sz="4" w:color="BFBFBF"/>
              <w:left w:val="single" w:sz="4" w:color="BFBFBF"/>
              <w:bottom w:val="single" w:sz="4" w:color="BFBFBF"/>
              <w:right w:val="single" w:sz="4" w:color="BFBFBF"/>
            </w:tcBorders>
          </w:tcPr>
          <w:p>
            <w:r/>
            <w:r>
              <w:rPr>
                <w:sz w:val="20"/>
              </w:rPr>
              <w:t>Michigan 1Y Inflation Expectations</w:t>
            </w:r>
          </w:p>
        </w:tc>
        <w:tc>
          <w:tcPr>
            <w:tcW w:type="dxa" w:w="1440"/>
            <w:shd w:val="clear" w:color="auto" w:fill="FFFFFF"/>
            <w:tcBorders>
              <w:top w:val="single" w:sz="4" w:color="BFBFBF"/>
              <w:left w:val="single" w:sz="4" w:color="BFBFBF"/>
              <w:bottom w:val="single" w:sz="4" w:color="BFBFBF"/>
              <w:right w:val="single" w:sz="4" w:color="BFBFBF"/>
            </w:tcBorders>
          </w:tcPr>
          <w:p>
            <w:r/>
            <w:r>
              <w:rPr>
                <w:sz w:val="20"/>
              </w:rPr>
              <w:t>6.7% (prelim)</w:t>
            </w:r>
          </w:p>
        </w:tc>
        <w:tc>
          <w:tcPr>
            <w:tcW w:type="dxa" w:w="1296"/>
            <w:shd w:val="clear" w:color="auto" w:fill="FFFFFF"/>
            <w:tcBorders>
              <w:top w:val="single" w:sz="4" w:color="BFBFBF"/>
              <w:left w:val="single" w:sz="4" w:color="BFBFBF"/>
              <w:bottom w:val="single" w:sz="4" w:color="BFBFBF"/>
              <w:right w:val="single" w:sz="4" w:color="BFBFBF"/>
            </w:tcBorders>
          </w:tcPr>
          <w:p>
            <w:r/>
            <w:r>
              <w:rPr>
                <w:sz w:val="20"/>
              </w:rPr>
              <w:t>6.5%</w:t>
            </w:r>
          </w:p>
        </w:tc>
        <w:tc>
          <w:tcPr>
            <w:tcW w:type="dxa" w:w="3168"/>
            <w:shd w:val="clear" w:color="auto" w:fill="FFFFFF"/>
            <w:tcBorders>
              <w:top w:val="single" w:sz="4" w:color="BFBFBF"/>
              <w:left w:val="single" w:sz="4" w:color="BFBFBF"/>
              <w:bottom w:val="single" w:sz="4" w:color="BFBFBF"/>
              <w:right w:val="single" w:sz="4" w:color="BFBFBF"/>
            </w:tcBorders>
          </w:tcPr>
          <w:p>
            <w:r/>
            <w:r>
              <w:rPr>
                <w:sz w:val="20"/>
              </w:rPr>
              <w:t>Highest since 1981 if confirmed</w:t>
            </w:r>
          </w:p>
        </w:tc>
      </w:tr>
      <w:tr>
        <w:tc>
          <w:tcPr>
            <w:tcW w:type="dxa" w:w="1440"/>
            <w:shd w:val="clear" w:color="auto" w:fill="F5F5F5"/>
            <w:tcBorders>
              <w:top w:val="single" w:sz="4" w:color="BFBFBF"/>
              <w:left w:val="single" w:sz="4" w:color="BFBFBF"/>
              <w:bottom w:val="single" w:sz="4" w:color="BFBFBF"/>
              <w:right w:val="single" w:sz="4" w:color="BFBFBF"/>
            </w:tcBorders>
          </w:tcPr>
          <w:p>
            <w:r/>
            <w:r>
              <w:rPr>
                <w:sz w:val="20"/>
              </w:rPr>
              <w:t>10:00 a.m. ET</w:t>
            </w:r>
          </w:p>
        </w:tc>
        <w:tc>
          <w:tcPr>
            <w:tcW w:type="dxa" w:w="3312"/>
            <w:shd w:val="clear" w:color="auto" w:fill="F5F5F5"/>
            <w:tcBorders>
              <w:top w:val="single" w:sz="4" w:color="BFBFBF"/>
              <w:left w:val="single" w:sz="4" w:color="BFBFBF"/>
              <w:bottom w:val="single" w:sz="4" w:color="BFBFBF"/>
              <w:right w:val="single" w:sz="4" w:color="BFBFBF"/>
            </w:tcBorders>
          </w:tcPr>
          <w:p>
            <w:r/>
            <w:r>
              <w:rPr>
                <w:sz w:val="20"/>
              </w:rPr>
              <w:t>Michigan 5Y Inflation Expectations</w:t>
            </w:r>
          </w:p>
        </w:tc>
        <w:tc>
          <w:tcPr>
            <w:tcW w:type="dxa" w:w="1440"/>
            <w:shd w:val="clear" w:color="auto" w:fill="F5F5F5"/>
            <w:tcBorders>
              <w:top w:val="single" w:sz="4" w:color="BFBFBF"/>
              <w:left w:val="single" w:sz="4" w:color="BFBFBF"/>
              <w:bottom w:val="single" w:sz="4" w:color="BFBFBF"/>
              <w:right w:val="single" w:sz="4" w:color="BFBFBF"/>
            </w:tcBorders>
          </w:tcPr>
          <w:p>
            <w:r/>
            <w:r>
              <w:rPr>
                <w:sz w:val="20"/>
              </w:rPr>
              <w:t>4.1% (prelim)</w:t>
            </w:r>
          </w:p>
        </w:tc>
        <w:tc>
          <w:tcPr>
            <w:tcW w:type="dxa" w:w="1296"/>
            <w:shd w:val="clear" w:color="auto" w:fill="F5F5F5"/>
            <w:tcBorders>
              <w:top w:val="single" w:sz="4" w:color="BFBFBF"/>
              <w:left w:val="single" w:sz="4" w:color="BFBFBF"/>
              <w:bottom w:val="single" w:sz="4" w:color="BFBFBF"/>
              <w:right w:val="single" w:sz="4" w:color="BFBFBF"/>
            </w:tcBorders>
          </w:tcPr>
          <w:p>
            <w:r/>
            <w:r>
              <w:rPr>
                <w:sz w:val="20"/>
              </w:rPr>
              <w:t>4.0%</w:t>
            </w:r>
          </w:p>
        </w:tc>
        <w:tc>
          <w:tcPr>
            <w:tcW w:type="dxa" w:w="3168"/>
            <w:shd w:val="clear" w:color="auto" w:fill="F5F5F5"/>
            <w:tcBorders>
              <w:top w:val="single" w:sz="4" w:color="BFBFBF"/>
              <w:left w:val="single" w:sz="4" w:color="BFBFBF"/>
              <w:bottom w:val="single" w:sz="4" w:color="BFBFBF"/>
              <w:right w:val="single" w:sz="4" w:color="BFBFBF"/>
            </w:tcBorders>
          </w:tcPr>
          <w:p>
            <w:r/>
            <w:r>
              <w:rPr>
                <w:sz w:val="20"/>
              </w:rPr>
              <w:t>Highest since 1993 — Fed watches closely</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1:00 p.m. ET</w:t>
            </w:r>
          </w:p>
        </w:tc>
        <w:tc>
          <w:tcPr>
            <w:tcW w:type="dxa" w:w="3312"/>
            <w:shd w:val="clear" w:color="auto" w:fill="FFFFFF"/>
            <w:tcBorders>
              <w:top w:val="single" w:sz="4" w:color="BFBFBF"/>
              <w:left w:val="single" w:sz="4" w:color="BFBFBF"/>
              <w:bottom w:val="single" w:sz="4" w:color="BFBFBF"/>
              <w:right w:val="single" w:sz="4" w:color="BFBFBF"/>
            </w:tcBorders>
          </w:tcPr>
          <w:p>
            <w:r/>
            <w:r>
              <w:rPr>
                <w:sz w:val="20"/>
              </w:rPr>
              <w:t>Baker Hughes U.S. Rig Count</w:t>
            </w:r>
          </w:p>
        </w:tc>
        <w:tc>
          <w:tcPr>
            <w:tcW w:type="dxa" w:w="1440"/>
            <w:shd w:val="clear" w:color="auto" w:fill="FFFFFF"/>
            <w:tcBorders>
              <w:top w:val="single" w:sz="4" w:color="BFBFBF"/>
              <w:left w:val="single" w:sz="4" w:color="BFBFBF"/>
              <w:bottom w:val="single" w:sz="4" w:color="BFBFBF"/>
              <w:right w:val="single" w:sz="4" w:color="BFBFBF"/>
            </w:tcBorders>
          </w:tcPr>
          <w:p>
            <w:r/>
            <w:r>
              <w:rPr>
                <w:sz w:val="20"/>
              </w:rPr>
              <w:t>589</w:t>
            </w:r>
          </w:p>
        </w:tc>
        <w:tc>
          <w:tcPr>
            <w:tcW w:type="dxa" w:w="1296"/>
            <w:shd w:val="clear" w:color="auto" w:fill="FFFFFF"/>
            <w:tcBorders>
              <w:top w:val="single" w:sz="4" w:color="BFBFBF"/>
              <w:left w:val="single" w:sz="4" w:color="BFBFBF"/>
              <w:bottom w:val="single" w:sz="4" w:color="BFBFBF"/>
              <w:right w:val="single" w:sz="4" w:color="BFBFBF"/>
            </w:tcBorders>
          </w:tcPr>
          <w:p>
            <w:r/>
            <w:r>
              <w:rPr>
                <w:sz w:val="20"/>
              </w:rPr>
              <w:t>—</w:t>
            </w:r>
          </w:p>
        </w:tc>
        <w:tc>
          <w:tcPr>
            <w:tcW w:type="dxa" w:w="3168"/>
            <w:shd w:val="clear" w:color="auto" w:fill="FFFFFF"/>
            <w:tcBorders>
              <w:top w:val="single" w:sz="4" w:color="BFBFBF"/>
              <w:left w:val="single" w:sz="4" w:color="BFBFBF"/>
              <w:bottom w:val="single" w:sz="4" w:color="BFBFBF"/>
              <w:right w:val="single" w:sz="4" w:color="BFBFBF"/>
            </w:tcBorders>
          </w:tcPr>
          <w:p>
            <w:r/>
            <w:r>
              <w:rPr>
                <w:sz w:val="20"/>
              </w:rPr>
              <w:t>Drilling response to $100+ oil</w:t>
            </w:r>
          </w:p>
        </w:tc>
      </w:tr>
    </w:tbl>
    <w:p>
      <w:pPr>
        <w:pBdr>
          <w:bottom w:val="single" w:sz="8" w:color="0A1F44"/>
        </w:pBdr>
      </w:pPr>
      <w:r>
        <w:rPr>
          <w:b/>
          <w:color w:val="0A1F44"/>
          <w:sz w:val="28"/>
        </w:rPr>
        <w:t>EARNINGS WATCH</w:t>
      </w:r>
    </w:p>
    <w:p>
      <w:r>
        <w:rPr>
          <w:sz w:val="22"/>
        </w:rPr>
        <w:t>Today's Friday tape is dominated by consumer staples and a handful of mid-cap industrials. Pre-market reports already out: Procter &amp; Gamble (PG) beat with EPS of $1.59 vs. $1.56 consensus and revenue of $21.24 billion vs. $20.50 billion, shares up 4% pre-market — volume grew 2%, the first positive print in four quarters. Colgate-Palmolive (CL) is expected to post EPS of $0.95 (up 4.4% YoY) on revenue near $5.1 billion; options imply a 3.2% move. AutoNation (AN) reports with estimates of $4.16 EPS; used-car commentary will be closely read as a consumer-health tell.</w:t>
      </w:r>
    </w:p>
    <w:p>
      <w:r>
        <w:rPr>
          <w:sz w:val="22"/>
        </w:rPr>
        <w:t>After-hours is quieter by design: reporting-season heavyweights fall Monday through Thursday next week. But the Thursday-after-close digest of Intel's blowout and Tesla's solid Tuesday beat ($0.41 EPS vs. $0.37; revenue $22.39 billion vs. $21.92 billion; gross margin 21.1% up 478 basis points year-over-year) has reset expectations for the Magnificent 7 reports coming Wednesday.</w:t>
      </w:r>
    </w:p>
    <w:p>
      <w:r>
        <w:rPr>
          <w:sz w:val="22"/>
        </w:rPr>
        <w:t>The season-to-date setup is constructive. With roughly 10% of S&amp;P 500 companies reported, blended earnings growth is tracking 13.2% year-over-year — on pace for a sixth consecutive quarter of double-digit growth. 88% of reporters have beaten EPS estimates, well above the 78% five-year average. Information Technology leads with estimated +45% growth; Materials +24%; Financials +15%. Healthcare drags at -9.8%, largely a Merck one-time acquisition charge. The Magnificent 7's estimated +22.8% earnings growth is still materially ahead of the other 493 names' +10.1% — the narrowness that defined 2024–25 is intact, for now.</w:t>
      </w:r>
    </w:p>
    <w:p>
      <w:pPr>
        <w:pBdr>
          <w:bottom w:val="single" w:sz="8" w:color="0A1F44"/>
        </w:pBdr>
      </w:pPr>
      <w:r>
        <w:rPr>
          <w:b/>
          <w:color w:val="0A1F44"/>
          <w:sz w:val="28"/>
        </w:rPr>
        <w:t>SECTOR SPOTLIGHT</w:t>
      </w:r>
    </w:p>
    <w:p>
      <w:r>
        <w:rPr>
          <w:sz w:val="22"/>
        </w:rPr>
        <w:t>Two sectors warrant close attention today. First, Semiconductors. Intel's 30% pre-market move is a genuine regime change: the market is being forced to re-rate the idea that AI-CPU demand is a one-name Nvidia story. Expect SMH and SOX to open up 2–3%, with potential follow-through in AMD (the near-term share-donor), Broadcom, and Marvell. The short interest in INTC — 6.2% of float entering the print — adds fuel; a full unwind could add another 4–6% to the move by the close.</w:t>
      </w:r>
    </w:p>
    <w:p>
      <w:r>
        <w:rPr>
          <w:sz w:val="22"/>
        </w:rPr>
        <w:t>Second, Consumer Staples. P&amp;G's volume breakout is the most-watched event in this sector since 2022. Staples have been the worst-performing S&amp;P sector year-to-date (-1.8% vs. SPX +6.4%) on fears that price-elasticity-at-last would force guidance cuts. A clean 2% volume print at P&amp;G refutes that thesis. XLP has notable relative-strength coiling: a close above $82.50 opens a path to $86 into summer. Names with the most operating leverage to volume recovery: KMB, CHD, CL, and EL (which has been particularly battered).</w:t>
      </w:r>
    </w:p>
    <w:p>
      <w:pPr>
        <w:pBdr>
          <w:bottom w:val="single" w:sz="8" w:color="0A1F44"/>
        </w:pBdr>
      </w:pPr>
      <w:r>
        <w:rPr>
          <w:b/>
          <w:color w:val="0A1F44"/>
          <w:sz w:val="28"/>
        </w:rPr>
        <w:t>ANALYST CALLS &amp; UPGRADES / DOWNGRADES</w:t>
      </w:r>
    </w:p>
    <w:tbl>
      <w:tblPr>
        <w:tblW w:type="auto" w:w="0"/>
        <w:tblLayout w:type="fixed"/>
        <w:tblLook w:firstColumn="1" w:firstRow="1" w:lastColumn="0" w:lastRow="0" w:noHBand="0" w:noVBand="1" w:val="04A0"/>
      </w:tblPr>
      <w:tblGrid>
        <w:gridCol w:w="1930"/>
        <w:gridCol w:w="1930"/>
        <w:gridCol w:w="1930"/>
        <w:gridCol w:w="1930"/>
        <w:gridCol w:w="1930"/>
      </w:tblGrid>
      <w:tr>
        <w:tc>
          <w:tcPr>
            <w:tcW w:type="dxa" w:w="1440"/>
            <w:shd w:val="clear" w:color="auto" w:fill="0A1F44"/>
            <w:tcBorders>
              <w:top w:val="single" w:sz="4" w:color="BFBFBF"/>
              <w:left w:val="single" w:sz="4" w:color="BFBFBF"/>
              <w:bottom w:val="single" w:sz="4" w:color="BFBFBF"/>
              <w:right w:val="single" w:sz="4" w:color="BFBFBF"/>
            </w:tcBorders>
          </w:tcPr>
          <w:p>
            <w:r/>
            <w:r>
              <w:rPr>
                <w:b/>
                <w:color w:val="FFFFFF"/>
                <w:sz w:val="20"/>
              </w:rPr>
              <w:t>Firm</w:t>
            </w:r>
          </w:p>
        </w:tc>
        <w:tc>
          <w:tcPr>
            <w:tcW w:type="dxa" w:w="2736"/>
            <w:shd w:val="clear" w:color="auto" w:fill="0A1F44"/>
            <w:tcBorders>
              <w:top w:val="single" w:sz="4" w:color="BFBFBF"/>
              <w:left w:val="single" w:sz="4" w:color="BFBFBF"/>
              <w:bottom w:val="single" w:sz="4" w:color="BFBFBF"/>
              <w:right w:val="single" w:sz="4" w:color="BFBFBF"/>
            </w:tcBorders>
          </w:tcPr>
          <w:p>
            <w:r/>
            <w:r>
              <w:rPr>
                <w:b/>
                <w:color w:val="FFFFFF"/>
                <w:sz w:val="20"/>
              </w:rPr>
              <w:t>Stock</w:t>
            </w:r>
          </w:p>
        </w:tc>
        <w:tc>
          <w:tcPr>
            <w:tcW w:type="dxa" w:w="2016"/>
            <w:shd w:val="clear" w:color="auto" w:fill="0A1F44"/>
            <w:tcBorders>
              <w:top w:val="single" w:sz="4" w:color="BFBFBF"/>
              <w:left w:val="single" w:sz="4" w:color="BFBFBF"/>
              <w:bottom w:val="single" w:sz="4" w:color="BFBFBF"/>
              <w:right w:val="single" w:sz="4" w:color="BFBFBF"/>
            </w:tcBorders>
          </w:tcPr>
          <w:p>
            <w:r/>
            <w:r>
              <w:rPr>
                <w:b/>
                <w:color w:val="FFFFFF"/>
                <w:sz w:val="20"/>
              </w:rPr>
              <w:t>Action</w:t>
            </w:r>
          </w:p>
        </w:tc>
        <w:tc>
          <w:tcPr>
            <w:tcW w:type="dxa" w:w="2160"/>
            <w:shd w:val="clear" w:color="auto" w:fill="0A1F44"/>
            <w:tcBorders>
              <w:top w:val="single" w:sz="4" w:color="BFBFBF"/>
              <w:left w:val="single" w:sz="4" w:color="BFBFBF"/>
              <w:bottom w:val="single" w:sz="4" w:color="BFBFBF"/>
              <w:right w:val="single" w:sz="4" w:color="BFBFBF"/>
            </w:tcBorders>
          </w:tcPr>
          <w:p>
            <w:r/>
            <w:r>
              <w:rPr>
                <w:b/>
                <w:color w:val="FFFFFF"/>
                <w:sz w:val="20"/>
              </w:rPr>
              <w:t>Price Target</w:t>
            </w:r>
          </w:p>
        </w:tc>
        <w:tc>
          <w:tcPr>
            <w:tcW w:type="dxa" w:w="2304"/>
            <w:shd w:val="clear" w:color="auto" w:fill="0A1F44"/>
            <w:tcBorders>
              <w:top w:val="single" w:sz="4" w:color="BFBFBF"/>
              <w:left w:val="single" w:sz="4" w:color="BFBFBF"/>
              <w:bottom w:val="single" w:sz="4" w:color="BFBFBF"/>
              <w:right w:val="single" w:sz="4" w:color="BFBFBF"/>
            </w:tcBorders>
          </w:tcPr>
          <w:p>
            <w:r/>
            <w:r>
              <w:rPr>
                <w:b/>
                <w:color w:val="FFFFFF"/>
                <w:sz w:val="20"/>
              </w:rPr>
              <w:t>Rationale</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BofA</w:t>
            </w:r>
          </w:p>
        </w:tc>
        <w:tc>
          <w:tcPr>
            <w:tcW w:type="dxa" w:w="2736"/>
            <w:shd w:val="clear" w:color="auto" w:fill="FFFFFF"/>
            <w:tcBorders>
              <w:top w:val="single" w:sz="4" w:color="BFBFBF"/>
              <w:left w:val="single" w:sz="4" w:color="BFBFBF"/>
              <w:bottom w:val="single" w:sz="4" w:color="BFBFBF"/>
              <w:right w:val="single" w:sz="4" w:color="BFBFBF"/>
            </w:tcBorders>
          </w:tcPr>
          <w:p>
            <w:r/>
            <w:r>
              <w:rPr>
                <w:sz w:val="20"/>
              </w:rPr>
              <w:t>Texas Instruments (TXN)</w:t>
            </w:r>
          </w:p>
        </w:tc>
        <w:tc>
          <w:tcPr>
            <w:tcW w:type="dxa" w:w="2016"/>
            <w:shd w:val="clear" w:color="auto" w:fill="FFFFFF"/>
            <w:tcBorders>
              <w:top w:val="single" w:sz="4" w:color="BFBFBF"/>
              <w:left w:val="single" w:sz="4" w:color="BFBFBF"/>
              <w:bottom w:val="single" w:sz="4" w:color="BFBFBF"/>
              <w:right w:val="single" w:sz="4" w:color="BFBFBF"/>
            </w:tcBorders>
          </w:tcPr>
          <w:p>
            <w:r/>
            <w:r>
              <w:rPr>
                <w:sz w:val="20"/>
              </w:rPr>
              <w:t>Upgrade Buy</w:t>
            </w:r>
          </w:p>
        </w:tc>
        <w:tc>
          <w:tcPr>
            <w:tcW w:type="dxa" w:w="2160"/>
            <w:shd w:val="clear" w:color="auto" w:fill="FFFFFF"/>
            <w:tcBorders>
              <w:top w:val="single" w:sz="4" w:color="BFBFBF"/>
              <w:left w:val="single" w:sz="4" w:color="BFBFBF"/>
              <w:bottom w:val="single" w:sz="4" w:color="BFBFBF"/>
              <w:right w:val="single" w:sz="4" w:color="BFBFBF"/>
            </w:tcBorders>
          </w:tcPr>
          <w:p>
            <w:r/>
            <w:r>
              <w:rPr>
                <w:sz w:val="20"/>
              </w:rPr>
              <w:t>$320 (from $235)</w:t>
            </w:r>
          </w:p>
        </w:tc>
        <w:tc>
          <w:tcPr>
            <w:tcW w:type="dxa" w:w="2304"/>
            <w:shd w:val="clear" w:color="auto" w:fill="FFFFFF"/>
            <w:tcBorders>
              <w:top w:val="single" w:sz="4" w:color="BFBFBF"/>
              <w:left w:val="single" w:sz="4" w:color="BFBFBF"/>
              <w:bottom w:val="single" w:sz="4" w:color="BFBFBF"/>
              <w:right w:val="single" w:sz="4" w:color="BFBFBF"/>
            </w:tcBorders>
          </w:tcPr>
          <w:p>
            <w:r/>
            <w:r>
              <w:rPr>
                <w:sz w:val="20"/>
              </w:rPr>
              <w:t>AI-edge cycle underappreciated</w:t>
            </w:r>
          </w:p>
        </w:tc>
      </w:tr>
      <w:tr>
        <w:tc>
          <w:tcPr>
            <w:tcW w:type="dxa" w:w="1440"/>
            <w:shd w:val="clear" w:color="auto" w:fill="F5F5F5"/>
            <w:tcBorders>
              <w:top w:val="single" w:sz="4" w:color="BFBFBF"/>
              <w:left w:val="single" w:sz="4" w:color="BFBFBF"/>
              <w:bottom w:val="single" w:sz="4" w:color="BFBFBF"/>
              <w:right w:val="single" w:sz="4" w:color="BFBFBF"/>
            </w:tcBorders>
          </w:tcPr>
          <w:p>
            <w:r/>
            <w:r>
              <w:rPr>
                <w:sz w:val="20"/>
              </w:rPr>
              <w:t>BMO</w:t>
            </w:r>
          </w:p>
        </w:tc>
        <w:tc>
          <w:tcPr>
            <w:tcW w:type="dxa" w:w="2736"/>
            <w:shd w:val="clear" w:color="auto" w:fill="F5F5F5"/>
            <w:tcBorders>
              <w:top w:val="single" w:sz="4" w:color="BFBFBF"/>
              <w:left w:val="single" w:sz="4" w:color="BFBFBF"/>
              <w:bottom w:val="single" w:sz="4" w:color="BFBFBF"/>
              <w:right w:val="single" w:sz="4" w:color="BFBFBF"/>
            </w:tcBorders>
          </w:tcPr>
          <w:p>
            <w:r/>
            <w:r>
              <w:rPr>
                <w:sz w:val="20"/>
              </w:rPr>
              <w:t>W.R. Berkley (WRB)</w:t>
            </w:r>
          </w:p>
        </w:tc>
        <w:tc>
          <w:tcPr>
            <w:tcW w:type="dxa" w:w="2016"/>
            <w:shd w:val="clear" w:color="auto" w:fill="F5F5F5"/>
            <w:tcBorders>
              <w:top w:val="single" w:sz="4" w:color="BFBFBF"/>
              <w:left w:val="single" w:sz="4" w:color="BFBFBF"/>
              <w:bottom w:val="single" w:sz="4" w:color="BFBFBF"/>
              <w:right w:val="single" w:sz="4" w:color="BFBFBF"/>
            </w:tcBorders>
          </w:tcPr>
          <w:p>
            <w:r/>
            <w:r>
              <w:rPr>
                <w:sz w:val="20"/>
              </w:rPr>
              <w:t>Upgrade Mkt Perform</w:t>
            </w:r>
          </w:p>
        </w:tc>
        <w:tc>
          <w:tcPr>
            <w:tcW w:type="dxa" w:w="2160"/>
            <w:shd w:val="clear" w:color="auto" w:fill="F5F5F5"/>
            <w:tcBorders>
              <w:top w:val="single" w:sz="4" w:color="BFBFBF"/>
              <w:left w:val="single" w:sz="4" w:color="BFBFBF"/>
              <w:bottom w:val="single" w:sz="4" w:color="BFBFBF"/>
              <w:right w:val="single" w:sz="4" w:color="BFBFBF"/>
            </w:tcBorders>
          </w:tcPr>
          <w:p>
            <w:r/>
            <w:r>
              <w:rPr>
                <w:sz w:val="20"/>
              </w:rPr>
              <w:t>$68 (from $64)</w:t>
            </w:r>
          </w:p>
        </w:tc>
        <w:tc>
          <w:tcPr>
            <w:tcW w:type="dxa" w:w="2304"/>
            <w:shd w:val="clear" w:color="auto" w:fill="F5F5F5"/>
            <w:tcBorders>
              <w:top w:val="single" w:sz="4" w:color="BFBFBF"/>
              <w:left w:val="single" w:sz="4" w:color="BFBFBF"/>
              <w:bottom w:val="single" w:sz="4" w:color="BFBFBF"/>
              <w:right w:val="single" w:sz="4" w:color="BFBFBF"/>
            </w:tcBorders>
          </w:tcPr>
          <w:p>
            <w:r/>
            <w:r>
              <w:rPr>
                <w:sz w:val="20"/>
              </w:rPr>
              <w:t>Reserves adequately topped up</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HSBC</w:t>
            </w:r>
          </w:p>
        </w:tc>
        <w:tc>
          <w:tcPr>
            <w:tcW w:type="dxa" w:w="2736"/>
            <w:shd w:val="clear" w:color="auto" w:fill="FFFFFF"/>
            <w:tcBorders>
              <w:top w:val="single" w:sz="4" w:color="BFBFBF"/>
              <w:left w:val="single" w:sz="4" w:color="BFBFBF"/>
              <w:bottom w:val="single" w:sz="4" w:color="BFBFBF"/>
              <w:right w:val="single" w:sz="4" w:color="BFBFBF"/>
            </w:tcBorders>
          </w:tcPr>
          <w:p>
            <w:r/>
            <w:r>
              <w:rPr>
                <w:sz w:val="20"/>
              </w:rPr>
              <w:t>Intel (INTC)</w:t>
            </w:r>
          </w:p>
        </w:tc>
        <w:tc>
          <w:tcPr>
            <w:tcW w:type="dxa" w:w="2016"/>
            <w:shd w:val="clear" w:color="auto" w:fill="FFFFFF"/>
            <w:tcBorders>
              <w:top w:val="single" w:sz="4" w:color="BFBFBF"/>
              <w:left w:val="single" w:sz="4" w:color="BFBFBF"/>
              <w:bottom w:val="single" w:sz="4" w:color="BFBFBF"/>
              <w:right w:val="single" w:sz="4" w:color="BFBFBF"/>
            </w:tcBorders>
          </w:tcPr>
          <w:p>
            <w:r/>
            <w:r>
              <w:rPr>
                <w:sz w:val="20"/>
              </w:rPr>
              <w:t>Prior Upgrade</w:t>
            </w:r>
          </w:p>
        </w:tc>
        <w:tc>
          <w:tcPr>
            <w:tcW w:type="dxa" w:w="2160"/>
            <w:shd w:val="clear" w:color="auto" w:fill="FFFFFF"/>
            <w:tcBorders>
              <w:top w:val="single" w:sz="4" w:color="BFBFBF"/>
              <w:left w:val="single" w:sz="4" w:color="BFBFBF"/>
              <w:bottom w:val="single" w:sz="4" w:color="BFBFBF"/>
              <w:right w:val="single" w:sz="4" w:color="BFBFBF"/>
            </w:tcBorders>
          </w:tcPr>
          <w:p>
            <w:r/>
            <w:r>
              <w:rPr>
                <w:sz w:val="20"/>
              </w:rPr>
              <w:t>Confirmed post-earnings</w:t>
            </w:r>
          </w:p>
        </w:tc>
        <w:tc>
          <w:tcPr>
            <w:tcW w:type="dxa" w:w="2304"/>
            <w:shd w:val="clear" w:color="auto" w:fill="FFFFFF"/>
            <w:tcBorders>
              <w:top w:val="single" w:sz="4" w:color="BFBFBF"/>
              <w:left w:val="single" w:sz="4" w:color="BFBFBF"/>
              <w:bottom w:val="single" w:sz="4" w:color="BFBFBF"/>
              <w:right w:val="single" w:sz="4" w:color="BFBFBF"/>
            </w:tcBorders>
          </w:tcPr>
          <w:p>
            <w:r/>
            <w:r>
              <w:rPr>
                <w:sz w:val="20"/>
              </w:rPr>
              <w:t>Server CPU share gains</w:t>
            </w:r>
          </w:p>
        </w:tc>
      </w:tr>
      <w:tr>
        <w:tc>
          <w:tcPr>
            <w:tcW w:type="dxa" w:w="1440"/>
            <w:shd w:val="clear" w:color="auto" w:fill="F5F5F5"/>
            <w:tcBorders>
              <w:top w:val="single" w:sz="4" w:color="BFBFBF"/>
              <w:left w:val="single" w:sz="4" w:color="BFBFBF"/>
              <w:bottom w:val="single" w:sz="4" w:color="BFBFBF"/>
              <w:right w:val="single" w:sz="4" w:color="BFBFBF"/>
            </w:tcBorders>
          </w:tcPr>
          <w:p>
            <w:r/>
            <w:r>
              <w:rPr>
                <w:sz w:val="20"/>
              </w:rPr>
              <w:t>BNP Paribas</w:t>
            </w:r>
          </w:p>
        </w:tc>
        <w:tc>
          <w:tcPr>
            <w:tcW w:type="dxa" w:w="2736"/>
            <w:shd w:val="clear" w:color="auto" w:fill="F5F5F5"/>
            <w:tcBorders>
              <w:top w:val="single" w:sz="4" w:color="BFBFBF"/>
              <w:left w:val="single" w:sz="4" w:color="BFBFBF"/>
              <w:bottom w:val="single" w:sz="4" w:color="BFBFBF"/>
              <w:right w:val="single" w:sz="4" w:color="BFBFBF"/>
            </w:tcBorders>
          </w:tcPr>
          <w:p>
            <w:r/>
            <w:r>
              <w:rPr>
                <w:sz w:val="20"/>
              </w:rPr>
              <w:t>Intel (INTC)</w:t>
            </w:r>
          </w:p>
        </w:tc>
        <w:tc>
          <w:tcPr>
            <w:tcW w:type="dxa" w:w="2016"/>
            <w:shd w:val="clear" w:color="auto" w:fill="F5F5F5"/>
            <w:tcBorders>
              <w:top w:val="single" w:sz="4" w:color="BFBFBF"/>
              <w:left w:val="single" w:sz="4" w:color="BFBFBF"/>
              <w:bottom w:val="single" w:sz="4" w:color="BFBFBF"/>
              <w:right w:val="single" w:sz="4" w:color="BFBFBF"/>
            </w:tcBorders>
          </w:tcPr>
          <w:p>
            <w:r/>
            <w:r>
              <w:rPr>
                <w:sz w:val="20"/>
              </w:rPr>
              <w:t>Prior Upgrade (pre-earnings)</w:t>
            </w:r>
          </w:p>
        </w:tc>
        <w:tc>
          <w:tcPr>
            <w:tcW w:type="dxa" w:w="2160"/>
            <w:shd w:val="clear" w:color="auto" w:fill="F5F5F5"/>
            <w:tcBorders>
              <w:top w:val="single" w:sz="4" w:color="BFBFBF"/>
              <w:left w:val="single" w:sz="4" w:color="BFBFBF"/>
              <w:bottom w:val="single" w:sz="4" w:color="BFBFBF"/>
              <w:right w:val="single" w:sz="4" w:color="BFBFBF"/>
            </w:tcBorders>
          </w:tcPr>
          <w:p>
            <w:r/>
            <w:r>
              <w:rPr>
                <w:sz w:val="20"/>
              </w:rPr>
              <w:t>Reiterated</w:t>
            </w:r>
          </w:p>
        </w:tc>
        <w:tc>
          <w:tcPr>
            <w:tcW w:type="dxa" w:w="2304"/>
            <w:shd w:val="clear" w:color="auto" w:fill="F5F5F5"/>
            <w:tcBorders>
              <w:top w:val="single" w:sz="4" w:color="BFBFBF"/>
              <w:left w:val="single" w:sz="4" w:color="BFBFBF"/>
              <w:bottom w:val="single" w:sz="4" w:color="BFBFBF"/>
              <w:right w:val="single" w:sz="4" w:color="BFBFBF"/>
            </w:tcBorders>
          </w:tcPr>
          <w:p>
            <w:r/>
            <w:r>
              <w:rPr>
                <w:sz w:val="20"/>
              </w:rPr>
              <w:t>AI-server momentum</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Morgan Stanley</w:t>
            </w:r>
          </w:p>
        </w:tc>
        <w:tc>
          <w:tcPr>
            <w:tcW w:type="dxa" w:w="2736"/>
            <w:shd w:val="clear" w:color="auto" w:fill="FFFFFF"/>
            <w:tcBorders>
              <w:top w:val="single" w:sz="4" w:color="BFBFBF"/>
              <w:left w:val="single" w:sz="4" w:color="BFBFBF"/>
              <w:bottom w:val="single" w:sz="4" w:color="BFBFBF"/>
              <w:right w:val="single" w:sz="4" w:color="BFBFBF"/>
            </w:tcBorders>
          </w:tcPr>
          <w:p>
            <w:r/>
            <w:r>
              <w:rPr>
                <w:sz w:val="20"/>
              </w:rPr>
              <w:t>CSX Corp (CSX)</w:t>
            </w:r>
          </w:p>
        </w:tc>
        <w:tc>
          <w:tcPr>
            <w:tcW w:type="dxa" w:w="2016"/>
            <w:shd w:val="clear" w:color="auto" w:fill="FFFFFF"/>
            <w:tcBorders>
              <w:top w:val="single" w:sz="4" w:color="BFBFBF"/>
              <w:left w:val="single" w:sz="4" w:color="BFBFBF"/>
              <w:bottom w:val="single" w:sz="4" w:color="BFBFBF"/>
              <w:right w:val="single" w:sz="4" w:color="BFBFBF"/>
            </w:tcBorders>
          </w:tcPr>
          <w:p>
            <w:r/>
            <w:r>
              <w:rPr>
                <w:sz w:val="20"/>
              </w:rPr>
              <w:t>Downgrade Underweight</w:t>
            </w:r>
          </w:p>
        </w:tc>
        <w:tc>
          <w:tcPr>
            <w:tcW w:type="dxa" w:w="2160"/>
            <w:shd w:val="clear" w:color="auto" w:fill="FFFFFF"/>
            <w:tcBorders>
              <w:top w:val="single" w:sz="4" w:color="BFBFBF"/>
              <w:left w:val="single" w:sz="4" w:color="BFBFBF"/>
              <w:bottom w:val="single" w:sz="4" w:color="BFBFBF"/>
              <w:right w:val="single" w:sz="4" w:color="BFBFBF"/>
            </w:tcBorders>
          </w:tcPr>
          <w:p>
            <w:r/>
            <w:r>
              <w:rPr>
                <w:sz w:val="20"/>
              </w:rPr>
              <w:t>$30</w:t>
            </w:r>
          </w:p>
        </w:tc>
        <w:tc>
          <w:tcPr>
            <w:tcW w:type="dxa" w:w="2304"/>
            <w:shd w:val="clear" w:color="auto" w:fill="FFFFFF"/>
            <w:tcBorders>
              <w:top w:val="single" w:sz="4" w:color="BFBFBF"/>
              <w:left w:val="single" w:sz="4" w:color="BFBFBF"/>
              <w:bottom w:val="single" w:sz="4" w:color="BFBFBF"/>
              <w:right w:val="single" w:sz="4" w:color="BFBFBF"/>
            </w:tcBorders>
          </w:tcPr>
          <w:p>
            <w:r/>
            <w:r>
              <w:rPr>
                <w:sz w:val="20"/>
              </w:rPr>
              <w:t>Volume visibility limited</w:t>
            </w:r>
          </w:p>
        </w:tc>
      </w:tr>
      <w:tr>
        <w:tc>
          <w:tcPr>
            <w:tcW w:type="dxa" w:w="1440"/>
            <w:shd w:val="clear" w:color="auto" w:fill="F5F5F5"/>
            <w:tcBorders>
              <w:top w:val="single" w:sz="4" w:color="BFBFBF"/>
              <w:left w:val="single" w:sz="4" w:color="BFBFBF"/>
              <w:bottom w:val="single" w:sz="4" w:color="BFBFBF"/>
              <w:right w:val="single" w:sz="4" w:color="BFBFBF"/>
            </w:tcBorders>
          </w:tcPr>
          <w:p>
            <w:r/>
            <w:r>
              <w:rPr>
                <w:sz w:val="20"/>
              </w:rPr>
              <w:t>BMO</w:t>
            </w:r>
          </w:p>
        </w:tc>
        <w:tc>
          <w:tcPr>
            <w:tcW w:type="dxa" w:w="2736"/>
            <w:shd w:val="clear" w:color="auto" w:fill="F5F5F5"/>
            <w:tcBorders>
              <w:top w:val="single" w:sz="4" w:color="BFBFBF"/>
              <w:left w:val="single" w:sz="4" w:color="BFBFBF"/>
              <w:bottom w:val="single" w:sz="4" w:color="BFBFBF"/>
              <w:right w:val="single" w:sz="4" w:color="BFBFBF"/>
            </w:tcBorders>
          </w:tcPr>
          <w:p>
            <w:r/>
            <w:r>
              <w:rPr>
                <w:sz w:val="20"/>
              </w:rPr>
              <w:t>ASGN Inc. (ASGN)</w:t>
            </w:r>
          </w:p>
        </w:tc>
        <w:tc>
          <w:tcPr>
            <w:tcW w:type="dxa" w:w="2016"/>
            <w:shd w:val="clear" w:color="auto" w:fill="F5F5F5"/>
            <w:tcBorders>
              <w:top w:val="single" w:sz="4" w:color="BFBFBF"/>
              <w:left w:val="single" w:sz="4" w:color="BFBFBF"/>
              <w:bottom w:val="single" w:sz="4" w:color="BFBFBF"/>
              <w:right w:val="single" w:sz="4" w:color="BFBFBF"/>
            </w:tcBorders>
          </w:tcPr>
          <w:p>
            <w:r/>
            <w:r>
              <w:rPr>
                <w:sz w:val="20"/>
              </w:rPr>
              <w:t>Downgrade Mkt Perform</w:t>
            </w:r>
          </w:p>
        </w:tc>
        <w:tc>
          <w:tcPr>
            <w:tcW w:type="dxa" w:w="2160"/>
            <w:shd w:val="clear" w:color="auto" w:fill="F5F5F5"/>
            <w:tcBorders>
              <w:top w:val="single" w:sz="4" w:color="BFBFBF"/>
              <w:left w:val="single" w:sz="4" w:color="BFBFBF"/>
              <w:bottom w:val="single" w:sz="4" w:color="BFBFBF"/>
              <w:right w:val="single" w:sz="4" w:color="BFBFBF"/>
            </w:tcBorders>
          </w:tcPr>
          <w:p>
            <w:r/>
            <w:r>
              <w:rPr>
                <w:sz w:val="20"/>
              </w:rPr>
              <w:t>$33</w:t>
            </w:r>
          </w:p>
        </w:tc>
        <w:tc>
          <w:tcPr>
            <w:tcW w:type="dxa" w:w="2304"/>
            <w:shd w:val="clear" w:color="auto" w:fill="F5F5F5"/>
            <w:tcBorders>
              <w:top w:val="single" w:sz="4" w:color="BFBFBF"/>
              <w:left w:val="single" w:sz="4" w:color="BFBFBF"/>
              <w:bottom w:val="single" w:sz="4" w:color="BFBFBF"/>
              <w:right w:val="single" w:sz="4" w:color="BFBFBF"/>
            </w:tcBorders>
          </w:tcPr>
          <w:p>
            <w:r/>
            <w:r>
              <w:rPr>
                <w:sz w:val="20"/>
              </w:rPr>
              <w:t>Staffing cycle weakening</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JP Morgan</w:t>
            </w:r>
          </w:p>
        </w:tc>
        <w:tc>
          <w:tcPr>
            <w:tcW w:type="dxa" w:w="2736"/>
            <w:shd w:val="clear" w:color="auto" w:fill="FFFFFF"/>
            <w:tcBorders>
              <w:top w:val="single" w:sz="4" w:color="BFBFBF"/>
              <w:left w:val="single" w:sz="4" w:color="BFBFBF"/>
              <w:bottom w:val="single" w:sz="4" w:color="BFBFBF"/>
              <w:right w:val="single" w:sz="4" w:color="BFBFBF"/>
            </w:tcBorders>
          </w:tcPr>
          <w:p>
            <w:r/>
            <w:r>
              <w:rPr>
                <w:sz w:val="20"/>
              </w:rPr>
              <w:t>Avis Budget (CAR)</w:t>
            </w:r>
          </w:p>
        </w:tc>
        <w:tc>
          <w:tcPr>
            <w:tcW w:type="dxa" w:w="2016"/>
            <w:shd w:val="clear" w:color="auto" w:fill="FFFFFF"/>
            <w:tcBorders>
              <w:top w:val="single" w:sz="4" w:color="BFBFBF"/>
              <w:left w:val="single" w:sz="4" w:color="BFBFBF"/>
              <w:bottom w:val="single" w:sz="4" w:color="BFBFBF"/>
              <w:right w:val="single" w:sz="4" w:color="BFBFBF"/>
            </w:tcBorders>
          </w:tcPr>
          <w:p>
            <w:r/>
            <w:r>
              <w:rPr>
                <w:sz w:val="20"/>
              </w:rPr>
              <w:t>Downgrade Underweight</w:t>
            </w:r>
          </w:p>
        </w:tc>
        <w:tc>
          <w:tcPr>
            <w:tcW w:type="dxa" w:w="2160"/>
            <w:shd w:val="clear" w:color="auto" w:fill="FFFFFF"/>
            <w:tcBorders>
              <w:top w:val="single" w:sz="4" w:color="BFBFBF"/>
              <w:left w:val="single" w:sz="4" w:color="BFBFBF"/>
              <w:bottom w:val="single" w:sz="4" w:color="BFBFBF"/>
              <w:right w:val="single" w:sz="4" w:color="BFBFBF"/>
            </w:tcBorders>
          </w:tcPr>
          <w:p>
            <w:r/>
            <w:r>
              <w:rPr>
                <w:sz w:val="20"/>
              </w:rPr>
              <w:t>$165 (PT raised)</w:t>
            </w:r>
          </w:p>
        </w:tc>
        <w:tc>
          <w:tcPr>
            <w:tcW w:type="dxa" w:w="2304"/>
            <w:shd w:val="clear" w:color="auto" w:fill="FFFFFF"/>
            <w:tcBorders>
              <w:top w:val="single" w:sz="4" w:color="BFBFBF"/>
              <w:left w:val="single" w:sz="4" w:color="BFBFBF"/>
              <w:bottom w:val="single" w:sz="4" w:color="BFBFBF"/>
              <w:right w:val="single" w:sz="4" w:color="BFBFBF"/>
            </w:tcBorders>
          </w:tcPr>
          <w:p>
            <w:r/>
            <w:r>
              <w:rPr>
                <w:sz w:val="20"/>
              </w:rPr>
              <w:t>Fleet-value mean reversion</w:t>
            </w:r>
          </w:p>
        </w:tc>
      </w:tr>
      <w:tr>
        <w:tc>
          <w:tcPr>
            <w:tcW w:type="dxa" w:w="1440"/>
            <w:shd w:val="clear" w:color="auto" w:fill="F5F5F5"/>
            <w:tcBorders>
              <w:top w:val="single" w:sz="4" w:color="BFBFBF"/>
              <w:left w:val="single" w:sz="4" w:color="BFBFBF"/>
              <w:bottom w:val="single" w:sz="4" w:color="BFBFBF"/>
              <w:right w:val="single" w:sz="4" w:color="BFBFBF"/>
            </w:tcBorders>
          </w:tcPr>
          <w:p>
            <w:r/>
            <w:r>
              <w:rPr>
                <w:sz w:val="20"/>
              </w:rPr>
              <w:t>HSBC</w:t>
            </w:r>
          </w:p>
        </w:tc>
        <w:tc>
          <w:tcPr>
            <w:tcW w:type="dxa" w:w="2736"/>
            <w:shd w:val="clear" w:color="auto" w:fill="F5F5F5"/>
            <w:tcBorders>
              <w:top w:val="single" w:sz="4" w:color="BFBFBF"/>
              <w:left w:val="single" w:sz="4" w:color="BFBFBF"/>
              <w:bottom w:val="single" w:sz="4" w:color="BFBFBF"/>
              <w:right w:val="single" w:sz="4" w:color="BFBFBF"/>
            </w:tcBorders>
          </w:tcPr>
          <w:p>
            <w:r/>
            <w:r>
              <w:rPr>
                <w:sz w:val="20"/>
              </w:rPr>
              <w:t>TE Connectivity (TEL)</w:t>
            </w:r>
          </w:p>
        </w:tc>
        <w:tc>
          <w:tcPr>
            <w:tcW w:type="dxa" w:w="2016"/>
            <w:shd w:val="clear" w:color="auto" w:fill="F5F5F5"/>
            <w:tcBorders>
              <w:top w:val="single" w:sz="4" w:color="BFBFBF"/>
              <w:left w:val="single" w:sz="4" w:color="BFBFBF"/>
              <w:bottom w:val="single" w:sz="4" w:color="BFBFBF"/>
              <w:right w:val="single" w:sz="4" w:color="BFBFBF"/>
            </w:tcBorders>
          </w:tcPr>
          <w:p>
            <w:r/>
            <w:r>
              <w:rPr>
                <w:sz w:val="20"/>
              </w:rPr>
              <w:t>Downgrade Hold</w:t>
            </w:r>
          </w:p>
        </w:tc>
        <w:tc>
          <w:tcPr>
            <w:tcW w:type="dxa" w:w="2160"/>
            <w:shd w:val="clear" w:color="auto" w:fill="F5F5F5"/>
            <w:tcBorders>
              <w:top w:val="single" w:sz="4" w:color="BFBFBF"/>
              <w:left w:val="single" w:sz="4" w:color="BFBFBF"/>
              <w:bottom w:val="single" w:sz="4" w:color="BFBFBF"/>
              <w:right w:val="single" w:sz="4" w:color="BFBFBF"/>
            </w:tcBorders>
          </w:tcPr>
          <w:p>
            <w:r/>
            <w:r>
              <w:rPr>
                <w:sz w:val="20"/>
              </w:rPr>
              <w:t>$234</w:t>
            </w:r>
          </w:p>
        </w:tc>
        <w:tc>
          <w:tcPr>
            <w:tcW w:type="dxa" w:w="2304"/>
            <w:shd w:val="clear" w:color="auto" w:fill="F5F5F5"/>
            <w:tcBorders>
              <w:top w:val="single" w:sz="4" w:color="BFBFBF"/>
              <w:left w:val="single" w:sz="4" w:color="BFBFBF"/>
              <w:bottom w:val="single" w:sz="4" w:color="BFBFBF"/>
              <w:right w:val="single" w:sz="4" w:color="BFBFBF"/>
            </w:tcBorders>
          </w:tcPr>
          <w:p>
            <w:r/>
            <w:r>
              <w:rPr>
                <w:sz w:val="20"/>
              </w:rPr>
              <w:t>Valuation fully reflects cycle</w:t>
            </w:r>
          </w:p>
        </w:tc>
      </w:tr>
      <w:tr>
        <w:tc>
          <w:tcPr>
            <w:tcW w:type="dxa" w:w="1440"/>
            <w:shd w:val="clear" w:color="auto" w:fill="FFFFFF"/>
            <w:tcBorders>
              <w:top w:val="single" w:sz="4" w:color="BFBFBF"/>
              <w:left w:val="single" w:sz="4" w:color="BFBFBF"/>
              <w:bottom w:val="single" w:sz="4" w:color="BFBFBF"/>
              <w:right w:val="single" w:sz="4" w:color="BFBFBF"/>
            </w:tcBorders>
          </w:tcPr>
          <w:p>
            <w:r/>
            <w:r>
              <w:rPr>
                <w:sz w:val="20"/>
              </w:rPr>
              <w:t>Piper</w:t>
            </w:r>
          </w:p>
        </w:tc>
        <w:tc>
          <w:tcPr>
            <w:tcW w:type="dxa" w:w="2736"/>
            <w:shd w:val="clear" w:color="auto" w:fill="FFFFFF"/>
            <w:tcBorders>
              <w:top w:val="single" w:sz="4" w:color="BFBFBF"/>
              <w:left w:val="single" w:sz="4" w:color="BFBFBF"/>
              <w:bottom w:val="single" w:sz="4" w:color="BFBFBF"/>
              <w:right w:val="single" w:sz="4" w:color="BFBFBF"/>
            </w:tcBorders>
          </w:tcPr>
          <w:p>
            <w:r/>
            <w:r>
              <w:rPr>
                <w:sz w:val="20"/>
              </w:rPr>
              <w:t>Investar Holding (ISTR)</w:t>
            </w:r>
          </w:p>
        </w:tc>
        <w:tc>
          <w:tcPr>
            <w:tcW w:type="dxa" w:w="2016"/>
            <w:shd w:val="clear" w:color="auto" w:fill="FFFFFF"/>
            <w:tcBorders>
              <w:top w:val="single" w:sz="4" w:color="BFBFBF"/>
              <w:left w:val="single" w:sz="4" w:color="BFBFBF"/>
              <w:bottom w:val="single" w:sz="4" w:color="BFBFBF"/>
              <w:right w:val="single" w:sz="4" w:color="BFBFBF"/>
            </w:tcBorders>
          </w:tcPr>
          <w:p>
            <w:r/>
            <w:r>
              <w:rPr>
                <w:sz w:val="20"/>
              </w:rPr>
              <w:t>Downgrade Neutral</w:t>
            </w:r>
          </w:p>
        </w:tc>
        <w:tc>
          <w:tcPr>
            <w:tcW w:type="dxa" w:w="2160"/>
            <w:shd w:val="clear" w:color="auto" w:fill="FFFFFF"/>
            <w:tcBorders>
              <w:top w:val="single" w:sz="4" w:color="BFBFBF"/>
              <w:left w:val="single" w:sz="4" w:color="BFBFBF"/>
              <w:bottom w:val="single" w:sz="4" w:color="BFBFBF"/>
              <w:right w:val="single" w:sz="4" w:color="BFBFBF"/>
            </w:tcBorders>
          </w:tcPr>
          <w:p>
            <w:r/>
            <w:r>
              <w:rPr>
                <w:sz w:val="20"/>
              </w:rPr>
              <w:t>$31.50 (from $34)</w:t>
            </w:r>
          </w:p>
        </w:tc>
        <w:tc>
          <w:tcPr>
            <w:tcW w:type="dxa" w:w="2304"/>
            <w:shd w:val="clear" w:color="auto" w:fill="FFFFFF"/>
            <w:tcBorders>
              <w:top w:val="single" w:sz="4" w:color="BFBFBF"/>
              <w:left w:val="single" w:sz="4" w:color="BFBFBF"/>
              <w:bottom w:val="single" w:sz="4" w:color="BFBFBF"/>
              <w:right w:val="single" w:sz="4" w:color="BFBFBF"/>
            </w:tcBorders>
          </w:tcPr>
          <w:p>
            <w:r/>
            <w:r>
              <w:rPr>
                <w:sz w:val="20"/>
              </w:rPr>
              <w:t>NIM pressure</w:t>
            </w:r>
          </w:p>
        </w:tc>
      </w:tr>
    </w:tbl>
    <w:p>
      <w:pPr>
        <w:pBdr>
          <w:bottom w:val="single" w:sz="8" w:color="0A1F44"/>
        </w:pBdr>
      </w:pPr>
      <w:r>
        <w:rPr>
          <w:b/>
          <w:color w:val="0A1F44"/>
          <w:sz w:val="28"/>
        </w:rPr>
        <w:t>STOCKS TO WATCH</w:t>
      </w:r>
    </w:p>
    <w:p>
      <w:r>
        <w:rPr>
          <w:b/>
          <w:color w:val="0A1F44"/>
          <w:sz w:val="24"/>
        </w:rPr>
        <w:t>Intel (INTC) — $87 pre-market, +30%</w:t>
      </w:r>
    </w:p>
    <w:p>
      <w:r>
        <w:rPr>
          <w:sz w:val="22"/>
        </w:rPr>
        <w:t>The single most important stock on the tape today. If INTC holds $85 into the close, the post-earnings gap is unlikely to fill and this becomes the breakout setup of the quarter — $95 is the measured move, $110 the 2022 high. Watch options flow: the April 25 $80 calls, which were bought heavily last week, will see enormous gamma unwind. Risk is not the print; it's the 30% gap itself, which historically gives back a third of the gain inside 48 hours. Suggested level: pullbacks to $82–83 are likely bought.</w:t>
      </w:r>
    </w:p>
    <w:p>
      <w:r>
        <w:rPr>
          <w:b/>
          <w:color w:val="0A1F44"/>
          <w:sz w:val="24"/>
        </w:rPr>
        <w:t>Exxon Mobil (XOM) — $142.10</w:t>
      </w:r>
    </w:p>
    <w:p>
      <w:r>
        <w:rPr>
          <w:sz w:val="22"/>
        </w:rPr>
        <w:t>The simplest way to express the Hormuz-risk trade. XOM reports next Friday; with Brent at $107, analyst estimates are meaningfully too low. Consensus Q1 EPS is $2.04 — a repeat of Q4's conditions would deliver closer to $2.35. Technical setup: $140 is breakout support, $150 is the late-2022 high. The dividend yield of 3.7% plus an active buyback provides a floor. Watch relative performance to CVX — XOM's Permian leverage is structurally superior at $100+ oil.</w:t>
      </w:r>
    </w:p>
    <w:p>
      <w:r>
        <w:rPr>
          <w:b/>
          <w:color w:val="0A1F44"/>
          <w:sz w:val="24"/>
        </w:rPr>
        <w:t>Procter &amp; Gamble (PG) — $169.50 pre-market, +4%</w:t>
      </w:r>
    </w:p>
    <w:p>
      <w:r>
        <w:rPr>
          <w:sz w:val="22"/>
        </w:rPr>
        <w:t>The volume breakout re-rates the whole defensive complex. $170 has been resistance for seven months; a close above opens a clean technical path to $185. Fundamentals support it: Q3 volume +2%, guidance raised, FX headwinds fading with DXY topping. The pair trade: long PG / short XLY, expressing a view that staples' relative laggard status is ending and discretionary is priced for a consumer that is about to feel $4 gasoline.</w:t>
      </w:r>
    </w:p>
    <w:p>
      <w:r>
        <w:rPr>
          <w:b/>
          <w:color w:val="0A1F44"/>
          <w:sz w:val="24"/>
        </w:rPr>
        <w:t>CSX Corporation (CSX) — $29.80, pre-market -1.8%</w:t>
      </w:r>
    </w:p>
    <w:p>
      <w:r>
        <w:rPr>
          <w:sz w:val="22"/>
        </w:rPr>
        <w:t>Morgan Stanley's downgrade to Underweight with an unchanged $30 price target effectively marks the stock's ceiling. Rail volumes are softening (intermodal down 3.4% YTD), and the coal tailwind that helped Q4 is fading. Earnings April 29. Key level: $28 is the 200-day moving average; a break invites a quick move to $26. The broader transport complex (IYT) has been the quietest leadership-failure story of 2026 — a CSX miss could crack it open.</w:t>
      </w:r>
    </w:p>
    <w:p>
      <w:pPr>
        <w:pBdr>
          <w:bottom w:val="single" w:sz="8" w:color="0A1F44"/>
        </w:pBdr>
      </w:pPr>
      <w:r>
        <w:rPr>
          <w:b/>
          <w:color w:val="0A1F44"/>
          <w:sz w:val="28"/>
        </w:rPr>
        <w:t>GLOBAL MACRO SNAPSHOT</w:t>
      </w:r>
    </w:p>
    <w:p>
      <w:r>
        <w:rPr>
          <w:sz w:val="22"/>
        </w:rPr>
        <w:t>China: Q1 GDP of +5.0% YoY beat forecasts but did not trigger stimulus; PBoC holds lending rates for the 11th straight month. Industrial profits data due next week will sharpen the picture on whether the export-led rebound can survive U.S. tariff escalation. CNY at 7.28 is stable-to-firming — Beijing is clearly prioritizing currency over growth-juicing.</w:t>
      </w:r>
    </w:p>
    <w:p>
      <w:r>
        <w:rPr>
          <w:sz w:val="22"/>
        </w:rPr>
        <w:t>Europe: the ECB's April meeting last week delivered a dovish hold, with President Lagarde explicitly flagging Middle East oil risks. Eurozone composite PMI for April (prelim out Wednesday) will be critical; consensus is 51.2, and anything below 50 re-opens the cut conversation. Bund yields have decoupled from Treasuries, with 10Y Bunds up just 1 bp against Treasuries' +4, a reliable signal that capital is considering a rotation.</w:t>
      </w:r>
    </w:p>
    <w:p>
      <w:r>
        <w:rPr>
          <w:sz w:val="22"/>
        </w:rPr>
        <w:t>Emerging Markets: the EMB/EMLC complex is quietly outperforming U.S. duration year-to-date, with Brazil (SELIC 11.50%) and Mexico (11.00%) offering positive real yields the developed world cannot match. Turkey has hit the 50% policy rate threshold Erdoğan long resisted; TRY stability is the single best EM-FX surprise of 2026. Commodity EM (Chile, Peru) benefits directly from copper's resilience.</w:t>
      </w:r>
    </w:p>
    <w:p>
      <w:pPr>
        <w:pBdr>
          <w:bottom w:val="single" w:sz="8" w:color="0A1F44"/>
        </w:pBdr>
      </w:pPr>
      <w:r>
        <w:rPr>
          <w:b/>
          <w:color w:val="0A1F44"/>
          <w:sz w:val="28"/>
        </w:rPr>
        <w:t>WEEK AHEAD PREVIEW</w:t>
      </w:r>
    </w:p>
    <w:p>
      <w:r>
        <w:rPr>
          <w:sz w:val="22"/>
        </w:rPr>
        <w:t>Monday, April 27: Dallas Fed manufacturing. Earnings: Waste Management, Brown &amp; Brown.</w:t>
      </w:r>
    </w:p>
    <w:p>
      <w:r>
        <w:rPr>
          <w:sz w:val="22"/>
        </w:rPr>
        <w:t>Tuesday, April 28: Conference Board Consumer Confidence (consensus 91.5 vs. prior 92.9); JOLTS job openings (consensus 7.75M). FOMC meeting Day 1 (no announcement). Earnings: Amazon (previously scheduled — now Wednesday), Visa, Pfizer, Starbucks, Booking Holdings.</w:t>
      </w:r>
    </w:p>
    <w:p>
      <w:r>
        <w:rPr>
          <w:sz w:val="22"/>
        </w:rPr>
        <w:t>Wednesday, April 29: Q1 advance GDP (consensus +1.7% SAAR vs. prior +2.4%); pending home sales. FOMC decision 2:00 p.m. ET, Powell press conference 2:30 p.m. The big one. Earnings after close: Microsoft, Alphabet (Google), Meta Platforms — the three most-watched prints of the season.</w:t>
      </w:r>
    </w:p>
    <w:p>
      <w:r>
        <w:rPr>
          <w:sz w:val="22"/>
        </w:rPr>
        <w:t>Thursday, April 30: Core PCE deflator (consensus +0.3% MoM, +2.8% YoY); Employment Cost Index Q1; initial claims. Earnings: Apple (the Magnificent 7's anchor), Amazon, Mastercard, Eli Lilly. Friday, May 1: Nonfarm payrolls (consensus +162K; unemployment 4.1%); ISM Manufacturing. A 36-hour window spanning FOMC + GDP + PCE + five Magnificent 7 prints + payrolls is the densest macro-and-earnings cluster of the year. Expect realized volatility to run 20–30% above implied.</w:t>
      </w:r>
    </w:p>
    <w:p>
      <w:pPr>
        <w:pBdr>
          <w:bottom w:val="single" w:sz="8" w:color="0A1F44"/>
        </w:pBdr>
      </w:pPr>
      <w:r>
        <w:rPr>
          <w:b/>
          <w:color w:val="0A1F44"/>
          <w:sz w:val="28"/>
        </w:rPr>
        <w:t>CLOSING THOUGHT</w:t>
      </w:r>
    </w:p>
    <w:p>
      <w:r>
        <w:rPr>
          <w:sz w:val="22"/>
        </w:rPr>
        <w:t>Here is a risk the tape is not adequately pricing: the Fed is running out of room to be patient on inflation, and equity markets are trading as if March's 3.3% CPI print was a blip. It was not. The structural forces pushing inflation higher — deglobalization, tariff pass-through, reshoring capex, an oil shock that is no longer transitory — are all accelerating, not fading. The last time the 10-year Treasury yield was rising alongside oil while the S&amp;P 500 sat within 1% of an all-time high was October 2018. Readers will recall what happened next. This is not a prediction; it is a reminder that the correlation regime of 2023–24 (equities up on every yield spike because earnings kept bailing the market out) has a shelf life. With forward P/Es at 22.5x — a level only exceeded during the 1999 and 2021 tops — the equity market's margin for error on inflation has compressed to roughly zero. Watch the 5Y5Y breakeven and the 30-year auction next week. If both go the wrong way, April's highs will be the highs for a while. Trade accordingly.</w:t>
      </w:r>
    </w:p>
    <w:p>
      <w:pPr>
        <w:jc w:val="center"/>
      </w:pPr>
      <w:r>
        <w:rPr>
          <w:i/>
          <w:color w:val="555555"/>
          <w:sz w:val="18"/>
        </w:rPr>
        <w:br/>
        <w:t>Prepared 24 Apr 2026 • For informational purposes only • Not investment advice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