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68D40" w:sz="24"/>
              <w:right w:val="none" w:color="FFFFFF" w:sz="0"/>
            </w:tcBorders>
            <w:shd w:fill="0B2E4F" w:val="clear"/>
            <w:tcMar>
              <w:top w:type="dxa" w:w="240"/>
              <w:left w:type="dxa" w:w="280"/>
              <w:bottom w:type="dxa" w:w="240"/>
              <w:right w:type="dxa" w:w="280"/>
            </w:tcMar>
          </w:tcPr>
          <w:p>
            <w:pPr>
              <w:spacing w:after="60"/>
            </w:pPr>
            <w:r>
              <w:rPr>
                <w:rFonts w:ascii="Calibri" w:cs="Calibri" w:eastAsia="Calibri" w:hAnsi="Calibri"/>
                <w:b/>
                <w:bCs/>
                <w:color w:val="FFFFFF"/>
                <w:sz w:val="36"/>
                <w:szCs w:val="36"/>
              </w:rPr>
              <w:t xml:space="preserve">DAILY FINANCIAL BRIEF</w:t>
            </w:r>
          </w:p>
          <w:p>
            <w:r>
              <w:rPr>
                <w:rFonts w:ascii="Calibri" w:cs="Calibri" w:eastAsia="Calibri" w:hAnsi="Calibri"/>
                <w:i/>
                <w:iCs/>
                <w:color w:val="B68D40"/>
                <w:sz w:val="22"/>
                <w:szCs w:val="22"/>
              </w:rPr>
              <w:t xml:space="preserve">Monday — April 27, 2026</w:t>
            </w:r>
          </w:p>
          <w:p>
            <w:r>
              <w:rPr>
                <w:rFonts w:ascii="Calibri" w:cs="Calibri" w:eastAsia="Calibri" w:hAnsi="Calibri"/>
                <w:color w:val="DDDDDD"/>
                <w:sz w:val="18"/>
                <w:szCs w:val="18"/>
              </w:rPr>
              <w:t xml:space="preserve">Markets, macro, and the morning's most important moves</w:t>
            </w:r>
          </w:p>
        </w:tc>
      </w:tr>
    </w:tbl>
    <w:p>
      <w:pPr>
        <w:spacing w:after="200"/>
      </w:pPr>
      <w:r>
        <w:t xml:space="preserve"/>
      </w:r>
    </w:p>
    <w:p>
      <w:pPr>
        <w:pBdr>
          <w:bottom w:val="single" w:color="B68D40" w:sz="18" w:space="4"/>
        </w:pBdr>
        <w:spacing w:after="160" w:before="320"/>
      </w:pPr>
      <w:r>
        <w:rPr>
          <w:rFonts w:ascii="Calibri" w:cs="Calibri" w:eastAsia="Calibri" w:hAnsi="Calibri"/>
          <w:b/>
          <w:bCs/>
          <w:color w:val="0B2E4F"/>
          <w:sz w:val="30"/>
          <w:szCs w:val="30"/>
        </w:rPr>
        <w:t xml:space="preserve">1. The Morning Setup</w:t>
      </w:r>
    </w:p>
    <w:p>
      <w:pPr>
        <w:spacing w:after="140" w:line="300"/>
        <w:jc w:val="both"/>
      </w:pPr>
      <w:r>
        <w:rPr>
          <w:rFonts w:ascii="Calibri" w:cs="Calibri" w:eastAsia="Calibri" w:hAnsi="Calibri"/>
          <w:color w:val="333333"/>
          <w:sz w:val="22"/>
          <w:szCs w:val="22"/>
        </w:rPr>
        <w:t xml:space="preserve">Markets enter the busiest week of earnings season on edge — but for once, the world's largest companies aren't the main event. Crude oil is what's moving the tape. Brent surged above $107 a barrel in early Monday trading and West Texas Intermediate climbed toward $96 after President Trump abruptly cancelled the weekend peace mission to Islamabad, leaving the Strait of Hormuz blockade in place for a ninth straight week and the largest energy supply shock on record still unresolved.</w:t>
      </w:r>
    </w:p>
    <w:p>
      <w:pPr>
        <w:spacing w:after="140" w:line="300"/>
        <w:jc w:val="both"/>
      </w:pPr>
      <w:r>
        <w:rPr>
          <w:rFonts w:ascii="Calibri" w:cs="Calibri" w:eastAsia="Calibri" w:hAnsi="Calibri"/>
          <w:color w:val="333333"/>
          <w:sz w:val="22"/>
          <w:szCs w:val="22"/>
        </w:rPr>
        <w:t xml:space="preserve">U.S. equity futures slipped modestly — S&amp;P 500 contracts off 0.22%, the Nasdaq 100 down 0.16%, the Dow off a quarter point — even as Asia powered higher, with the Nikkei ripping 2.4% to a fresh record. Beneath the surface lies a fragile stand-off: a market priced for perfection on tech earnings, a Federal Reserve that begins a two-day meeting tomorrow, and an oil shock now actively embedding itself into inflation expectations.</w:t>
      </w:r>
    </w:p>
    <w:p>
      <w:pPr>
        <w:spacing w:after="140" w:line="300"/>
        <w:jc w:val="both"/>
      </w:pPr>
      <w:r>
        <w:rPr>
          <w:rFonts w:ascii="Calibri" w:cs="Calibri" w:eastAsia="Calibri" w:hAnsi="Calibri"/>
          <w:color w:val="333333"/>
          <w:sz w:val="22"/>
          <w:szCs w:val="22"/>
        </w:rPr>
        <w:t xml:space="preserve">Five of the Magnificent Seven report between Wednesday and Thursday. Q1 GDP and the March PCE deflator print that same window. The 10-year Treasury yield is back to 4.34%, the dollar is bid as a haven, gold is paradoxically lower as real yields rise, and the VIX — at 19 — looks complacent against the catalyst load. Brace for whiplash.</w:t>
      </w:r>
    </w:p>
    <w:p>
      <w:pPr>
        <w:pBdr>
          <w:bottom w:val="single" w:color="B68D40" w:sz="18" w:space="4"/>
        </w:pBdr>
        <w:spacing w:after="160" w:before="320"/>
      </w:pPr>
      <w:r>
        <w:rPr>
          <w:rFonts w:ascii="Calibri" w:cs="Calibri" w:eastAsia="Calibri" w:hAnsi="Calibri"/>
          <w:b/>
          <w:bCs/>
          <w:color w:val="0B2E4F"/>
          <w:sz w:val="30"/>
          <w:szCs w:val="30"/>
        </w:rPr>
        <w:t xml:space="preserve">2. Markets at a Glance</w:t>
      </w:r>
    </w:p>
    <w:p>
      <w:pPr>
        <w:spacing w:after="200" w:line="280"/>
      </w:pPr>
      <w:r>
        <w:rPr>
          <w:rFonts w:ascii="Calibri" w:cs="Calibri" w:eastAsia="Calibri" w:hAnsi="Calibri"/>
          <w:i/>
          <w:iCs/>
          <w:color w:val="666666"/>
          <w:sz w:val="20"/>
          <w:szCs w:val="20"/>
        </w:rPr>
        <w:t xml:space="preserve">Snapshot at 8:00 AM ET. Futures levels are front-month contracts. % changes vs. prior session close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0B2E4F" w:val="clear"/>
            <w:tcMar>
              <w:top w:type="dxa" w:w="100"/>
              <w:left w:type="dxa" w:w="140"/>
              <w:bottom w:type="dxa" w:w="100"/>
              <w:right w:type="dxa" w:w="140"/>
            </w:tcMar>
          </w:tcPr>
          <w:p>
            <w:r>
              <w:rPr>
                <w:rFonts w:ascii="Calibri" w:cs="Calibri" w:eastAsia="Calibri" w:hAnsi="Calibri"/>
                <w:b/>
                <w:bCs/>
                <w:color w:val="FFFFFF"/>
                <w:sz w:val="20"/>
                <w:szCs w:val="20"/>
              </w:rPr>
              <w:t xml:space="preserve">Instrument</w:t>
            </w:r>
          </w:p>
        </w:tc>
        <w:tc>
          <w:tcPr>
            <w:tcW w:type="dxa" w:w="2080"/>
            <w:tcBorders>
              <w:top w:val="single" w:color="CCCCCC" w:sz="1"/>
              <w:left w:val="single" w:color="CCCCCC" w:sz="1"/>
              <w:bottom w:val="single" w:color="CCCCCC" w:sz="1"/>
              <w:right w:val="single" w:color="CCCCCC" w:sz="1"/>
            </w:tcBorders>
            <w:shd w:fill="0B2E4F" w:val="clear"/>
            <w:tcMar>
              <w:top w:type="dxa" w:w="100"/>
              <w:left w:type="dxa" w:w="140"/>
              <w:bottom w:type="dxa" w:w="100"/>
              <w:right w:type="dxa" w:w="140"/>
            </w:tcMar>
          </w:tcPr>
          <w:p>
            <w:r>
              <w:rPr>
                <w:rFonts w:ascii="Calibri" w:cs="Calibri" w:eastAsia="Calibri" w:hAnsi="Calibri"/>
                <w:b/>
                <w:bCs/>
                <w:color w:val="FFFFFF"/>
                <w:sz w:val="20"/>
                <w:szCs w:val="20"/>
              </w:rPr>
              <w:t xml:space="preserve">Level</w:t>
            </w:r>
          </w:p>
        </w:tc>
        <w:tc>
          <w:tcPr>
            <w:tcW w:type="dxa" w:w="2080"/>
            <w:tcBorders>
              <w:top w:val="single" w:color="CCCCCC" w:sz="1"/>
              <w:left w:val="single" w:color="CCCCCC" w:sz="1"/>
              <w:bottom w:val="single" w:color="CCCCCC" w:sz="1"/>
              <w:right w:val="single" w:color="CCCCCC" w:sz="1"/>
            </w:tcBorders>
            <w:shd w:fill="0B2E4F" w:val="clear"/>
            <w:tcMar>
              <w:top w:type="dxa" w:w="100"/>
              <w:left w:type="dxa" w:w="140"/>
              <w:bottom w:type="dxa" w:w="100"/>
              <w:right w:type="dxa" w:w="140"/>
            </w:tcMar>
          </w:tcPr>
          <w:p>
            <w:r>
              <w:rPr>
                <w:rFonts w:ascii="Calibri" w:cs="Calibri" w:eastAsia="Calibri" w:hAnsi="Calibri"/>
                <w:b/>
                <w:bCs/>
                <w:color w:val="FFFFFF"/>
                <w:sz w:val="20"/>
                <w:szCs w:val="20"/>
              </w:rPr>
              <w:t xml:space="preserve">Change</w:t>
            </w:r>
          </w:p>
        </w:tc>
        <w:tc>
          <w:tcPr>
            <w:tcW w:type="dxa" w:w="2080"/>
            <w:tcBorders>
              <w:top w:val="single" w:color="CCCCCC" w:sz="1"/>
              <w:left w:val="single" w:color="CCCCCC" w:sz="1"/>
              <w:bottom w:val="single" w:color="CCCCCC" w:sz="1"/>
              <w:right w:val="single" w:color="CCCCCC" w:sz="1"/>
            </w:tcBorders>
            <w:shd w:fill="0B2E4F" w:val="clear"/>
            <w:tcMar>
              <w:top w:type="dxa" w:w="100"/>
              <w:left w:type="dxa" w:w="140"/>
              <w:bottom w:type="dxa" w:w="100"/>
              <w:right w:type="dxa" w:w="140"/>
            </w:tcMar>
          </w:tcPr>
          <w:p>
            <w:r>
              <w:rPr>
                <w:rFonts w:ascii="Calibri" w:cs="Calibri" w:eastAsia="Calibri" w:hAnsi="Calibri"/>
                <w:b/>
                <w:bCs/>
                <w:color w:val="FFFFFF"/>
                <w:sz w:val="20"/>
                <w:szCs w:val="20"/>
              </w:rPr>
              <w:t xml:space="preserve">Note</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US EQUITY FUTURES (pre-open)</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S&amp;P 500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7,179.00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−0.22%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Off Friday's record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Nasdaq 100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27,390.50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−0.16%</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Mag 7 in focus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Dow Jones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49,271.00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−0.24%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Defensives rotate</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Russell 2000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2,341.20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−0.31%</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Yield-sensitive</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PRIOR US CLOSE (Friday, Apr 24)</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S&amp;P 500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7,165.08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+0.50%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4th straight weekly gain</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Nasdaq Composite</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23,512.40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+0.61%</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Tech relentless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Dow Industrials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49,389.00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+0.34%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Caboose, but green</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VIX</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19.03</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+1.71%</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Calm, all things considered</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ASIA CLOSE</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Nikkei 225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59,518.34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+2.38%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Fresh record close</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Hang Seng</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23,147.00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+0.94%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Tech, banks lead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Shanghai Composite</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4,055.55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+0.70%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Politburo eyed Apr 30</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Kospi</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3,118.20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+1.12%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Samsung, SK Hynix bid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ASX 200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8,612.40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+0.45%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Energy, miners firmer</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EUROPE (intraday)</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Stoxx Europe 600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568.70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+0.55%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Banks +1.2% pre-prints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FTSE 100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8,914.40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+0.41%</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Energy bid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DAX 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23,810.50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+0.62%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Defense, autos firm</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CAC 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8,278.30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+0.58%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Luxury stable</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U.S. TREASURIES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2-Year yield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3.83%</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+2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Front-end glued to FOMC</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5-Year yield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4.04%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+3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Belly cheapens on oil</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10-Year yield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4.34%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+4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Term premium back</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30-Year yield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4.86%</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+4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Bear-steepening</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CURRENCIES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Dollar Index (DXY)</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98.62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+0.18%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Safe-haven bid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EUR/USD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1.0832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−0.20%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ECB Thu, slips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GBP/USD</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1.3478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−0.16%</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BoE Thu</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USD/JPY</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153.41</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+0.34%</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BoJ Tue, yen heavy</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USD/CNY (offshore)</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7.218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+0.10%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PBoC fix steady</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COMMODITIES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WTI crude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$95.80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+1.48%</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Hormuz risk premium</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Brent crude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$106.99</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+1.55%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Above $107 intraday</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Natural gas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$2.52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−3.60%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Mild weather, oversupply</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Gold (Jun)</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$4,693</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C0392B"/>
                <w:sz w:val="20"/>
                <w:szCs w:val="20"/>
              </w:rPr>
              <w:t xml:space="preserve">−0.40%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Real yields up, oil up</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Silver (Jul)</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$76.40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+0.70%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Industrial bid</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Copper (Jul)</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$4.92/lb</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+0.55%</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Growth proxy steady</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CRYPTO</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Bitcoin (BTC)</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$78,670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+1.36%</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Reclaims $79K intraday</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Ethereum (ETH)</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$2,370</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+2.22%</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Sentiment shifts to neutral</w:t>
            </w:r>
          </w:p>
        </w:tc>
      </w:tr>
      <w:tr>
        <w:tc>
          <w:tcPr>
            <w:tcW w:type="dxa" w:w="9360"/>
            <w:gridSpan w:val="4"/>
            <w:tcBorders>
              <w:top w:val="single" w:color="CCCCCC" w:sz="1"/>
              <w:left w:val="single" w:color="CCCCCC" w:sz="1"/>
              <w:bottom w:val="single" w:color="CCCCCC" w:sz="1"/>
              <w:right w:val="single" w:color="CCCCCC" w:sz="1"/>
            </w:tcBorders>
            <w:shd w:fill="F4E4BC" w:val="clear"/>
            <w:tcMar>
              <w:top w:type="dxa" w:w="80"/>
              <w:left w:type="dxa" w:w="140"/>
              <w:bottom w:type="dxa" w:w="80"/>
              <w:right w:type="dxa" w:w="140"/>
            </w:tcMar>
          </w:tcPr>
          <w:p>
            <w:r>
              <w:rPr>
                <w:rFonts w:ascii="Calibri" w:cs="Calibri" w:eastAsia="Calibri" w:hAnsi="Calibri"/>
                <w:b/>
                <w:bCs/>
                <w:color w:val="0B2E4F"/>
                <w:sz w:val="20"/>
                <w:szCs w:val="20"/>
              </w:rPr>
              <w:t xml:space="preserve">CREDIT (option-adjusted spreads)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IG corporate (BAML)</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82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333333"/>
                <w:sz w:val="20"/>
                <w:szCs w:val="20"/>
              </w:rPr>
              <w:t xml:space="preserve">Flat</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Near 25-year tights</w:t>
            </w:r>
          </w:p>
        </w:tc>
      </w:tr>
      <w:tr>
        <w:tc>
          <w:tcPr>
            <w:tcW w:type="dxa" w:w="312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20"/>
                <w:szCs w:val="20"/>
              </w:rPr>
              <w:t xml:space="preserve">HY corporate (BAML)</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color w:val="333333"/>
                <w:sz w:val="20"/>
                <w:szCs w:val="20"/>
              </w:rPr>
              <w:t xml:space="preserve">278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pPr>
              <w:jc w:val="right"/>
            </w:pPr>
            <w:r>
              <w:rPr>
                <w:rFonts w:ascii="Calibri" w:cs="Calibri" w:eastAsia="Calibri" w:hAnsi="Calibri"/>
                <w:b/>
                <w:bCs/>
                <w:color w:val="0F8A3F"/>
                <w:sz w:val="20"/>
                <w:szCs w:val="20"/>
              </w:rPr>
              <w:t xml:space="preserve">+4 bps</w:t>
            </w:r>
          </w:p>
        </w:tc>
        <w:tc>
          <w:tcPr>
            <w:tcW w:type="dxa" w:w="208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i/>
                <w:iCs/>
                <w:color w:val="666666"/>
                <w:sz w:val="18"/>
                <w:szCs w:val="18"/>
              </w:rPr>
              <w:t xml:space="preserve">BB 175, CCC 720</w:t>
            </w:r>
          </w:p>
        </w:tc>
      </w:tr>
    </w:tbl>
    <w:p>
      <w:pPr>
        <w:pBdr>
          <w:bottom w:val="single" w:color="B68D40" w:sz="18" w:space="4"/>
        </w:pBdr>
        <w:spacing w:after="160" w:before="320"/>
      </w:pPr>
      <w:r>
        <w:rPr>
          <w:rFonts w:ascii="Calibri" w:cs="Calibri" w:eastAsia="Calibri" w:hAnsi="Calibri"/>
          <w:b/>
          <w:bCs/>
          <w:color w:val="0B2E4F"/>
          <w:sz w:val="30"/>
          <w:szCs w:val="30"/>
        </w:rPr>
        <w:t xml:space="preserve">3. Top Stories</w:t>
      </w:r>
    </w:p>
    <w:p>
      <w:pPr>
        <w:spacing w:after="100" w:before="240"/>
      </w:pPr>
      <w:r>
        <w:rPr>
          <w:rFonts w:ascii="Calibri" w:cs="Calibri" w:eastAsia="Calibri" w:hAnsi="Calibri"/>
          <w:b/>
          <w:bCs/>
          <w:color w:val="0B2E4F"/>
          <w:sz w:val="24"/>
          <w:szCs w:val="24"/>
        </w:rPr>
        <w:t xml:space="preserve">Trump cancels Iran mission; Hormuz stays shut into week nine</w:t>
      </w:r>
    </w:p>
    <w:p>
      <w:pPr>
        <w:spacing w:after="140" w:line="300"/>
        <w:jc w:val="both"/>
      </w:pPr>
      <w:r>
        <w:rPr>
          <w:rFonts w:ascii="Calibri" w:cs="Calibri" w:eastAsia="Calibri" w:hAnsi="Calibri"/>
          <w:color w:val="333333"/>
          <w:sz w:val="22"/>
          <w:szCs w:val="22"/>
        </w:rPr>
        <w:t xml:space="preserve">Saturday's last-minute scrubbing of Steve Witkoff and Jared Kushner's flight to Islamabad was the third diplomatic collapse of the nine-week conflict, and the most consequential. Iran's foreign minister, who had already arrived in Pakistan, departed for Moscow within hours; Trump told reporters that Iran 'offered a lot, but not enough.' Brent crude, which had drifted lower last week on hopes of a breakthrough, gapped back above $107 overnight.</w:t>
      </w:r>
    </w:p>
    <w:p>
      <w:pPr>
        <w:spacing w:after="140" w:line="300"/>
        <w:jc w:val="both"/>
      </w:pPr>
      <w:r>
        <w:rPr>
          <w:rFonts w:ascii="Calibri" w:cs="Calibri" w:eastAsia="Calibri" w:hAnsi="Calibri"/>
          <w:color w:val="333333"/>
          <w:sz w:val="22"/>
          <w:szCs w:val="22"/>
        </w:rPr>
        <w:t xml:space="preserve">The mechanics now matter more than the rhetoric. Roughly one-fifth of seaborne oil and a quarter of LNG normally transit Hormuz; the IEA last week called the cumulative disruption 'the largest energy supply shock on record.' Saturday's tracking by Windward showed only 19 commercial vessels transiting the strait — a fraction of the typical 60 — and shipping insurers have effectively withdrawn cover for non-aligned flags. Each week the closure persists adds roughly 30–50 bps to year-ahead U.S. inflation expectations, by Goldman's running estimate.</w:t>
      </w:r>
    </w:p>
    <w:p>
      <w:pPr>
        <w:spacing w:after="140" w:line="300"/>
        <w:jc w:val="both"/>
      </w:pPr>
      <w:r>
        <w:rPr>
          <w:rFonts w:ascii="Calibri" w:cs="Calibri" w:eastAsia="Calibri" w:hAnsi="Calibri"/>
          <w:color w:val="333333"/>
          <w:sz w:val="22"/>
          <w:szCs w:val="22"/>
        </w:rPr>
        <w:t xml:space="preserve">Market implication: the energy complex is no longer trading a peace dividend. Refiners (PSX, VLO, MPC) and integrateds (XOM, CVX) have been the trade of the quarter, and Friday's options activity in XOM May $135 calls suggests positioning for further upside. Watch for any signal of reciprocal escalation — Iranian missile activity in the Gulf or a U.S. naval move on Bandar Abbas — that could send Brent toward the $115–$120 risk-premium zone strategists have been modeling.</w:t>
      </w:r>
    </w:p>
    <w:p>
      <w:pPr>
        <w:spacing w:after="100" w:before="240"/>
      </w:pPr>
      <w:r>
        <w:rPr>
          <w:rFonts w:ascii="Calibri" w:cs="Calibri" w:eastAsia="Calibri" w:hAnsi="Calibri"/>
          <w:b/>
          <w:bCs/>
          <w:color w:val="0B2E4F"/>
          <w:sz w:val="24"/>
          <w:szCs w:val="24"/>
        </w:rPr>
        <w:t xml:space="preserve">The Mag 7 earnings avalanche begins Wednesday</w:t>
      </w:r>
    </w:p>
    <w:p>
      <w:pPr>
        <w:spacing w:after="140" w:line="300"/>
        <w:jc w:val="both"/>
      </w:pPr>
      <w:r>
        <w:rPr>
          <w:rFonts w:ascii="Calibri" w:cs="Calibri" w:eastAsia="Calibri" w:hAnsi="Calibri"/>
          <w:color w:val="333333"/>
          <w:sz w:val="22"/>
          <w:szCs w:val="22"/>
        </w:rPr>
        <w:t xml:space="preserve">Five of the Magnificent Seven — Microsoft, Alphabet, Meta and Amazon on Wednesday after the close, Apple on Thursday — report into a market that has rerated relentlessly higher since the April low. Together these names account for roughly 31% of the S&amp;P 500's market capitalization and well over 40% of expected 2026 earnings growth; the FactSet blended Q1 growth rate just stepped up to 15.1% with 84% of reporters beating on EPS, well above the 10-year average of 76%.</w:t>
      </w:r>
    </w:p>
    <w:p>
      <w:pPr>
        <w:spacing w:after="140" w:line="300"/>
        <w:jc w:val="both"/>
      </w:pPr>
      <w:r>
        <w:rPr>
          <w:rFonts w:ascii="Calibri" w:cs="Calibri" w:eastAsia="Calibri" w:hAnsi="Calibri"/>
          <w:color w:val="333333"/>
          <w:sz w:val="22"/>
          <w:szCs w:val="22"/>
        </w:rPr>
        <w:t xml:space="preserve">Analyst consensus has Microsoft delivering $4.07 EPS on $81.4B in revenue (+17.6% / +16.2% YoY); Meta at $6.64; Amazon at $1.65; Apple at $1.95. The questions are uniform across the cohort: capex guidance, AI monetization signals (Copilot ARR, Meta's Advantage+ ad lift, Google Cloud GPU backlog) and the China demand picture. Implied moves on the Friday options chain are running 4.5%–7% — the high end since 2022.</w:t>
      </w:r>
    </w:p>
    <w:p>
      <w:pPr>
        <w:spacing w:after="140" w:line="300"/>
        <w:jc w:val="both"/>
      </w:pPr>
      <w:r>
        <w:rPr>
          <w:rFonts w:ascii="Calibri" w:cs="Calibri" w:eastAsia="Calibri" w:hAnsi="Calibri"/>
          <w:color w:val="333333"/>
          <w:sz w:val="22"/>
          <w:szCs w:val="22"/>
        </w:rPr>
        <w:t xml:space="preserve">Watch for: gross-margin compression at the cloud hyperscalers as the FY26 GPU build-out crests; any sign that Apple's Services revenue is softening alongside iPhone unit declines; and Amazon's AWS run-rate, where bulls expect a re-acceleration to 20%+ y/y after a cycle of optimization. A clean sweep extends the breadth-anemic rally; a single miss in this group could puncture sentiment that has carried the index to four straight weekly highs.</w:t>
      </w:r>
    </w:p>
    <w:p>
      <w:pPr>
        <w:spacing w:after="100" w:before="240"/>
      </w:pPr>
      <w:r>
        <w:rPr>
          <w:rFonts w:ascii="Calibri" w:cs="Calibri" w:eastAsia="Calibri" w:hAnsi="Calibri"/>
          <w:b/>
          <w:bCs/>
          <w:color w:val="0B2E4F"/>
          <w:sz w:val="24"/>
          <w:szCs w:val="24"/>
        </w:rPr>
        <w:t xml:space="preserve">FOMC begins; markets price 95% hold, but it's all about the dots in June</w:t>
      </w:r>
    </w:p>
    <w:p>
      <w:pPr>
        <w:spacing w:after="140" w:line="300"/>
        <w:jc w:val="both"/>
      </w:pPr>
      <w:r>
        <w:rPr>
          <w:rFonts w:ascii="Calibri" w:cs="Calibri" w:eastAsia="Calibri" w:hAnsi="Calibri"/>
          <w:color w:val="333333"/>
          <w:sz w:val="22"/>
          <w:szCs w:val="22"/>
        </w:rPr>
        <w:t xml:space="preserve">The Federal Open Market Committee convenes Tuesday and announces Wednesday at 2:00 PM ET. CME FedWatch implies a 94.8% probability of a hold at the current 4.25%–4.50% target range, where the rate has sat since December 2024. The interesting question is what Powell signals about the dot plot at the June refresh, given a stagflationary cocktail no one anticipated three months ago: oil up 35% YTD, headline CPI tracking 3.6%, but the Atlanta Fed GDPNow estimate for Q1 down to 1.4%.</w:t>
      </w:r>
    </w:p>
    <w:p>
      <w:pPr>
        <w:spacing w:after="140" w:line="300"/>
        <w:jc w:val="both"/>
      </w:pPr>
      <w:r>
        <w:rPr>
          <w:rFonts w:ascii="Calibri" w:cs="Calibri" w:eastAsia="Calibri" w:hAnsi="Calibri"/>
          <w:color w:val="333333"/>
          <w:sz w:val="22"/>
          <w:szCs w:val="22"/>
        </w:rPr>
        <w:t xml:space="preserve">Fed funds futures still price one to two cuts by year-end, concentrated in September and December. The 2s/10s curve, at +51 bps, has steepened 18 bps since the Iran conflict began, classic late-cycle term-premium repricing rather than recession signaling. Powell's challenge Wednesday is to acknowledge the supply shock without endorsing a near-term easing path the data don't yet support.</w:t>
      </w:r>
    </w:p>
    <w:p>
      <w:pPr>
        <w:spacing w:after="140" w:line="300"/>
        <w:jc w:val="both"/>
      </w:pPr>
      <w:r>
        <w:rPr>
          <w:rFonts w:ascii="Calibri" w:cs="Calibri" w:eastAsia="Calibri" w:hAnsi="Calibri"/>
          <w:color w:val="333333"/>
          <w:sz w:val="22"/>
          <w:szCs w:val="22"/>
        </w:rPr>
        <w:t xml:space="preserve">Market implication: any hawkish surprise in the statement language — a stronger acknowledgment of energy pass-through, a hint that the cuts already priced are excessive — would lift the dollar and steepen the curve further. Conversely, a dovish nod to softening growth would re-anchor the front end and revive duration trades. The 2-year note auction at 1 PM ET today, $69B, is the first read on demand.</w:t>
      </w:r>
    </w:p>
    <w:p>
      <w:pPr>
        <w:spacing w:after="100" w:before="240"/>
      </w:pPr>
      <w:r>
        <w:rPr>
          <w:rFonts w:ascii="Calibri" w:cs="Calibri" w:eastAsia="Calibri" w:hAnsi="Calibri"/>
          <w:b/>
          <w:bCs/>
          <w:color w:val="0B2E4F"/>
          <w:sz w:val="24"/>
          <w:szCs w:val="24"/>
        </w:rPr>
        <w:t xml:space="preserve">European banks set up the continent for a defining week</w:t>
      </w:r>
    </w:p>
    <w:p>
      <w:pPr>
        <w:spacing w:after="140" w:line="300"/>
        <w:jc w:val="both"/>
      </w:pPr>
      <w:r>
        <w:rPr>
          <w:rFonts w:ascii="Calibri" w:cs="Calibri" w:eastAsia="Calibri" w:hAnsi="Calibri"/>
          <w:color w:val="333333"/>
          <w:sz w:val="22"/>
          <w:szCs w:val="22"/>
        </w:rPr>
        <w:t xml:space="preserve">The Stoxx 600 ground higher 0.5% in early London trade with banks +1.2%, the standout sector ahead of a flurry of European prints that begins Wednesday: Barclays, Deutsche Bank, BNP Paribas, UBS, Santander and BBVA all report this week. After three years of margin tailwinds from positive deposit rates, European lenders face the inflection: ECB on Thursday is expected to hold at 2.25%, but the curve and fee-income outlook now matter more than NII.</w:t>
      </w:r>
    </w:p>
    <w:p>
      <w:pPr>
        <w:spacing w:after="140" w:line="300"/>
        <w:jc w:val="both"/>
      </w:pPr>
      <w:r>
        <w:rPr>
          <w:rFonts w:ascii="Calibri" w:cs="Calibri" w:eastAsia="Calibri" w:hAnsi="Calibri"/>
          <w:color w:val="333333"/>
          <w:sz w:val="22"/>
          <w:szCs w:val="22"/>
        </w:rPr>
        <w:t xml:space="preserve">UBS will get particular scrutiny on its Credit Suisse integration milestones and capital return; Deutsche on its investment-banking trajectory after a punishing 2025; Barclays on the U.S. consumer-credit book that has become its swing factor. European banks trade at 0.85x book on average, against U.S. peers at 1.25x — the widest gap since 2014.</w:t>
      </w:r>
    </w:p>
    <w:p>
      <w:pPr>
        <w:spacing w:after="140" w:line="300"/>
        <w:jc w:val="both"/>
      </w:pPr>
      <w:r>
        <w:rPr>
          <w:rFonts w:ascii="Calibri" w:cs="Calibri" w:eastAsia="Calibri" w:hAnsi="Calibri"/>
          <w:color w:val="333333"/>
          <w:sz w:val="22"/>
          <w:szCs w:val="22"/>
        </w:rPr>
        <w:t xml:space="preserve">Watch for: any flagging of credit deterioration in commercial real estate in Germany or Italy. The ECB's bank lending survey, due Tuesday, is the macro tell. A clean print would help close the U.S./Europe valuation gap; a single CRE-related charge could reopen it.</w:t>
      </w:r>
    </w:p>
    <w:p>
      <w:pPr>
        <w:spacing w:after="100" w:before="240"/>
      </w:pPr>
      <w:r>
        <w:rPr>
          <w:rFonts w:ascii="Calibri" w:cs="Calibri" w:eastAsia="Calibri" w:hAnsi="Calibri"/>
          <w:b/>
          <w:bCs/>
          <w:color w:val="0B2E4F"/>
          <w:sz w:val="24"/>
          <w:szCs w:val="24"/>
        </w:rPr>
        <w:t xml:space="preserve">Bitcoin reclaims $79K as Fear &amp; Greed flips to neutral</w:t>
      </w:r>
    </w:p>
    <w:p>
      <w:pPr>
        <w:spacing w:after="140" w:line="300"/>
        <w:jc w:val="both"/>
      </w:pPr>
      <w:r>
        <w:rPr>
          <w:rFonts w:ascii="Calibri" w:cs="Calibri" w:eastAsia="Calibri" w:hAnsi="Calibri"/>
          <w:color w:val="333333"/>
          <w:sz w:val="22"/>
          <w:szCs w:val="22"/>
        </w:rPr>
        <w:t xml:space="preserve">Bitcoin opened the U.S. session near $78,670, up 1.4% on the day, with the Fear &amp; Greed Index moving to 47 (Neutral) from 33 (Fear) Friday. Total crypto market cap pushed back to $2.71 trillion. The proximate catalyst is reduced macro stress: stalled Iran talks notwithstanding, the dollar's safe-haven bid has been less aggressive than the early-April spasm, and ETF flows turned mildly positive into the weekend.</w:t>
      </w:r>
    </w:p>
    <w:p>
      <w:pPr>
        <w:spacing w:after="140" w:line="300"/>
        <w:jc w:val="both"/>
      </w:pPr>
      <w:r>
        <w:rPr>
          <w:rFonts w:ascii="Calibri" w:cs="Calibri" w:eastAsia="Calibri" w:hAnsi="Calibri"/>
          <w:color w:val="333333"/>
          <w:sz w:val="22"/>
          <w:szCs w:val="22"/>
        </w:rPr>
        <w:t xml:space="preserve">Underneath the price action, the structural story is unchanged. The post-halving supply tightening is past peak, miner break-evens are rising with energy costs, and the next technical pivot is the prior all-time high near $84K. Ethereum's $2,370 print represents a 2.2% session gain but still leaves ETH/BTC at three-year lows.</w:t>
      </w:r>
    </w:p>
    <w:p>
      <w:pPr>
        <w:spacing w:after="140" w:line="300"/>
        <w:jc w:val="both"/>
      </w:pPr>
      <w:r>
        <w:rPr>
          <w:rFonts w:ascii="Calibri" w:cs="Calibri" w:eastAsia="Calibri" w:hAnsi="Calibri"/>
          <w:color w:val="333333"/>
          <w:sz w:val="22"/>
          <w:szCs w:val="22"/>
        </w:rPr>
        <w:t xml:space="preserve">Regulatory backdrop matters more than usual this week: the SEC under Atkins is expected to issue final ETF generic-listing guidance, which would open the door to spot Solana and XRP products. Confirmation of that timeline could untether alt-coin flows from the BTC tape for the first time in a year.</w:t>
      </w:r>
    </w:p>
    <w:p>
      <w:pPr>
        <w:spacing w:after="100" w:before="240"/>
      </w:pPr>
      <w:r>
        <w:rPr>
          <w:rFonts w:ascii="Calibri" w:cs="Calibri" w:eastAsia="Calibri" w:hAnsi="Calibri"/>
          <w:b/>
          <w:bCs/>
          <w:color w:val="0B2E4F"/>
          <w:sz w:val="24"/>
          <w:szCs w:val="24"/>
        </w:rPr>
        <w:t xml:space="preserve">Cadence and Nucor open the tape after the close</w:t>
      </w:r>
    </w:p>
    <w:p>
      <w:pPr>
        <w:spacing w:after="140" w:line="300"/>
        <w:jc w:val="both"/>
      </w:pPr>
      <w:r>
        <w:rPr>
          <w:rFonts w:ascii="Calibri" w:cs="Calibri" w:eastAsia="Calibri" w:hAnsi="Calibri"/>
          <w:color w:val="333333"/>
          <w:sz w:val="22"/>
          <w:szCs w:val="22"/>
        </w:rPr>
        <w:t xml:space="preserve">Today's main event after the bell is Cadence Design Systems (CDNS), the EDA software bellwether and a clean read on chip-design spend. Consensus has Q1 EPS of $1.89 on revenue of $1.46B (+16.4% YoY), with company guidance of $1.89–$1.95. The MSC Software acquisition (closed February) starts contributing this quarter and the read across to Synopsys, Ansys and Arm is direct. Implied move into the print is roughly 5.8%.</w:t>
      </w:r>
    </w:p>
    <w:p>
      <w:pPr>
        <w:spacing w:after="140" w:line="300"/>
        <w:jc w:val="both"/>
      </w:pPr>
      <w:r>
        <w:rPr>
          <w:rFonts w:ascii="Calibri" w:cs="Calibri" w:eastAsia="Calibri" w:hAnsi="Calibri"/>
          <w:color w:val="333333"/>
          <w:sz w:val="22"/>
          <w:szCs w:val="22"/>
        </w:rPr>
        <w:t xml:space="preserve">Also after-hours: Nucor (NUE), expected to deliver $2.81 EPS on $8.82B revenue. The steel margin trajectory matters less than commentary on Section 232 tariff exemptions and any framing of the auto/non-resi construction order book heading into the back half. Nucor has fallen ~9% YTD against an S&amp;P up 4%; a clean beat would help reset the cyclicals trade.</w:t>
      </w:r>
    </w:p>
    <w:p>
      <w:pPr>
        <w:spacing w:after="140" w:line="300"/>
        <w:jc w:val="both"/>
      </w:pPr>
      <w:r>
        <w:rPr>
          <w:rFonts w:ascii="Calibri" w:cs="Calibri" w:eastAsia="Calibri" w:hAnsi="Calibri"/>
          <w:color w:val="333333"/>
          <w:sz w:val="22"/>
          <w:szCs w:val="22"/>
        </w:rPr>
        <w:t xml:space="preserve">Pre-market action was dominated by Domino's Pizza (DPZ): consensus $4.28 EPS, $1.17B revenue. The company posted $4.13 — a 4.6% YoY miss, with U.S. comparable sales softer than feared. Shares were indicated 6% lower in the pre-market and the read for the QSR group, particularly into Starbucks tomorrow, is incrementally negative.</w:t>
      </w:r>
    </w:p>
    <w:p>
      <w:pPr>
        <w:pBdr>
          <w:bottom w:val="single" w:color="B68D40" w:sz="18" w:space="4"/>
        </w:pBdr>
        <w:spacing w:after="160" w:before="320"/>
      </w:pPr>
      <w:r>
        <w:rPr>
          <w:rFonts w:ascii="Calibri" w:cs="Calibri" w:eastAsia="Calibri" w:hAnsi="Calibri"/>
          <w:b/>
          <w:bCs/>
          <w:color w:val="0B2E4F"/>
          <w:sz w:val="30"/>
          <w:szCs w:val="30"/>
        </w:rPr>
        <w:t xml:space="preserve">4. Macro &amp; Fed Watch</w:t>
      </w:r>
    </w:p>
    <w:p>
      <w:pPr>
        <w:spacing w:after="140" w:line="300"/>
        <w:jc w:val="both"/>
      </w:pPr>
      <w:r>
        <w:rPr>
          <w:rFonts w:ascii="Calibri" w:cs="Calibri" w:eastAsia="Calibri" w:hAnsi="Calibri"/>
          <w:color w:val="333333"/>
          <w:sz w:val="22"/>
          <w:szCs w:val="22"/>
        </w:rPr>
        <w:t xml:space="preserve">The Federal Reserve enters its April 28–29 meeting with a problem it didn't have a quarter ago: an oil shock layered over an economy that was already cooling. Headline CPI in March printed 3.5%, with shelter still sticky and goods disinflation now reversing for the first time in two years. The Atlanta Fed GDPNow tracker shows Q1 growth at 1.4% — Thursday's advance read will tell us whether that has further to fall. Treasury markets have responded by bear-steepening: the 2-year is back to 3.83%, the 10-year to 4.34%, and the 30-year to 4.86%, with most of the move concentrated at the long end on rising term premium rather than rising rate-cut expectations.</w:t>
      </w:r>
    </w:p>
    <w:p>
      <w:pPr>
        <w:spacing w:after="140" w:line="300"/>
        <w:jc w:val="both"/>
      </w:pPr>
      <w:r>
        <w:rPr>
          <w:rFonts w:ascii="Calibri" w:cs="Calibri" w:eastAsia="Calibri" w:hAnsi="Calibri"/>
          <w:color w:val="333333"/>
          <w:sz w:val="22"/>
          <w:szCs w:val="22"/>
        </w:rPr>
        <w:t xml:space="preserve">CME FedWatch prices a 94.8% probability of a hold this week, and the September meeting is now the first with materially better-than-even odds of a cut. The full-year curve implies one to two 25 bp moves by December — fewer than the three signaled in March, more than the zero some hawks have argued for. The June dot plot will be the next defining moment; it lands the same week as May CPI. Powell's Wednesday press conference will be parsed for two signals: how he frames the energy passthrough into core inflation expectations (a concession that they're 'less anchored' would be the hawkish read) and how he characterizes the labor market, where last week's continuing claims at 1.81 million were the highest since November 2021.</w:t>
      </w:r>
    </w:p>
    <w:p>
      <w:pPr>
        <w:spacing w:after="140" w:line="300"/>
        <w:jc w:val="both"/>
      </w:pPr>
      <w:r>
        <w:rPr>
          <w:rFonts w:ascii="Calibri" w:cs="Calibri" w:eastAsia="Calibri" w:hAnsi="Calibri"/>
          <w:color w:val="333333"/>
          <w:sz w:val="22"/>
          <w:szCs w:val="22"/>
        </w:rPr>
        <w:t xml:space="preserve">Globally, the Bank of Japan also meets Tuesday with the yen near 153.4 — Governor Ueda is widely expected to maintain the 0.50% policy rate but signal a July hike if wage data hold. The Bank of Canada announces Wednesday with a cut in the conditional set. The ECB on Thursday is the cleanest hold in the G7. The Bank of England Thursday is split: 6–3 hold-versus-cut is the consensus. Add it up and global rate divergence is widening, which has supported a renewed dollar bid into this week despite the U.S. growth concerns — itself a pro-cyclical pressure on emerging markets and a headwind to U.S. multinational earnings translation that the Mag 7 will have to address.</w:t>
      </w:r>
    </w:p>
    <w:p>
      <w:pPr>
        <w:pBdr>
          <w:bottom w:val="single" w:color="B68D40" w:sz="18" w:space="4"/>
        </w:pBdr>
        <w:spacing w:after="160" w:before="320"/>
      </w:pPr>
      <w:r>
        <w:rPr>
          <w:rFonts w:ascii="Calibri" w:cs="Calibri" w:eastAsia="Calibri" w:hAnsi="Calibri"/>
          <w:b/>
          <w:bCs/>
          <w:color w:val="0B2E4F"/>
          <w:sz w:val="30"/>
          <w:szCs w:val="30"/>
        </w:rPr>
        <w:t xml:space="preserve">5.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430"/>
        <w:gridCol w:w="1430"/>
        <w:gridCol w:w="2000"/>
      </w:tblGrid>
      <w:tr>
        <w:trPr>
          <w:tblHeader/>
        </w:trPr>
        <w:tc>
          <w:tcPr>
            <w:tcW w:type="dxa" w:w="15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Time (ET)</w:t>
            </w:r>
          </w:p>
        </w:tc>
        <w:tc>
          <w:tcPr>
            <w:tcW w:type="dxa" w:w="30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Indicator</w:t>
            </w:r>
          </w:p>
        </w:tc>
        <w:tc>
          <w:tcPr>
            <w:tcW w:type="dxa" w:w="143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Prior</w:t>
            </w:r>
          </w:p>
        </w:tc>
        <w:tc>
          <w:tcPr>
            <w:tcW w:type="dxa" w:w="143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Consensus</w:t>
            </w:r>
          </w:p>
        </w:tc>
        <w:tc>
          <w:tcPr>
            <w:tcW w:type="dxa" w:w="20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Why it matters</w:t>
            </w:r>
          </w:p>
        </w:tc>
      </w:tr>
      <w:tr>
        <w:trPr>
          <w:tblHeader w:val="false"/>
        </w:trPr>
        <w:tc>
          <w:tcPr>
            <w:tcW w:type="dxa" w:w="1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10:30 AM</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Dallas Fed Mfg Index (Apr)</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−0.2</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−1.5</w:t>
            </w:r>
          </w:p>
        </w:tc>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Tariff &amp; oil pass-through to factories</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11:30 AM</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3M &amp; 6M Treasury auctions</w:t>
            </w:r>
          </w:p>
        </w:tc>
        <w:tc>
          <w:tcPr>
            <w:tcW w:type="dxa" w:w="143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143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Front-end demand gauge into FOMC</w:t>
            </w:r>
          </w:p>
        </w:tc>
      </w:tr>
      <w:tr>
        <w:trPr>
          <w:tblHeader w:val="false"/>
        </w:trPr>
        <w:tc>
          <w:tcPr>
            <w:tcW w:type="dxa" w:w="1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1:00 PM</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2-Year Note auction ($69B)</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3.815%</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Tests FOMC pricing</w:t>
            </w:r>
          </w:p>
        </w:tc>
      </w:tr>
      <w:tr>
        <w:trPr>
          <w:tblHeader w:val="false"/>
        </w:trPr>
        <w:tc>
          <w:tcPr>
            <w:tcW w:type="dxa" w:w="15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Fed speakers</w:t>
            </w:r>
          </w:p>
        </w:tc>
        <w:tc>
          <w:tcPr>
            <w:tcW w:type="dxa" w:w="143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143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Quiet — FOMC media blackout in effect</w:t>
            </w:r>
          </w:p>
        </w:tc>
      </w:tr>
      <w:tr>
        <w:trPr>
          <w:tblHeader w:val="false"/>
        </w:trPr>
        <w:tc>
          <w:tcPr>
            <w:tcW w:type="dxa" w:w="15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Earnings (AMC)</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Cadence, Nucor, F5, Brown &amp; Brown</w:t>
            </w:r>
          </w:p>
        </w:tc>
        <w:tc>
          <w:tcPr>
            <w:tcW w:type="dxa" w:w="143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w:t>
            </w:r>
          </w:p>
        </w:tc>
        <w:tc>
          <w:tcPr>
            <w:tcW w:type="dxa" w:w="20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Tape-setters for the week</w:t>
            </w:r>
          </w:p>
        </w:tc>
      </w:tr>
    </w:tbl>
    <w:p>
      <w:pPr>
        <w:spacing w:after="200" w:line="280"/>
      </w:pPr>
      <w:r>
        <w:rPr>
          <w:rFonts w:ascii="Calibri" w:cs="Calibri" w:eastAsia="Calibri" w:hAnsi="Calibri"/>
          <w:i/>
          <w:iCs/>
          <w:color w:val="666666"/>
          <w:sz w:val="20"/>
          <w:szCs w:val="20"/>
        </w:rPr>
        <w:t xml:space="preserve">Light Monday by design. Tuesday is the heavy hitter: BoJ decision overnight, Conference Board Consumer Confidence (10 AM ET, consensus 94.5 vs. 92.9 prior) and JOLTS Job Openings (10 AM ET).</w:t>
      </w:r>
    </w:p>
    <w:p>
      <w:pPr>
        <w:pBdr>
          <w:bottom w:val="single" w:color="B68D40" w:sz="18" w:space="4"/>
        </w:pBdr>
        <w:spacing w:after="160" w:before="320"/>
      </w:pPr>
      <w:r>
        <w:rPr>
          <w:rFonts w:ascii="Calibri" w:cs="Calibri" w:eastAsia="Calibri" w:hAnsi="Calibri"/>
          <w:b/>
          <w:bCs/>
          <w:color w:val="0B2E4F"/>
          <w:sz w:val="30"/>
          <w:szCs w:val="30"/>
        </w:rPr>
        <w:t xml:space="preserve">6. Earnings Watch</w:t>
      </w:r>
    </w:p>
    <w:p>
      <w:pPr>
        <w:spacing w:after="140" w:line="300"/>
        <w:jc w:val="both"/>
      </w:pPr>
      <w:r>
        <w:rPr>
          <w:rFonts w:ascii="Calibri" w:cs="Calibri" w:eastAsia="Calibri" w:hAnsi="Calibri"/>
          <w:color w:val="333333"/>
          <w:sz w:val="22"/>
          <w:szCs w:val="22"/>
        </w:rPr>
        <w:t xml:space="preserve">This is the busiest week of the Q1 reporting season. Roughly 180 S&amp;P 500 companies — a third of the index — report Monday through Friday, including five of the Magnificent Seven. Coming in, the FactSet blended Q1 growth rate has stepped up to 15.1%, the sixth straight quarter of double-digit earnings growth, and 84% of the 28% who have already reported beat on EPS — the strongest beat rate since Q3 2021. Aggregate beats are running 12.3% above estimates, well above the 7.3% five-year average. Information Technology, Materials and Financials lead; Health Care is the lone material laggard.</w:t>
      </w:r>
    </w:p>
    <w:p>
      <w:pPr>
        <w:spacing w:after="140" w:line="300"/>
        <w:jc w:val="both"/>
      </w:pPr>
      <w:r>
        <w:rPr>
          <w:rFonts w:ascii="Calibri" w:cs="Calibri" w:eastAsia="Calibri" w:hAnsi="Calibri"/>
          <w:color w:val="333333"/>
          <w:sz w:val="22"/>
          <w:szCs w:val="22"/>
        </w:rPr>
        <w:t xml:space="preserve">Today's slate is the appetizer. Pre-market: Domino's (DPZ) missed at $4.13 vs. $4.28 — see Top Stories. Verizon (VZ) is expected to deliver $1.15 EPS / $33.5B revenue with focus on net adds and free cash flow guidance reaffirmation. Public Storage (PSA), AvalonBay (AVB) and Ventas (VTR) provide the REIT read into Welltower tomorrow. Cincinnati Financial (CINF) on commercial-lines pricing, Universal Health (UHS) on hospital labor costs.</w:t>
      </w:r>
    </w:p>
    <w:p>
      <w:pPr>
        <w:spacing w:after="140" w:line="300"/>
        <w:jc w:val="both"/>
      </w:pPr>
      <w:r>
        <w:rPr>
          <w:rFonts w:ascii="Calibri" w:cs="Calibri" w:eastAsia="Calibri" w:hAnsi="Calibri"/>
          <w:color w:val="333333"/>
          <w:sz w:val="22"/>
          <w:szCs w:val="22"/>
        </w:rPr>
        <w:t xml:space="preserve">After the close, the marquee names are Cadence Design (CDNS) at $1.89 EPS / $1.46B revenue, with implied move 5.8%; Nucor (NUE) at $2.81 / $8.82B; F5 Networks; Brown &amp; Brown; Alexandria Real Estate (ARE); and Amkor Technology (AMKR), an OSAT name that will give a tactical read for next year's iPhone build before AAPL on Thursday.</w:t>
      </w:r>
    </w:p>
    <w:p>
      <w:pPr>
        <w:spacing w:after="140" w:line="300"/>
        <w:jc w:val="both"/>
      </w:pPr>
      <w:r>
        <w:rPr>
          <w:rFonts w:ascii="Calibri" w:cs="Calibri" w:eastAsia="Calibri" w:hAnsi="Calibri"/>
          <w:color w:val="333333"/>
          <w:sz w:val="22"/>
          <w:szCs w:val="22"/>
        </w:rPr>
        <w:t xml:space="preserve">Sector context: with Q1 setting up to print mid-teens growth, the bar for Q2 (consensus +20.6%) and 2026 full year (+18.6%) is towering. Margins are the swing variable. Last week's S&amp;P 500 net margin estimate ticked down 10 bps to 12.7% on rising input costs; another 20 bps of compression would shave roughly $5 from forward EPS — enough to keep the index's 22.5x forward multiple uncomfortable.</w:t>
      </w:r>
    </w:p>
    <w:p>
      <w:pPr>
        <w:pBdr>
          <w:bottom w:val="single" w:color="B68D40" w:sz="18" w:space="4"/>
        </w:pBdr>
        <w:spacing w:after="160" w:before="320"/>
      </w:pPr>
      <w:r>
        <w:rPr>
          <w:rFonts w:ascii="Calibri" w:cs="Calibri" w:eastAsia="Calibri" w:hAnsi="Calibri"/>
          <w:b/>
          <w:bCs/>
          <w:color w:val="0B2E4F"/>
          <w:sz w:val="30"/>
          <w:szCs w:val="30"/>
        </w:rPr>
        <w:t xml:space="preserve">7. Sector Spotlight</w:t>
      </w:r>
    </w:p>
    <w:p>
      <w:pPr>
        <w:spacing w:after="100" w:before="240"/>
      </w:pPr>
      <w:r>
        <w:rPr>
          <w:rFonts w:ascii="Calibri" w:cs="Calibri" w:eastAsia="Calibri" w:hAnsi="Calibri"/>
          <w:b/>
          <w:bCs/>
          <w:color w:val="0B2E4F"/>
          <w:sz w:val="24"/>
          <w:szCs w:val="24"/>
        </w:rPr>
        <w:t xml:space="preserve">Energy: from laggard to leader, in nine weeks</w:t>
      </w:r>
    </w:p>
    <w:p>
      <w:pPr>
        <w:spacing w:after="140" w:line="300"/>
        <w:jc w:val="both"/>
      </w:pPr>
      <w:r>
        <w:rPr>
          <w:rFonts w:ascii="Calibri" w:cs="Calibri" w:eastAsia="Calibri" w:hAnsi="Calibri"/>
          <w:color w:val="333333"/>
          <w:sz w:val="22"/>
          <w:szCs w:val="22"/>
        </w:rPr>
        <w:t xml:space="preserve">Energy is the trade of the year. The S&amp;P 500 Energy sector is +18.7% YTD against a +4% benchmark, the second-best four-month run since 2008. The setup since the Iran conflict began has been almost too clean: integrateds first (XOM +21%, CVX +18% over the period), then refiners on widening crack spreads (PSX +29%, VLO +24%), then services (SLB +14%, HAL +10%) as rig counts ticked up despite hedged producer guidance.</w:t>
      </w:r>
    </w:p>
    <w:p>
      <w:pPr>
        <w:spacing w:after="140" w:line="300"/>
        <w:jc w:val="both"/>
      </w:pPr>
      <w:r>
        <w:rPr>
          <w:rFonts w:ascii="Calibri" w:cs="Calibri" w:eastAsia="Calibri" w:hAnsi="Calibri"/>
          <w:color w:val="333333"/>
          <w:sz w:val="22"/>
          <w:szCs w:val="22"/>
        </w:rPr>
        <w:t xml:space="preserve">The risk now is that the move has gone parabolic. Aggregate energy short interest is at a six-year low, and crowdedness scores from prime brokerages are elevated. Today's Morgan Stanley upgrade of Phillips 66 to Overweight with a $174 target — published into strength — is the kind of late-cycle analyst affirmation that historically marks intermediate tops. Conversely, if Hormuz stays closed through the second half and Brent settles into a $105–$115 range, free cash flow yields above 12% on the integrateds remain the most defensible income profile in the index.</w:t>
      </w:r>
    </w:p>
    <w:p>
      <w:pPr>
        <w:pBdr>
          <w:bottom w:val="single" w:color="B68D40" w:sz="18" w:space="4"/>
        </w:pBdr>
        <w:spacing w:after="160" w:before="320"/>
      </w:pPr>
      <w:r>
        <w:rPr>
          <w:rFonts w:ascii="Calibri" w:cs="Calibri" w:eastAsia="Calibri" w:hAnsi="Calibri"/>
          <w:b/>
          <w:bCs/>
          <w:color w:val="0B2E4F"/>
          <w:sz w:val="30"/>
          <w:szCs w:val="30"/>
        </w:rPr>
        <w:t xml:space="preserve">8. Analyst Calls &amp; Upgrades /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700"/>
        <w:gridCol w:w="2760"/>
      </w:tblGrid>
      <w:tr>
        <w:trPr>
          <w:tblHeader/>
        </w:trPr>
        <w:tc>
          <w:tcPr>
            <w:tcW w:type="dxa" w:w="17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Firm</w:t>
            </w:r>
          </w:p>
        </w:tc>
        <w:tc>
          <w:tcPr>
            <w:tcW w:type="dxa" w:w="13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Stock</w:t>
            </w:r>
          </w:p>
        </w:tc>
        <w:tc>
          <w:tcPr>
            <w:tcW w:type="dxa" w:w="19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Price Target</w:t>
            </w:r>
          </w:p>
        </w:tc>
        <w:tc>
          <w:tcPr>
            <w:tcW w:type="dxa" w:w="2760"/>
            <w:tcBorders>
              <w:top w:val="single" w:color="CCCCCC" w:sz="1"/>
              <w:left w:val="single" w:color="CCCCCC" w:sz="1"/>
              <w:bottom w:val="single" w:color="CCCCCC" w:sz="1"/>
              <w:right w:val="single" w:color="CCCCCC" w:sz="1"/>
            </w:tcBorders>
            <w:shd w:fill="0B2E4F" w:val="clear"/>
            <w:tcMar>
              <w:top w:type="dxa" w:w="70"/>
              <w:left w:type="dxa" w:w="140"/>
              <w:bottom w:type="dxa" w:w="70"/>
              <w:right w:type="dxa" w:w="140"/>
            </w:tcMar>
          </w:tcPr>
          <w:p>
            <w:r>
              <w:rPr>
                <w:rFonts w:ascii="Calibri" w:cs="Calibri" w:eastAsia="Calibri" w:hAnsi="Calibri"/>
                <w:b/>
                <w:bCs/>
                <w:color w:val="FFFFFF"/>
                <w:sz w:val="20"/>
                <w:szCs w:val="20"/>
              </w:rPr>
              <w:t xml:space="preserve">Rationale</w:t>
            </w:r>
          </w:p>
        </w:tc>
      </w:tr>
      <w:tr>
        <w:trPr>
          <w:tblHeader w:val="false"/>
        </w:trPr>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Morgan Stanley</w:t>
            </w:r>
          </w:p>
        </w:tc>
        <w:tc>
          <w:tcPr>
            <w:tcW w:type="dxa" w:w="13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PSX</w:t>
            </w:r>
          </w:p>
        </w:tc>
        <w:tc>
          <w:tcPr>
            <w:tcW w:type="dxa" w:w="1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Upgrade — Equal Wt → Overweight</w:t>
            </w:r>
          </w:p>
        </w:tc>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$147 → $174</w:t>
            </w:r>
          </w:p>
        </w:tc>
        <w:tc>
          <w:tcPr>
            <w:tcW w:type="dxa" w:w="2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Refining margins to widen on Hormuz disruption</w:t>
            </w:r>
          </w:p>
        </w:tc>
      </w:tr>
      <w:tr>
        <w:trPr>
          <w:tblHeader w:val="false"/>
        </w:trP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Morgan Stanley</w:t>
            </w:r>
          </w:p>
        </w:tc>
        <w:tc>
          <w:tcPr>
            <w:tcW w:type="dxa" w:w="13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CSX</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Downgrade — Equal Wt → Underweight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$30 (held)</w:t>
            </w:r>
          </w:p>
        </w:tc>
        <w:tc>
          <w:tcPr>
            <w:tcW w:type="dxa" w:w="27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Valuation; ~35% downside; intermodal softening</w:t>
            </w:r>
          </w:p>
        </w:tc>
      </w:tr>
      <w:tr>
        <w:trPr>
          <w:tblHeader w:val="false"/>
        </w:trPr>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KBW</w:t>
            </w:r>
          </w:p>
        </w:tc>
        <w:tc>
          <w:tcPr>
            <w:tcW w:type="dxa" w:w="13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BFH</w:t>
            </w:r>
          </w:p>
        </w:tc>
        <w:tc>
          <w:tcPr>
            <w:tcW w:type="dxa" w:w="1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PT raise (maintain Outperform)</w:t>
            </w:r>
          </w:p>
        </w:tc>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$100 → $115</w:t>
            </w:r>
          </w:p>
        </w:tc>
        <w:tc>
          <w:tcPr>
            <w:tcW w:type="dxa" w:w="2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Strong Q1 beat; net charge-offs improving</w:t>
            </w:r>
          </w:p>
        </w:tc>
      </w:tr>
      <w:tr>
        <w:trPr>
          <w:tblHeader w:val="false"/>
        </w:trP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UBS</w:t>
            </w:r>
          </w:p>
        </w:tc>
        <w:tc>
          <w:tcPr>
            <w:tcW w:type="dxa" w:w="13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WING</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PT cut (maintain Neutral)</w:t>
            </w:r>
          </w:p>
        </w:tc>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$295 → $210</w:t>
            </w:r>
          </w:p>
        </w:tc>
        <w:tc>
          <w:tcPr>
            <w:tcW w:type="dxa" w:w="27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Same-store sales deceleration; valuation reset</w:t>
            </w:r>
          </w:p>
        </w:tc>
      </w:tr>
      <w:tr>
        <w:trPr>
          <w:tblHeader w:val="false"/>
        </w:trPr>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Wells Fargo</w:t>
            </w:r>
          </w:p>
        </w:tc>
        <w:tc>
          <w:tcPr>
            <w:tcW w:type="dxa" w:w="13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BA</w:t>
            </w:r>
          </w:p>
        </w:tc>
        <w:tc>
          <w:tcPr>
            <w:tcW w:type="dxa" w:w="1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Reiterate Overweight</w:t>
            </w:r>
          </w:p>
        </w:tc>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$240 (held)</w:t>
            </w:r>
          </w:p>
        </w:tc>
        <w:tc>
          <w:tcPr>
            <w:tcW w:type="dxa" w:w="2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MAX 10 timeline supports 2H delivery ramp</w:t>
            </w:r>
          </w:p>
        </w:tc>
      </w:tr>
      <w:tr>
        <w:trPr>
          <w:tblHeader w:val="false"/>
        </w:trP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Goldman Sachs</w:t>
            </w:r>
          </w:p>
        </w:tc>
        <w:tc>
          <w:tcPr>
            <w:tcW w:type="dxa" w:w="13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XOM</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Reiterate Buy, Conviction List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$140 (raised from $128)</w:t>
            </w:r>
          </w:p>
        </w:tc>
        <w:tc>
          <w:tcPr>
            <w:tcW w:type="dxa" w:w="27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Buyback durability + Permian upside in $100 oil regime</w:t>
            </w:r>
          </w:p>
        </w:tc>
      </w:tr>
      <w:tr>
        <w:trPr>
          <w:tblHeader w:val="false"/>
        </w:trPr>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Bank of America</w:t>
            </w:r>
          </w:p>
        </w:tc>
        <w:tc>
          <w:tcPr>
            <w:tcW w:type="dxa" w:w="13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DPZ</w:t>
            </w:r>
          </w:p>
        </w:tc>
        <w:tc>
          <w:tcPr>
            <w:tcW w:type="dxa" w:w="19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Buy reiterated</w:t>
            </w:r>
          </w:p>
        </w:tc>
        <w:tc>
          <w:tcPr>
            <w:tcW w:type="dxa" w:w="170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$520 (held)</w:t>
            </w:r>
          </w:p>
        </w:tc>
        <w:tc>
          <w:tcPr>
            <w:tcW w:type="dxa" w:w="2760"/>
            <w:tcBorders>
              <w:top w:val="single" w:color="CCCCCC" w:sz="1"/>
              <w:left w:val="single" w:color="CCCCCC" w:sz="1"/>
              <w:bottom w:val="single" w:color="CCCCCC" w:sz="1"/>
              <w:right w:val="single" w:color="CCCCCC" w:sz="1"/>
            </w:tcBorders>
            <w:tcMar>
              <w:top w:type="dxa" w:w="70"/>
              <w:left w:type="dxa" w:w="140"/>
              <w:bottom w:type="dxa" w:w="70"/>
              <w:right w:type="dxa" w:w="140"/>
            </w:tcMar>
          </w:tcPr>
          <w:p>
            <w:r>
              <w:rPr>
                <w:rFonts w:ascii="Calibri" w:cs="Calibri" w:eastAsia="Calibri" w:hAnsi="Calibri"/>
                <w:color w:val="333333"/>
                <w:sz w:val="19"/>
                <w:szCs w:val="19"/>
              </w:rPr>
              <w:t xml:space="preserve">Pre-open print today; loyalty program traction</w:t>
            </w:r>
          </w:p>
        </w:tc>
      </w:tr>
      <w:tr>
        <w:trPr>
          <w:tblHeader w:val="false"/>
        </w:trPr>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JPMorgan</w:t>
            </w:r>
          </w:p>
        </w:tc>
        <w:tc>
          <w:tcPr>
            <w:tcW w:type="dxa" w:w="13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META</w:t>
            </w:r>
          </w:p>
        </w:tc>
        <w:tc>
          <w:tcPr>
            <w:tcW w:type="dxa" w:w="19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OW — added to Analyst Focus List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$760 (held)</w:t>
            </w:r>
          </w:p>
        </w:tc>
        <w:tc>
          <w:tcPr>
            <w:tcW w:type="dxa" w:w="27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Calibri" w:cs="Calibri" w:eastAsia="Calibri" w:hAnsi="Calibri"/>
                <w:color w:val="333333"/>
                <w:sz w:val="19"/>
                <w:szCs w:val="19"/>
              </w:rPr>
              <w:t xml:space="preserve">AI infra leverage into Wed print</w:t>
            </w:r>
          </w:p>
        </w:tc>
      </w:tr>
    </w:tbl>
    <w:p>
      <w:pPr>
        <w:pBdr>
          <w:bottom w:val="single" w:color="B68D40" w:sz="18" w:space="4"/>
        </w:pBdr>
        <w:spacing w:after="160" w:before="320"/>
      </w:pPr>
      <w:r>
        <w:rPr>
          <w:rFonts w:ascii="Calibri" w:cs="Calibri" w:eastAsia="Calibri" w:hAnsi="Calibri"/>
          <w:b/>
          <w:bCs/>
          <w:color w:val="0B2E4F"/>
          <w:sz w:val="30"/>
          <w:szCs w:val="30"/>
        </w:rPr>
        <w:t xml:space="preserve">9. Stocks to Watch</w:t>
      </w:r>
    </w:p>
    <w:p>
      <w:pPr>
        <w:spacing w:after="100" w:before="240"/>
      </w:pPr>
      <w:r>
        <w:rPr>
          <w:rFonts w:ascii="Calibri" w:cs="Calibri" w:eastAsia="Calibri" w:hAnsi="Calibri"/>
          <w:b/>
          <w:bCs/>
          <w:color w:val="0B2E4F"/>
          <w:sz w:val="24"/>
          <w:szCs w:val="24"/>
        </w:rPr>
        <w:t xml:space="preserve">Cadence Design Systems (CDNS) — Earnings tonight</w:t>
      </w:r>
    </w:p>
    <w:p>
      <w:pPr>
        <w:spacing w:after="140" w:line="300"/>
        <w:jc w:val="both"/>
      </w:pPr>
      <w:r>
        <w:rPr>
          <w:rFonts w:ascii="Calibri" w:cs="Calibri" w:eastAsia="Calibri" w:hAnsi="Calibri"/>
          <w:color w:val="333333"/>
          <w:sz w:val="22"/>
          <w:szCs w:val="22"/>
        </w:rPr>
        <w:t xml:space="preserve">$294 reference; $1.89 EPS / $1.46B revenue consensus; implied move 5.8%. Cadence is the cleanest pure-play on the AI-chip design cycle outside of Synopsys, with 70% of revenue ratable and a backlog that has averaged 12-month forward coverage of 1.4x for six quarters. The MSC Software deal adds $250M run-rate to FY26 and opens the physical-AI vertical (autos, aero) that has been the constraint on Cadence's terminal multiple. Watch the FY26 raise: the company's $8.05–$8.15 EPS guide leaves room for a $0.10–$0.15 beat into the print.</w:t>
      </w:r>
    </w:p>
    <w:p>
      <w:pPr>
        <w:spacing w:after="100" w:before="240"/>
      </w:pPr>
      <w:r>
        <w:rPr>
          <w:rFonts w:ascii="Calibri" w:cs="Calibri" w:eastAsia="Calibri" w:hAnsi="Calibri"/>
          <w:b/>
          <w:bCs/>
          <w:color w:val="0B2E4F"/>
          <w:sz w:val="24"/>
          <w:szCs w:val="24"/>
        </w:rPr>
        <w:t xml:space="preserve">Phillips 66 (PSX) — Refining beneficiary</w:t>
      </w:r>
    </w:p>
    <w:p>
      <w:pPr>
        <w:spacing w:after="140" w:line="300"/>
        <w:jc w:val="both"/>
      </w:pPr>
      <w:r>
        <w:rPr>
          <w:rFonts w:ascii="Calibri" w:cs="Calibri" w:eastAsia="Calibri" w:hAnsi="Calibri"/>
          <w:color w:val="333333"/>
          <w:sz w:val="22"/>
          <w:szCs w:val="22"/>
        </w:rPr>
        <w:t xml:space="preserve">$148 last; Morgan Stanley upgraded today to Overweight, $174 PT (+18% upside). 3-2-1 crack spreads are pinned at $36 — roughly $14 above the five-year average — and PSX's coastal asset mix (Sweeny, Bayway) makes it the most leveraged of the U.S. refiners to Brent-WTI dislocation, which sits at $11.20. Q1 earnings April 30 (Thursday) will be the next catalyst; whisper numbers have moved $0.40 above the $2.95 Street figure. Risk is a sudden Hormuz reopening: $130 PT downside in a peace scenario.</w:t>
      </w:r>
    </w:p>
    <w:p>
      <w:pPr>
        <w:spacing w:after="100" w:before="240"/>
      </w:pPr>
      <w:r>
        <w:rPr>
          <w:rFonts w:ascii="Calibri" w:cs="Calibri" w:eastAsia="Calibri" w:hAnsi="Calibri"/>
          <w:b/>
          <w:bCs/>
          <w:color w:val="0B2E4F"/>
          <w:sz w:val="24"/>
          <w:szCs w:val="24"/>
        </w:rPr>
        <w:t xml:space="preserve">Apple (AAPL) — Thursday's main event</w:t>
      </w:r>
    </w:p>
    <w:p>
      <w:pPr>
        <w:spacing w:after="140" w:line="300"/>
        <w:jc w:val="both"/>
      </w:pPr>
      <w:r>
        <w:rPr>
          <w:rFonts w:ascii="Calibri" w:cs="Calibri" w:eastAsia="Calibri" w:hAnsi="Calibri"/>
          <w:color w:val="333333"/>
          <w:sz w:val="22"/>
          <w:szCs w:val="22"/>
        </w:rPr>
        <w:t xml:space="preserve">$224 last; consensus $1.95 EPS / $94.8B revenue; implied move 4.4%. The setup is fraught: Greater China revenue is expected -8% y/y for the third straight quarter, services growth is decelerating from 14% toward 10%, and Apple Intelligence rollout has not — yet — produced an upgrade cycle. The bull case rests entirely on the September 'AI-native' iPhone 17 launch and the buyback authorization; the Street looks for $110B+, up from $100B last year. Below $215 the stock has $200 air; above $230 the path of least resistance is $245.</w:t>
      </w:r>
    </w:p>
    <w:p>
      <w:pPr>
        <w:spacing w:after="100" w:before="240"/>
      </w:pPr>
      <w:r>
        <w:rPr>
          <w:rFonts w:ascii="Calibri" w:cs="Calibri" w:eastAsia="Calibri" w:hAnsi="Calibri"/>
          <w:b/>
          <w:bCs/>
          <w:color w:val="0B2E4F"/>
          <w:sz w:val="24"/>
          <w:szCs w:val="24"/>
        </w:rPr>
        <w:t xml:space="preserve">Exxon Mobil (XOM) — Friday's print, but the chart matters now</w:t>
      </w:r>
    </w:p>
    <w:p>
      <w:pPr>
        <w:spacing w:after="140" w:line="300"/>
        <w:jc w:val="both"/>
      </w:pPr>
      <w:r>
        <w:rPr>
          <w:rFonts w:ascii="Calibri" w:cs="Calibri" w:eastAsia="Calibri" w:hAnsi="Calibri"/>
          <w:color w:val="333333"/>
          <w:sz w:val="22"/>
          <w:szCs w:val="22"/>
        </w:rPr>
        <w:t xml:space="preserve">$132 last; reports Friday before the open. Goldman raised target to $140 from $128 with Conviction List status. The Permian production guide is the variable the Street can't model: every 50 kbbl/d of incremental output adds roughly $0.18 to FY26 EPS at $90 WTI. Technical resistance at $134 has held three times this month — a clean break sets up a measured move to $148. Options activity Friday was heavy in the May $135 calls, with open interest building 22%.</w:t>
      </w:r>
    </w:p>
    <w:p>
      <w:pPr>
        <w:pBdr>
          <w:bottom w:val="single" w:color="B68D40" w:sz="18" w:space="4"/>
        </w:pBdr>
        <w:spacing w:after="160" w:before="320"/>
      </w:pPr>
      <w:r>
        <w:rPr>
          <w:rFonts w:ascii="Calibri" w:cs="Calibri" w:eastAsia="Calibri" w:hAnsi="Calibri"/>
          <w:b/>
          <w:bCs/>
          <w:color w:val="0B2E4F"/>
          <w:sz w:val="30"/>
          <w:szCs w:val="30"/>
        </w:rPr>
        <w:t xml:space="preserve">10. Global Macro Snapshot</w:t>
      </w:r>
    </w:p>
    <w:p>
      <w:pPr>
        <w:spacing w:after="140" w:line="300"/>
        <w:jc w:val="both"/>
      </w:pPr>
      <w:r>
        <w:rPr>
          <w:rFonts w:ascii="Calibri" w:cs="Calibri" w:eastAsia="Calibri" w:hAnsi="Calibri"/>
          <w:color w:val="333333"/>
          <w:sz w:val="22"/>
          <w:szCs w:val="22"/>
        </w:rPr>
        <w:t xml:space="preserve">China — The Politburo's late-April economic meeting (formal communique expected Wednesday or Thursday) is the swing factor for emerging markets this week. December's Central Economic Work Conference set a 4.5–5.0% GDP growth target and signaled 'flexible' use of RRR and rate cuts, but markets have been waiting for a larger fiscal backstop. The Shanghai Composite at 4,055 sits 14% above its January low; March industrial profits and April PMIs (Wednesday) will validate or undermine the reflation trade. Yuan stable at 7.22 offshore, despite dollar strength.</w:t>
      </w:r>
    </w:p>
    <w:p>
      <w:pPr>
        <w:spacing w:after="140" w:line="300"/>
        <w:jc w:val="both"/>
      </w:pPr>
      <w:r>
        <w:rPr>
          <w:rFonts w:ascii="Calibri" w:cs="Calibri" w:eastAsia="Calibri" w:hAnsi="Calibri"/>
          <w:color w:val="333333"/>
          <w:sz w:val="22"/>
          <w:szCs w:val="22"/>
        </w:rPr>
        <w:t xml:space="preserve">Europe — Eurozone Q1 GDP and April flash CPI on Thursday will guide the ECB's June decision. Germany Q1 GDP is consensus +0.1% q/q, which would mark the third straight quarter of zero-to-marginal growth; CPI is expected to print 2.4% headline, 2.7% core. France's political stalemate adds tail risk, with OAT-Bund spreads at 71 bps — wide but stable. The euro at 1.0832 absorbs both the rate differential and the geopolitical premium.</w:t>
      </w:r>
    </w:p>
    <w:p>
      <w:pPr>
        <w:spacing w:after="140" w:line="300"/>
        <w:jc w:val="both"/>
      </w:pPr>
      <w:r>
        <w:rPr>
          <w:rFonts w:ascii="Calibri" w:cs="Calibri" w:eastAsia="Calibri" w:hAnsi="Calibri"/>
          <w:color w:val="333333"/>
          <w:sz w:val="22"/>
          <w:szCs w:val="22"/>
        </w:rPr>
        <w:t xml:space="preserve">Emerging markets — The dollar's renewed bid is a problem. MSCI EM is -2.1% on the week against +0.5% for the S&amp;P. Mexico's peso (USD/MXN at 17.85) and the Brazilian real (USD/BRL at 5.32) have absorbed most of the move. Turkey's lira reached a fresh low against the dollar. Commodity exporters (Chile, Peru, Indonesia) are the relative hold-outs on copper and palm oil firmness; net-importer stress is concentrated in India and Korea.</w:t>
      </w:r>
    </w:p>
    <w:p>
      <w:pPr>
        <w:pBdr>
          <w:bottom w:val="single" w:color="B68D40" w:sz="18" w:space="4"/>
        </w:pBdr>
        <w:spacing w:after="160" w:before="320"/>
      </w:pPr>
      <w:r>
        <w:rPr>
          <w:rFonts w:ascii="Calibri" w:cs="Calibri" w:eastAsia="Calibri" w:hAnsi="Calibri"/>
          <w:b/>
          <w:bCs/>
          <w:color w:val="0B2E4F"/>
          <w:sz w:val="30"/>
          <w:szCs w:val="30"/>
        </w:rPr>
        <w:t xml:space="preserve">11. Week Ahead Preview</w:t>
      </w:r>
    </w:p>
    <w:p>
      <w:pPr>
        <w:spacing w:after="140" w:line="300"/>
        <w:jc w:val="both"/>
      </w:pPr>
      <w:r>
        <w:rPr>
          <w:rFonts w:ascii="Calibri" w:cs="Calibri" w:eastAsia="Calibri" w:hAnsi="Calibri"/>
          <w:color w:val="333333"/>
          <w:sz w:val="22"/>
          <w:szCs w:val="22"/>
        </w:rPr>
        <w:t xml:space="preserve">Tuesday: Bank of Japan decision overnight (hold at 0.50% expected; July hike framing in focus). U.S. JOLTS job openings, Conference Board Consumer Confidence (10 AM ET). Earnings: Visa, Coca-Cola, Starbucks, Booking, UPS, GM, Spotify, Pfizer, PayPal, JetBlue.</w:t>
      </w:r>
    </w:p>
    <w:p>
      <w:pPr>
        <w:spacing w:after="140" w:line="300"/>
        <w:jc w:val="both"/>
      </w:pPr>
      <w:r>
        <w:rPr>
          <w:rFonts w:ascii="Calibri" w:cs="Calibri" w:eastAsia="Calibri" w:hAnsi="Calibri"/>
          <w:color w:val="333333"/>
          <w:sz w:val="22"/>
          <w:szCs w:val="22"/>
        </w:rPr>
        <w:t xml:space="preserve">Wednesday: FOMC decision (2:00 PM ET) and Powell press conference (2:30 PM ET). Bank of Canada decision. Q1 GDP advance estimate (8:30 AM ET, consensus +1.4% q/q SAAR vs. +3.4% prior — biggest deceleration of the cycle). ADP private payrolls. Politburo communique watched. Earnings AMC: Microsoft, Alphabet, Meta, Amazon — collectively ~12% of the S&amp;P 500 by market cap. Also Qualcomm, ServiceNow, eBay, Mondelez.</w:t>
      </w:r>
    </w:p>
    <w:p>
      <w:pPr>
        <w:spacing w:after="140" w:line="300"/>
        <w:jc w:val="both"/>
      </w:pPr>
      <w:r>
        <w:rPr>
          <w:rFonts w:ascii="Calibri" w:cs="Calibri" w:eastAsia="Calibri" w:hAnsi="Calibri"/>
          <w:color w:val="333333"/>
          <w:sz w:val="22"/>
          <w:szCs w:val="22"/>
        </w:rPr>
        <w:t xml:space="preserve">Thursday: ECB rate decision (hold expected at 2.25%). Bank of England decision (split call). Personal income, spending and the March PCE deflator (8:30 AM ET; core PCE consensus +0.3% m/m, +2.9% y/y — down from 3.0% prior) — the single most-watched data point of the week for Fed pricing. Earnings: Apple, Mastercard, Eli Lilly, Merck, AbbVie, Caterpillar, KLA, Roblox, Reddit, Roku, Coinbase, U.S. Steel.</w:t>
      </w:r>
    </w:p>
    <w:p>
      <w:pPr>
        <w:spacing w:after="140" w:line="300"/>
        <w:jc w:val="both"/>
      </w:pPr>
      <w:r>
        <w:rPr>
          <w:rFonts w:ascii="Calibri" w:cs="Calibri" w:eastAsia="Calibri" w:hAnsi="Calibri"/>
          <w:color w:val="333333"/>
          <w:sz w:val="22"/>
          <w:szCs w:val="22"/>
        </w:rPr>
        <w:t xml:space="preserve">Friday: April nonfarm payrolls (8:30 AM ET, consensus +180K vs. +303K prior; UR 3.9%) — the cycle-defining print. ISM Manufacturing PMI (10 AM ET). Earnings: Exxon Mobil, Chevron, Charter, AbbVie, Cigna. Pay attention to wage growth: average hourly earnings consensus +0.3% m/m would keep core services inflation glued.</w:t>
      </w:r>
    </w:p>
    <w:p>
      <w:pPr>
        <w:pBdr>
          <w:bottom w:val="single" w:color="B68D40" w:sz="18" w:space="4"/>
        </w:pBdr>
        <w:spacing w:after="160" w:before="320"/>
      </w:pPr>
      <w:r>
        <w:rPr>
          <w:rFonts w:ascii="Calibri" w:cs="Calibri" w:eastAsia="Calibri" w:hAnsi="Calibri"/>
          <w:b/>
          <w:bCs/>
          <w:color w:val="0B2E4F"/>
          <w:sz w:val="30"/>
          <w:szCs w:val="30"/>
        </w:rPr>
        <w:t xml:space="preserve">12. Closing Thought</w:t>
      </w:r>
    </w:p>
    <w:p>
      <w:pPr>
        <w:spacing w:after="140" w:line="300"/>
        <w:jc w:val="both"/>
      </w:pPr>
      <w:r>
        <w:rPr>
          <w:rFonts w:ascii="Calibri" w:cs="Calibri" w:eastAsia="Calibri" w:hAnsi="Calibri"/>
          <w:color w:val="333333"/>
          <w:sz w:val="22"/>
          <w:szCs w:val="22"/>
        </w:rPr>
        <w:t xml:space="preserve">Every cycle has a moment when the consensus narrative becomes so tidy that it ceases to describe the world. We may be in one now. The story the market has been telling itself — soft landing, AI capex sustained, oil shock contained, Fed cuts arriving in autumn — requires every piece to hold. But the VIX at 19 prices in roughly an annualized 1.2% daily move; realized volatility on the S&amp;P over the past month has been 0.9%. That gap is the cleanest measure of investor complacency, and it is wide.</w:t>
      </w:r>
    </w:p>
    <w:p>
      <w:pPr>
        <w:spacing w:after="140" w:line="300"/>
        <w:jc w:val="both"/>
      </w:pPr>
      <w:r>
        <w:rPr>
          <w:rFonts w:ascii="Calibri" w:cs="Calibri" w:eastAsia="Calibri" w:hAnsi="Calibri"/>
          <w:color w:val="333333"/>
          <w:sz w:val="22"/>
          <w:szCs w:val="22"/>
        </w:rPr>
        <w:t xml:space="preserve">History offers an uncomfortable parallel. In April 1973, with oil-friendly equity markets at all-time highs, S&amp;P forward earnings at 18x and inflation 'transitorily' running at 3.6%, the conventional view was that geopolitical noise from the Middle East was a buying opportunity. Six months later, the Yom Kippur War triggered the embargo, the S&amp;P had lost 18%, and inflation was on its way to 12%. The analogy is not perfect — supply chains, monetary frameworks, dollar dominance all differ — but the architecture of complacency rhymes.</w:t>
      </w:r>
    </w:p>
    <w:p>
      <w:pPr>
        <w:spacing w:after="140" w:line="300"/>
        <w:jc w:val="both"/>
      </w:pPr>
      <w:r>
        <w:rPr>
          <w:rFonts w:ascii="Calibri" w:cs="Calibri" w:eastAsia="Calibri" w:hAnsi="Calibri"/>
          <w:color w:val="333333"/>
          <w:sz w:val="22"/>
          <w:szCs w:val="22"/>
        </w:rPr>
        <w:t xml:space="preserve">If you are positioned for the consensus, ask yourself what you own that would benefit if it's wrong. That, more than the next earnings beat, is the question this week is asking.</w:t>
      </w:r>
    </w:p>
    <w:p>
      <w:pPr>
        <w:pBdr>
          <w:top w:val="single" w:color="B68D40" w:sz="12" w:space="8"/>
        </w:pBdr>
        <w:spacing w:after="100" w:before="400"/>
        <w:jc w:val="center"/>
      </w:pPr>
      <w:r>
        <w:rPr>
          <w:rFonts w:ascii="Calibri" w:cs="Calibri" w:eastAsia="Calibri" w:hAnsi="Calibri"/>
          <w:i/>
          <w:iCs/>
          <w:color w:val="888888"/>
          <w:sz w:val="18"/>
          <w:szCs w:val="18"/>
        </w:rPr>
        <w:t xml:space="preserve">Daily Financial Brief  •  Compiled at 9:30 AM ET  •  Sources: market data feeds, FactSet, FedWatch, FRED, company filings.</w:t>
      </w:r>
    </w:p>
    <w:p>
      <w:pPr>
        <w:jc w:val="center"/>
      </w:pPr>
      <w:r>
        <w:rPr>
          <w:rFonts w:ascii="Calibri" w:cs="Calibri" w:eastAsia="Calibri" w:hAnsi="Calibri"/>
          <w:i/>
          <w:iCs/>
          <w:color w:val="888888"/>
          <w:sz w:val="18"/>
          <w:szCs w:val="18"/>
        </w:rPr>
        <w:t xml:space="preserve">Not investment advice. Prices and yields shown are indicative; verify before acting.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B2E4F"/>
        <w:sz w:val="18"/>
        <w:szCs w:val="18"/>
      </w:rPr>
      <w:t xml:space="preserve">DFB · April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 April 27, 2026</dc:title>
  <dc:creator>Daily Financial Brief</dc:creator>
  <cp:lastModifiedBy>Un-named</cp:lastModifiedBy>
  <cp:revision>1</cp:revision>
  <dcterms:created xsi:type="dcterms:W3CDTF">2026-04-27T15:03:51.825Z</dcterms:created>
  <dcterms:modified xsi:type="dcterms:W3CDTF">2026-04-27T15:03:51.825Z</dcterms:modified>
</cp:coreProperties>
</file>

<file path=docProps/custom.xml><?xml version="1.0" encoding="utf-8"?>
<Properties xmlns="http://schemas.openxmlformats.org/officeDocument/2006/custom-properties" xmlns:vt="http://schemas.openxmlformats.org/officeDocument/2006/docPropsVTypes"/>
</file>