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2B47" w:color="auto" w:val="clear"/>
        <w:spacing w:after="40" w:before="0"/>
        <w:jc w:val="left"/>
      </w:pPr>
      <w:r>
        <w:rPr>
          <w:rFonts w:ascii="Calibri" w:cs="Calibri" w:eastAsia="Calibri" w:hAnsi="Calibri"/>
          <w:b/>
          <w:bCs/>
          <w:color w:val="FFFFFF"/>
          <w:sz w:val="36"/>
          <w:szCs w:val="36"/>
        </w:rPr>
        <w:t xml:space="preserve">  THE MORNING BRIEF</w:t>
      </w:r>
    </w:p>
    <w:p>
      <w:pPr>
        <w:shd w:fill="1A2B47" w:color="auto" w:val="clear"/>
        <w:spacing w:after="0" w:before="0"/>
      </w:pPr>
      <w:r>
        <w:rPr>
          <w:rFonts w:ascii="Calibri" w:cs="Calibri" w:eastAsia="Calibri" w:hAnsi="Calibri"/>
          <w:i/>
          <w:iCs/>
          <w:color w:val="FFE9A8"/>
          <w:sz w:val="22"/>
          <w:szCs w:val="22"/>
        </w:rPr>
        <w:t xml:space="preserve">  Markets, Macro, and What Matters Today  </w:t>
      </w:r>
    </w:p>
    <w:p>
      <w:pPr>
        <w:pBdr>
          <w:bottom w:val="single" w:color="B8860B" w:sz="24" w:space="1"/>
        </w:pBdr>
        <w:spacing w:after="0" w:before="0"/>
      </w:pPr>
      <w:r>
        <w:rPr>
          <w:sz w:val="4"/>
          <w:szCs w:val="4"/>
        </w:rPr>
        <w:t xml:space="preserve"/>
      </w:r>
    </w:p>
    <w:p>
      <w:pPr>
        <w:spacing w:after="240" w:before="120"/>
        <w:jc w:val="left"/>
      </w:pPr>
      <w:r>
        <w:rPr>
          <w:rFonts w:ascii="Calibri" w:cs="Calibri" w:eastAsia="Calibri" w:hAnsi="Calibri"/>
          <w:b/>
          <w:bCs/>
          <w:color w:val="1A2B47"/>
          <w:sz w:val="22"/>
          <w:szCs w:val="22"/>
        </w:rPr>
        <w:t xml:space="preserve">Tuesday, April 28, 2026  </w:t>
      </w:r>
      <w:r>
        <w:rPr>
          <w:rFonts w:ascii="Calibri" w:cs="Calibri" w:eastAsia="Calibri" w:hAnsi="Calibri"/>
          <w:color w:val="555555"/>
          <w:sz w:val="20"/>
          <w:szCs w:val="20"/>
        </w:rPr>
        <w:t xml:space="preserve">·  Vol. 2026 · No. 84  ·  Delivered 9:30 AM EST</w:t>
      </w:r>
    </w:p>
    <w:p>
      <w:pPr>
        <w:spacing w:after="80" w:before="60"/>
      </w:pPr>
      <w:r>
        <w:rPr>
          <w:rFonts w:ascii="Calibri" w:cs="Calibri" w:eastAsia="Calibri" w:hAnsi="Calibri"/>
          <w:b/>
          <w:bCs/>
          <w:caps/>
          <w:color w:val="B8860B"/>
          <w:sz w:val="18"/>
          <w:szCs w:val="18"/>
        </w:rPr>
        <w:t xml:space="preserve">§ 1 — The Morning Setup</w:t>
      </w:r>
    </w:p>
    <w:p>
      <w:pPr>
        <w:pStyle w:val="Heading1"/>
        <w:spacing w:after="160" w:before="320"/>
      </w:pPr>
      <w:r>
        <w:rPr>
          <w:rFonts w:ascii="Calibri" w:cs="Calibri" w:eastAsia="Calibri" w:hAnsi="Calibri"/>
          <w:b/>
          <w:bCs/>
          <w:color w:val="1A2B47"/>
          <w:sz w:val="32"/>
          <w:szCs w:val="32"/>
        </w:rPr>
        <w:t xml:space="preserve">Records Meet Reality as the Fed, OpenAI and Hormuz Collide</w:t>
      </w:r>
    </w:p>
    <w:p>
      <w:pPr>
        <w:spacing w:after="100" w:before="100" w:line="300"/>
        <w:jc w:val="both"/>
      </w:pPr>
      <w:r>
        <w:rPr>
          <w:rFonts w:ascii="Calibri" w:cs="Calibri" w:eastAsia="Calibri" w:hAnsi="Calibri"/>
          <w:b/>
          <w:bCs/>
          <w:sz w:val="22"/>
          <w:szCs w:val="22"/>
        </w:rPr>
        <w:t xml:space="preserve">Three crosscurrents define this morning's tape, </w:t>
      </w:r>
      <w:r>
        <w:rPr>
          <w:rFonts w:ascii="Calibri" w:cs="Calibri" w:eastAsia="Calibri" w:hAnsi="Calibri"/>
          <w:sz w:val="22"/>
          <w:szCs w:val="22"/>
        </w:rPr>
        <w:t xml:space="preserve">and they are pulling in opposite directions. Asia rang another set of records as Tokyo's Nikkei (60,537) and Korea's Kospi (6,615) both notched fresh peaks. Yet U.S. futures are heavy under the surface, with Nasdaq 100 contracts near flat after a Wall Street Journal report that OpenAI is missing internal revenue and user targets even as it carries $600 billion in committed data-center spend. The consequence: every dollar of AI capex that supported the 2025–early-2026 chip rally is suddenly being re-underwritten in real time. </w:t>
      </w:r>
      <w:r>
        <w:rPr>
          <w:rFonts w:ascii="Calibri" w:cs="Calibri" w:eastAsia="Calibri" w:hAnsi="Calibri"/>
          <w:sz w:val="22"/>
          <w:szCs w:val="22"/>
        </w:rPr>
        <w:t xml:space="preserve">Layer in Brent crude crossing $111 — its highest level since March — after Iran-U.S. talks again stalled around the Strait of Hormuz, and a Conference Board confidence print due at 10am that is already known to have surprised hot, and you have a market that closed at all-time highs Monday but trades like one bracing for a binary catalyst. That catalyst arrives Wednesday at 2:00pm: Powell's likely-final FOMC press conference, where he will be asked to balance an inflation shock and a softening labor market against a Trump White House that has been openly campaigning for cuts. Until then, expect rotation, not direction.</w:t>
      </w:r>
    </w:p>
    <w:p>
      <w:pPr>
        <w:spacing w:after="80" w:before="60"/>
      </w:pPr>
      <w:r>
        <w:rPr>
          <w:rFonts w:ascii="Calibri" w:cs="Calibri" w:eastAsia="Calibri" w:hAnsi="Calibri"/>
          <w:b/>
          <w:bCs/>
          <w:caps/>
          <w:color w:val="B8860B"/>
          <w:sz w:val="18"/>
          <w:szCs w:val="18"/>
        </w:rPr>
        <w:t xml:space="preserve">§ 2 — Markets at a Glance</w:t>
      </w:r>
    </w:p>
    <w:p>
      <w:pPr>
        <w:pStyle w:val="Heading1"/>
        <w:spacing w:after="160" w:before="320"/>
      </w:pPr>
      <w:r>
        <w:rPr>
          <w:rFonts w:ascii="Calibri" w:cs="Calibri" w:eastAsia="Calibri" w:hAnsi="Calibri"/>
          <w:b/>
          <w:bCs/>
          <w:color w:val="1A2B47"/>
          <w:sz w:val="32"/>
          <w:szCs w:val="32"/>
        </w:rPr>
        <w:t xml:space="preserve">Markets at a Glance</w:t>
      </w:r>
    </w:p>
    <w:p>
      <w:pPr>
        <w:spacing w:after="100" w:before="100" w:line="300"/>
        <w:jc w:val="both"/>
      </w:pPr>
      <w:r>
        <w:rPr>
          <w:rFonts w:ascii="Calibri" w:cs="Calibri" w:eastAsia="Calibri" w:hAnsi="Calibri"/>
          <w:i/>
          <w:iCs/>
          <w:sz w:val="22"/>
          <w:szCs w:val="22"/>
        </w:rPr>
        <w:t xml:space="preserve">All quotes as of approximately 8:30 AM ET. Changes shown vs. prior session close unless noted.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700"/>
        <w:gridCol w:w="3160"/>
      </w:tblGrid>
      <w:tr>
        <w:trPr>
          <w:tblHeader/>
        </w:trPr>
        <w:tc>
          <w:tcPr>
            <w:tcW w:type="dxa" w:w="2600"/>
            <w:tcBorders>
              <w:top w:val="single" w:color="CCCCCC" w:sz="4"/>
              <w:left w:val="single" w:color="CCCCCC" w:sz="4"/>
              <w:bottom w:val="single" w:color="CCCCCC" w:sz="4"/>
              <w:right w:val="single" w:color="CCCCCC" w:sz="4"/>
            </w:tcBorders>
            <w:shd w:fill="B8860B" w:color="auto" w:val="clear"/>
            <w:tcMar>
              <w:top w:type="dxa" w:w="60"/>
              <w:left w:type="dxa" w:w="100"/>
              <w:bottom w:type="dxa" w:w="60"/>
              <w:right w:type="dxa" w:w="100"/>
            </w:tcMar>
          </w:tcPr>
          <w:p>
            <w:pPr>
              <w:spacing w:after="30" w:before="30"/>
              <w:jc w:val="left"/>
            </w:pPr>
            <w:r>
              <w:rPr>
                <w:rFonts w:ascii="Calibri" w:cs="Calibri" w:eastAsia="Calibri" w:hAnsi="Calibri"/>
                <w:b/>
                <w:bCs/>
                <w:color w:val="FFFFFF"/>
                <w:sz w:val="18"/>
                <w:szCs w:val="18"/>
              </w:rPr>
              <w:t xml:space="preserve">Instrument</w:t>
            </w:r>
          </w:p>
        </w:tc>
        <w:tc>
          <w:tcPr>
            <w:tcW w:type="dxa" w:w="1900"/>
            <w:tcBorders>
              <w:top w:val="single" w:color="CCCCCC" w:sz="4"/>
              <w:left w:val="single" w:color="CCCCCC" w:sz="4"/>
              <w:bottom w:val="single" w:color="CCCCCC" w:sz="4"/>
              <w:right w:val="single" w:color="CCCCCC" w:sz="4"/>
            </w:tcBorders>
            <w:shd w:fill="B8860B" w:color="auto" w:val="clear"/>
            <w:tcMar>
              <w:top w:type="dxa" w:w="60"/>
              <w:left w:type="dxa" w:w="100"/>
              <w:bottom w:type="dxa" w:w="60"/>
              <w:right w:type="dxa" w:w="100"/>
            </w:tcMar>
          </w:tcPr>
          <w:p>
            <w:pPr>
              <w:spacing w:after="30" w:before="30"/>
              <w:jc w:val="right"/>
            </w:pPr>
            <w:r>
              <w:rPr>
                <w:rFonts w:ascii="Calibri" w:cs="Calibri" w:eastAsia="Calibri" w:hAnsi="Calibri"/>
                <w:b/>
                <w:bCs/>
                <w:color w:val="FFFFFF"/>
                <w:sz w:val="18"/>
                <w:szCs w:val="18"/>
              </w:rPr>
              <w:t xml:space="preserve">Level / Price</w:t>
            </w:r>
          </w:p>
        </w:tc>
        <w:tc>
          <w:tcPr>
            <w:tcW w:type="dxa" w:w="1700"/>
            <w:tcBorders>
              <w:top w:val="single" w:color="CCCCCC" w:sz="4"/>
              <w:left w:val="single" w:color="CCCCCC" w:sz="4"/>
              <w:bottom w:val="single" w:color="CCCCCC" w:sz="4"/>
              <w:right w:val="single" w:color="CCCCCC" w:sz="4"/>
            </w:tcBorders>
            <w:shd w:fill="B8860B" w:color="auto" w:val="clear"/>
            <w:tcMar>
              <w:top w:type="dxa" w:w="60"/>
              <w:left w:type="dxa" w:w="100"/>
              <w:bottom w:type="dxa" w:w="60"/>
              <w:right w:type="dxa" w:w="100"/>
            </w:tcMar>
          </w:tcPr>
          <w:p>
            <w:pPr>
              <w:spacing w:after="30" w:before="30"/>
              <w:jc w:val="right"/>
            </w:pPr>
            <w:r>
              <w:rPr>
                <w:rFonts w:ascii="Calibri" w:cs="Calibri" w:eastAsia="Calibri" w:hAnsi="Calibri"/>
                <w:b/>
                <w:bCs/>
                <w:color w:val="FFFFFF"/>
                <w:sz w:val="18"/>
                <w:szCs w:val="18"/>
              </w:rPr>
              <w:t xml:space="preserve">Change</w:t>
            </w:r>
          </w:p>
        </w:tc>
        <w:tc>
          <w:tcPr>
            <w:tcW w:type="dxa" w:w="3160"/>
            <w:tcBorders>
              <w:top w:val="single" w:color="CCCCCC" w:sz="4"/>
              <w:left w:val="single" w:color="CCCCCC" w:sz="4"/>
              <w:bottom w:val="single" w:color="CCCCCC" w:sz="4"/>
              <w:right w:val="single" w:color="CCCCCC" w:sz="4"/>
            </w:tcBorders>
            <w:shd w:fill="B8860B" w:color="auto" w:val="clear"/>
            <w:tcMar>
              <w:top w:type="dxa" w:w="60"/>
              <w:left w:type="dxa" w:w="100"/>
              <w:bottom w:type="dxa" w:w="60"/>
              <w:right w:type="dxa" w:w="100"/>
            </w:tcMar>
          </w:tcPr>
          <w:p>
            <w:pPr>
              <w:spacing w:after="30" w:before="30"/>
              <w:jc w:val="left"/>
            </w:pPr>
            <w:r>
              <w:rPr>
                <w:rFonts w:ascii="Calibri" w:cs="Calibri" w:eastAsia="Calibri" w:hAnsi="Calibri"/>
                <w:b/>
                <w:bCs/>
                <w:color w:val="FFFFFF"/>
                <w:sz w:val="18"/>
                <w:szCs w:val="18"/>
              </w:rPr>
              <w:t xml:space="preserve">Notes</w:t>
            </w:r>
          </w:p>
        </w:tc>
      </w:tr>
      <w:tr>
        <w:tc>
          <w:tcPr>
            <w:tcW w:type="dxa" w:w="9360"/>
            <w:gridSpan w:val="4"/>
            <w:tcBorders>
              <w:top w:val="single" w:color="CCCCCC" w:sz="4"/>
              <w:left w:val="single" w:color="CCCCCC" w:sz="4"/>
              <w:bottom w:val="single" w:color="CCCCCC" w:sz="4"/>
              <w:right w:val="single" w:color="CCCCCC" w:sz="4"/>
            </w:tcBorders>
            <w:shd w:fill="1A2B47" w:color="auto" w:val="clear"/>
            <w:tcMar>
              <w:top w:type="dxa" w:w="80"/>
              <w:left w:type="dxa" w:w="120"/>
              <w:bottom w:type="dxa" w:w="80"/>
              <w:right w:type="dxa" w:w="120"/>
            </w:tcMar>
          </w:tcPr>
          <w:p>
            <w:r>
              <w:rPr>
                <w:rFonts w:ascii="Calibri" w:cs="Calibri" w:eastAsia="Calibri" w:hAnsi="Calibri"/>
                <w:b/>
                <w:bCs/>
                <w:caps/>
                <w:color w:val="FFFFFF"/>
                <w:sz w:val="20"/>
                <w:szCs w:val="20"/>
              </w:rPr>
              <w:t xml:space="preserve">US Equity Futures (pre-bell)</w:t>
            </w:r>
          </w:p>
        </w:tc>
      </w:tr>
      <w:t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bCs/>
                <w:color w:val="1A2B47"/>
                <w:sz w:val="18"/>
                <w:szCs w:val="18"/>
              </w:rPr>
              <w:t xml:space="preserve">S&amp;P 500 (ES)</w:t>
            </w:r>
          </w:p>
        </w:tc>
        <w:tc>
          <w:tcPr>
            <w:tcW w:type="dxa" w:w="1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right"/>
            </w:pPr>
            <w:r>
              <w:rPr>
                <w:rFonts w:ascii="Calibri" w:cs="Calibri" w:eastAsia="Calibri" w:hAnsi="Calibri"/>
                <w:b w:val="false"/>
                <w:bCs w:val="false"/>
                <w:color w:val="222222"/>
                <w:sz w:val="18"/>
                <w:szCs w:val="18"/>
              </w:rPr>
              <w:t xml:space="preserve">7,211.75</w:t>
            </w:r>
          </w:p>
        </w:tc>
        <w:tc>
          <w:tcPr>
            <w:tcW w:type="dxa" w:w="17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right"/>
            </w:pPr>
            <w:r>
              <w:rPr>
                <w:rFonts w:ascii="Calibri" w:cs="Calibri" w:eastAsia="Calibri" w:hAnsi="Calibri"/>
                <w:b/>
                <w:bCs/>
                <w:color w:val="2E7D32"/>
                <w:sz w:val="18"/>
                <w:szCs w:val="18"/>
              </w:rPr>
              <w:t xml:space="preserve">+0.08%</w:t>
            </w:r>
          </w:p>
        </w:tc>
        <w:tc>
          <w:tcPr>
            <w:tcW w:type="dxa" w:w="31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val="false"/>
                <w:bCs w:val="false"/>
                <w:color w:val="555555"/>
                <w:sz w:val="18"/>
                <w:szCs w:val="18"/>
              </w:rPr>
              <w:t xml:space="preserve">Cooling from record close</w:t>
            </w:r>
          </w:p>
        </w:tc>
      </w:tr>
      <w:tr>
        <w:tc>
          <w:tcPr>
            <w:tcW w:type="dxa" w:w="26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left"/>
            </w:pPr>
            <w:r>
              <w:rPr>
                <w:rFonts w:ascii="Calibri" w:cs="Calibri" w:eastAsia="Calibri" w:hAnsi="Calibri"/>
                <w:b/>
                <w:bCs/>
                <w:color w:val="1A2B47"/>
                <w:sz w:val="18"/>
                <w:szCs w:val="18"/>
              </w:rPr>
              <w:t xml:space="preserve">Nasdaq 100 (NQ)</w:t>
            </w:r>
          </w:p>
        </w:tc>
        <w:tc>
          <w:tcPr>
            <w:tcW w:type="dxa" w:w="19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222222"/>
                <w:sz w:val="18"/>
                <w:szCs w:val="18"/>
              </w:rPr>
              <w:t xml:space="preserve">27,434.50</w:t>
            </w:r>
          </w:p>
        </w:tc>
        <w:tc>
          <w:tcPr>
            <w:tcW w:type="dxa" w:w="17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right"/>
            </w:pPr>
            <w:r>
              <w:rPr>
                <w:rFonts w:ascii="Calibri" w:cs="Calibri" w:eastAsia="Calibri" w:hAnsi="Calibri"/>
                <w:b/>
                <w:bCs/>
                <w:color w:val="C62828"/>
                <w:sz w:val="18"/>
                <w:szCs w:val="18"/>
              </w:rPr>
              <w:t xml:space="preserve">-0.02%</w:t>
            </w:r>
          </w:p>
        </w:tc>
        <w:tc>
          <w:tcPr>
            <w:tcW w:type="dxa" w:w="316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left"/>
            </w:pPr>
            <w:r>
              <w:rPr>
                <w:rFonts w:ascii="Calibri" w:cs="Calibri" w:eastAsia="Calibri" w:hAnsi="Calibri"/>
                <w:b w:val="false"/>
                <w:bCs w:val="false"/>
                <w:color w:val="555555"/>
                <w:sz w:val="18"/>
                <w:szCs w:val="18"/>
              </w:rPr>
              <w:t xml:space="preserve">Chip drag from OpenAI WSJ report</w:t>
            </w:r>
          </w:p>
        </w:tc>
      </w:tr>
      <w:t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bCs/>
                <w:color w:val="1A2B47"/>
                <w:sz w:val="18"/>
                <w:szCs w:val="18"/>
              </w:rPr>
              <w:t xml:space="preserve">Dow (YM)</w:t>
            </w:r>
          </w:p>
        </w:tc>
        <w:tc>
          <w:tcPr>
            <w:tcW w:type="dxa" w:w="1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right"/>
            </w:pPr>
            <w:r>
              <w:rPr>
                <w:rFonts w:ascii="Calibri" w:cs="Calibri" w:eastAsia="Calibri" w:hAnsi="Calibri"/>
                <w:b w:val="false"/>
                <w:bCs w:val="false"/>
                <w:color w:val="222222"/>
                <w:sz w:val="18"/>
                <w:szCs w:val="18"/>
              </w:rPr>
              <w:t xml:space="preserve">49,397.00</w:t>
            </w:r>
          </w:p>
        </w:tc>
        <w:tc>
          <w:tcPr>
            <w:tcW w:type="dxa" w:w="17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right"/>
            </w:pPr>
            <w:r>
              <w:rPr>
                <w:rFonts w:ascii="Calibri" w:cs="Calibri" w:eastAsia="Calibri" w:hAnsi="Calibri"/>
                <w:b/>
                <w:bCs/>
                <w:color w:val="2E7D32"/>
                <w:sz w:val="18"/>
                <w:szCs w:val="18"/>
              </w:rPr>
              <w:t xml:space="preserve">+0.11%</w:t>
            </w:r>
          </w:p>
        </w:tc>
        <w:tc>
          <w:tcPr>
            <w:tcW w:type="dxa" w:w="31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val="false"/>
                <w:bCs w:val="false"/>
                <w:color w:val="555555"/>
                <w:sz w:val="18"/>
                <w:szCs w:val="18"/>
              </w:rPr>
              <w:t xml:space="preserve">Industrials/staples balance tape</w:t>
            </w:r>
          </w:p>
        </w:tc>
      </w:tr>
      <w:tr>
        <w:tc>
          <w:tcPr>
            <w:tcW w:type="dxa" w:w="26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left"/>
            </w:pPr>
            <w:r>
              <w:rPr>
                <w:rFonts w:ascii="Calibri" w:cs="Calibri" w:eastAsia="Calibri" w:hAnsi="Calibri"/>
                <w:b/>
                <w:bCs/>
                <w:color w:val="1A2B47"/>
                <w:sz w:val="18"/>
                <w:szCs w:val="18"/>
              </w:rPr>
              <w:t xml:space="preserve">Russell 2000 (RTY)</w:t>
            </w:r>
          </w:p>
        </w:tc>
        <w:tc>
          <w:tcPr>
            <w:tcW w:type="dxa" w:w="19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222222"/>
                <w:sz w:val="18"/>
                <w:szCs w:val="18"/>
              </w:rPr>
              <w:t xml:space="preserve">2,351.20</w:t>
            </w:r>
          </w:p>
        </w:tc>
        <w:tc>
          <w:tcPr>
            <w:tcW w:type="dxa" w:w="17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right"/>
            </w:pPr>
            <w:r>
              <w:rPr>
                <w:rFonts w:ascii="Calibri" w:cs="Calibri" w:eastAsia="Calibri" w:hAnsi="Calibri"/>
                <w:b/>
                <w:bCs/>
                <w:color w:val="C62828"/>
                <w:sz w:val="18"/>
                <w:szCs w:val="18"/>
              </w:rPr>
              <w:t xml:space="preserve">-0.15%</w:t>
            </w:r>
          </w:p>
        </w:tc>
        <w:tc>
          <w:tcPr>
            <w:tcW w:type="dxa" w:w="316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left"/>
            </w:pPr>
            <w:r>
              <w:rPr>
                <w:rFonts w:ascii="Calibri" w:cs="Calibri" w:eastAsia="Calibri" w:hAnsi="Calibri"/>
                <w:b w:val="false"/>
                <w:bCs w:val="false"/>
                <w:color w:val="555555"/>
                <w:sz w:val="18"/>
                <w:szCs w:val="18"/>
              </w:rPr>
              <w:t xml:space="preserve">Rate-sensitive small caps soft</w:t>
            </w:r>
          </w:p>
        </w:tc>
      </w:tr>
      <w:tr>
        <w:tc>
          <w:tcPr>
            <w:tcW w:type="dxa" w:w="9360"/>
            <w:gridSpan w:val="4"/>
            <w:tcBorders>
              <w:top w:val="single" w:color="CCCCCC" w:sz="4"/>
              <w:left w:val="single" w:color="CCCCCC" w:sz="4"/>
              <w:bottom w:val="single" w:color="CCCCCC" w:sz="4"/>
              <w:right w:val="single" w:color="CCCCCC" w:sz="4"/>
            </w:tcBorders>
            <w:shd w:fill="1A2B47" w:color="auto" w:val="clear"/>
            <w:tcMar>
              <w:top w:type="dxa" w:w="80"/>
              <w:left w:type="dxa" w:w="120"/>
              <w:bottom w:type="dxa" w:w="80"/>
              <w:right w:type="dxa" w:w="120"/>
            </w:tcMar>
          </w:tcPr>
          <w:p>
            <w:r>
              <w:rPr>
                <w:rFonts w:ascii="Calibri" w:cs="Calibri" w:eastAsia="Calibri" w:hAnsi="Calibri"/>
                <w:b/>
                <w:bCs/>
                <w:caps/>
                <w:color w:val="FFFFFF"/>
                <w:sz w:val="20"/>
                <w:szCs w:val="20"/>
              </w:rPr>
              <w:t xml:space="preserve">Prior US Session Close (Mon, Apr 27)</w:t>
            </w:r>
          </w:p>
        </w:tc>
      </w:tr>
      <w:t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bCs/>
                <w:color w:val="1A2B47"/>
                <w:sz w:val="18"/>
                <w:szCs w:val="18"/>
              </w:rPr>
              <w:t xml:space="preserve">S&amp;P 500</w:t>
            </w:r>
          </w:p>
        </w:tc>
        <w:tc>
          <w:tcPr>
            <w:tcW w:type="dxa" w:w="1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right"/>
            </w:pPr>
            <w:r>
              <w:rPr>
                <w:rFonts w:ascii="Calibri" w:cs="Calibri" w:eastAsia="Calibri" w:hAnsi="Calibri"/>
                <w:b w:val="false"/>
                <w:bCs w:val="false"/>
                <w:color w:val="222222"/>
                <w:sz w:val="18"/>
                <w:szCs w:val="18"/>
              </w:rPr>
              <w:t xml:space="preserve">7,173.91</w:t>
            </w:r>
          </w:p>
        </w:tc>
        <w:tc>
          <w:tcPr>
            <w:tcW w:type="dxa" w:w="17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right"/>
            </w:pPr>
            <w:r>
              <w:rPr>
                <w:rFonts w:ascii="Calibri" w:cs="Calibri" w:eastAsia="Calibri" w:hAnsi="Calibri"/>
                <w:b/>
                <w:bCs/>
                <w:color w:val="2E7D32"/>
                <w:sz w:val="18"/>
                <w:szCs w:val="18"/>
              </w:rPr>
              <w:t xml:space="preserve">+0.12%</w:t>
            </w:r>
          </w:p>
        </w:tc>
        <w:tc>
          <w:tcPr>
            <w:tcW w:type="dxa" w:w="31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val="false"/>
                <w:bCs w:val="false"/>
                <w:color w:val="555555"/>
                <w:sz w:val="18"/>
                <w:szCs w:val="18"/>
              </w:rPr>
              <w:t xml:space="preserve">Record close — narrow gain</w:t>
            </w:r>
          </w:p>
        </w:tc>
      </w:tr>
      <w:tr>
        <w:tc>
          <w:tcPr>
            <w:tcW w:type="dxa" w:w="26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left"/>
            </w:pPr>
            <w:r>
              <w:rPr>
                <w:rFonts w:ascii="Calibri" w:cs="Calibri" w:eastAsia="Calibri" w:hAnsi="Calibri"/>
                <w:b/>
                <w:bCs/>
                <w:color w:val="1A2B47"/>
                <w:sz w:val="18"/>
                <w:szCs w:val="18"/>
              </w:rPr>
              <w:t xml:space="preserve">Nasdaq Composite</w:t>
            </w:r>
          </w:p>
        </w:tc>
        <w:tc>
          <w:tcPr>
            <w:tcW w:type="dxa" w:w="19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222222"/>
                <w:sz w:val="18"/>
                <w:szCs w:val="18"/>
              </w:rPr>
              <w:t xml:space="preserve">24,887.10</w:t>
            </w:r>
          </w:p>
        </w:tc>
        <w:tc>
          <w:tcPr>
            <w:tcW w:type="dxa" w:w="17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right"/>
            </w:pPr>
            <w:r>
              <w:rPr>
                <w:rFonts w:ascii="Calibri" w:cs="Calibri" w:eastAsia="Calibri" w:hAnsi="Calibri"/>
                <w:b/>
                <w:bCs/>
                <w:color w:val="2E7D32"/>
                <w:sz w:val="18"/>
                <w:szCs w:val="18"/>
              </w:rPr>
              <w:t xml:space="preserve">+0.20%</w:t>
            </w:r>
          </w:p>
        </w:tc>
        <w:tc>
          <w:tcPr>
            <w:tcW w:type="dxa" w:w="316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left"/>
            </w:pPr>
            <w:r>
              <w:rPr>
                <w:rFonts w:ascii="Calibri" w:cs="Calibri" w:eastAsia="Calibri" w:hAnsi="Calibri"/>
                <w:b w:val="false"/>
                <w:bCs w:val="false"/>
                <w:color w:val="555555"/>
                <w:sz w:val="18"/>
                <w:szCs w:val="18"/>
              </w:rPr>
              <w:t xml:space="preserve">Record close, third in five sessions</w:t>
            </w:r>
          </w:p>
        </w:tc>
      </w:tr>
      <w:t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bCs/>
                <w:color w:val="1A2B47"/>
                <w:sz w:val="18"/>
                <w:szCs w:val="18"/>
              </w:rPr>
              <w:t xml:space="preserve">Dow Industrials</w:t>
            </w:r>
          </w:p>
        </w:tc>
        <w:tc>
          <w:tcPr>
            <w:tcW w:type="dxa" w:w="1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right"/>
            </w:pPr>
            <w:r>
              <w:rPr>
                <w:rFonts w:ascii="Calibri" w:cs="Calibri" w:eastAsia="Calibri" w:hAnsi="Calibri"/>
                <w:b w:val="false"/>
                <w:bCs w:val="false"/>
                <w:color w:val="222222"/>
                <w:sz w:val="18"/>
                <w:szCs w:val="18"/>
              </w:rPr>
              <w:t xml:space="preserve">49,167.79</w:t>
            </w:r>
          </w:p>
        </w:tc>
        <w:tc>
          <w:tcPr>
            <w:tcW w:type="dxa" w:w="17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right"/>
            </w:pPr>
            <w:r>
              <w:rPr>
                <w:rFonts w:ascii="Calibri" w:cs="Calibri" w:eastAsia="Calibri" w:hAnsi="Calibri"/>
                <w:b/>
                <w:bCs/>
                <w:color w:val="C62828"/>
                <w:sz w:val="18"/>
                <w:szCs w:val="18"/>
              </w:rPr>
              <w:t xml:space="preserve">-0.13%</w:t>
            </w:r>
          </w:p>
        </w:tc>
        <w:tc>
          <w:tcPr>
            <w:tcW w:type="dxa" w:w="31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val="false"/>
                <w:bCs w:val="false"/>
                <w:color w:val="555555"/>
                <w:sz w:val="18"/>
                <w:szCs w:val="18"/>
              </w:rPr>
              <w:t xml:space="preserve">Energy &amp; defensives mixed</w:t>
            </w:r>
          </w:p>
        </w:tc>
      </w:tr>
      <w:tr>
        <w:tc>
          <w:tcPr>
            <w:tcW w:type="dxa" w:w="26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left"/>
            </w:pPr>
            <w:r>
              <w:rPr>
                <w:rFonts w:ascii="Calibri" w:cs="Calibri" w:eastAsia="Calibri" w:hAnsi="Calibri"/>
                <w:b/>
                <w:bCs/>
                <w:color w:val="1A2B47"/>
                <w:sz w:val="18"/>
                <w:szCs w:val="18"/>
              </w:rPr>
              <w:t xml:space="preserve">Russell 2000</w:t>
            </w:r>
          </w:p>
        </w:tc>
        <w:tc>
          <w:tcPr>
            <w:tcW w:type="dxa" w:w="19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222222"/>
                <w:sz w:val="18"/>
                <w:szCs w:val="18"/>
              </w:rPr>
              <w:t xml:space="preserve">2,355.30</w:t>
            </w:r>
          </w:p>
        </w:tc>
        <w:tc>
          <w:tcPr>
            <w:tcW w:type="dxa" w:w="17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right"/>
            </w:pPr>
            <w:r>
              <w:rPr>
                <w:rFonts w:ascii="Calibri" w:cs="Calibri" w:eastAsia="Calibri" w:hAnsi="Calibri"/>
                <w:b/>
                <w:bCs/>
                <w:color w:val="2E7D32"/>
                <w:sz w:val="18"/>
                <w:szCs w:val="18"/>
              </w:rPr>
              <w:t xml:space="preserve">+0.05%</w:t>
            </w:r>
          </w:p>
        </w:tc>
        <w:tc>
          <w:tcPr>
            <w:tcW w:type="dxa" w:w="316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left"/>
            </w:pPr>
            <w:r>
              <w:rPr>
                <w:rFonts w:ascii="Calibri" w:cs="Calibri" w:eastAsia="Calibri" w:hAnsi="Calibri"/>
                <w:b w:val="false"/>
                <w:bCs w:val="false"/>
                <w:color w:val="555555"/>
                <w:sz w:val="18"/>
                <w:szCs w:val="18"/>
              </w:rPr>
              <w:t xml:space="preserve">Lagged large caps</w:t>
            </w:r>
          </w:p>
        </w:tc>
      </w:tr>
      <w:tr>
        <w:tc>
          <w:tcPr>
            <w:tcW w:type="dxa" w:w="9360"/>
            <w:gridSpan w:val="4"/>
            <w:tcBorders>
              <w:top w:val="single" w:color="CCCCCC" w:sz="4"/>
              <w:left w:val="single" w:color="CCCCCC" w:sz="4"/>
              <w:bottom w:val="single" w:color="CCCCCC" w:sz="4"/>
              <w:right w:val="single" w:color="CCCCCC" w:sz="4"/>
            </w:tcBorders>
            <w:shd w:fill="1A2B47" w:color="auto" w:val="clear"/>
            <w:tcMar>
              <w:top w:type="dxa" w:w="80"/>
              <w:left w:type="dxa" w:w="120"/>
              <w:bottom w:type="dxa" w:w="80"/>
              <w:right w:type="dxa" w:w="120"/>
            </w:tcMar>
          </w:tcPr>
          <w:p>
            <w:r>
              <w:rPr>
                <w:rFonts w:ascii="Calibri" w:cs="Calibri" w:eastAsia="Calibri" w:hAnsi="Calibri"/>
                <w:b/>
                <w:bCs/>
                <w:caps/>
                <w:color w:val="FFFFFF"/>
                <w:sz w:val="20"/>
                <w:szCs w:val="20"/>
              </w:rPr>
              <w:t xml:space="preserve">Asia Close</w:t>
            </w:r>
          </w:p>
        </w:tc>
      </w:tr>
      <w:t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bCs/>
                <w:color w:val="1A2B47"/>
                <w:sz w:val="18"/>
                <w:szCs w:val="18"/>
              </w:rPr>
              <w:t xml:space="preserve">Nikkei 225</w:t>
            </w:r>
          </w:p>
        </w:tc>
        <w:tc>
          <w:tcPr>
            <w:tcW w:type="dxa" w:w="1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right"/>
            </w:pPr>
            <w:r>
              <w:rPr>
                <w:rFonts w:ascii="Calibri" w:cs="Calibri" w:eastAsia="Calibri" w:hAnsi="Calibri"/>
                <w:b w:val="false"/>
                <w:bCs w:val="false"/>
                <w:color w:val="222222"/>
                <w:sz w:val="18"/>
                <w:szCs w:val="18"/>
              </w:rPr>
              <w:t xml:space="preserve">60,537.36</w:t>
            </w:r>
          </w:p>
        </w:tc>
        <w:tc>
          <w:tcPr>
            <w:tcW w:type="dxa" w:w="17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right"/>
            </w:pPr>
            <w:r>
              <w:rPr>
                <w:rFonts w:ascii="Calibri" w:cs="Calibri" w:eastAsia="Calibri" w:hAnsi="Calibri"/>
                <w:b/>
                <w:bCs/>
                <w:color w:val="2E7D32"/>
                <w:sz w:val="18"/>
                <w:szCs w:val="18"/>
              </w:rPr>
              <w:t xml:space="preserve">+1.38%</w:t>
            </w:r>
          </w:p>
        </w:tc>
        <w:tc>
          <w:tcPr>
            <w:tcW w:type="dxa" w:w="31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val="false"/>
                <w:bCs w:val="false"/>
                <w:color w:val="555555"/>
                <w:sz w:val="18"/>
                <w:szCs w:val="18"/>
              </w:rPr>
              <w:t xml:space="preserve">Record high; chips &amp; exporters rally</w:t>
            </w:r>
          </w:p>
        </w:tc>
      </w:tr>
      <w:tr>
        <w:tc>
          <w:tcPr>
            <w:tcW w:type="dxa" w:w="26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left"/>
            </w:pPr>
            <w:r>
              <w:rPr>
                <w:rFonts w:ascii="Calibri" w:cs="Calibri" w:eastAsia="Calibri" w:hAnsi="Calibri"/>
                <w:b/>
                <w:bCs/>
                <w:color w:val="1A2B47"/>
                <w:sz w:val="18"/>
                <w:szCs w:val="18"/>
              </w:rPr>
              <w:t xml:space="preserve">Topix</w:t>
            </w:r>
          </w:p>
        </w:tc>
        <w:tc>
          <w:tcPr>
            <w:tcW w:type="dxa" w:w="19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222222"/>
                <w:sz w:val="18"/>
                <w:szCs w:val="18"/>
              </w:rPr>
              <w:t xml:space="preserve">4,228.40</w:t>
            </w:r>
          </w:p>
        </w:tc>
        <w:tc>
          <w:tcPr>
            <w:tcW w:type="dxa" w:w="17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right"/>
            </w:pPr>
            <w:r>
              <w:rPr>
                <w:rFonts w:ascii="Calibri" w:cs="Calibri" w:eastAsia="Calibri" w:hAnsi="Calibri"/>
                <w:b/>
                <w:bCs/>
                <w:color w:val="2E7D32"/>
                <w:sz w:val="18"/>
                <w:szCs w:val="18"/>
              </w:rPr>
              <w:t xml:space="preserve">+0.95%</w:t>
            </w:r>
          </w:p>
        </w:tc>
        <w:tc>
          <w:tcPr>
            <w:tcW w:type="dxa" w:w="316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left"/>
            </w:pPr>
            <w:r>
              <w:rPr>
                <w:rFonts w:ascii="Calibri" w:cs="Calibri" w:eastAsia="Calibri" w:hAnsi="Calibri"/>
                <w:b w:val="false"/>
                <w:bCs w:val="false"/>
                <w:color w:val="555555"/>
                <w:sz w:val="18"/>
                <w:szCs w:val="18"/>
              </w:rPr>
              <w:t xml:space="preserve">Broad-based bid</w:t>
            </w:r>
          </w:p>
        </w:tc>
      </w:tr>
      <w:t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bCs/>
                <w:color w:val="1A2B47"/>
                <w:sz w:val="18"/>
                <w:szCs w:val="18"/>
              </w:rPr>
              <w:t xml:space="preserve">Kospi</w:t>
            </w:r>
          </w:p>
        </w:tc>
        <w:tc>
          <w:tcPr>
            <w:tcW w:type="dxa" w:w="1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right"/>
            </w:pPr>
            <w:r>
              <w:rPr>
                <w:rFonts w:ascii="Calibri" w:cs="Calibri" w:eastAsia="Calibri" w:hAnsi="Calibri"/>
                <w:b w:val="false"/>
                <w:bCs w:val="false"/>
                <w:color w:val="222222"/>
                <w:sz w:val="18"/>
                <w:szCs w:val="18"/>
              </w:rPr>
              <w:t xml:space="preserve">6,615.03</w:t>
            </w:r>
          </w:p>
        </w:tc>
        <w:tc>
          <w:tcPr>
            <w:tcW w:type="dxa" w:w="17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right"/>
            </w:pPr>
            <w:r>
              <w:rPr>
                <w:rFonts w:ascii="Calibri" w:cs="Calibri" w:eastAsia="Calibri" w:hAnsi="Calibri"/>
                <w:b/>
                <w:bCs/>
                <w:color w:val="2E7D32"/>
                <w:sz w:val="18"/>
                <w:szCs w:val="18"/>
              </w:rPr>
              <w:t xml:space="preserve">+2.15%</w:t>
            </w:r>
          </w:p>
        </w:tc>
        <w:tc>
          <w:tcPr>
            <w:tcW w:type="dxa" w:w="31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val="false"/>
                <w:bCs w:val="false"/>
                <w:color w:val="555555"/>
                <w:sz w:val="18"/>
                <w:szCs w:val="18"/>
              </w:rPr>
              <w:t xml:space="preserve">Fresh peak, AI/memory leadership</w:t>
            </w:r>
          </w:p>
        </w:tc>
      </w:tr>
      <w:tr>
        <w:tc>
          <w:tcPr>
            <w:tcW w:type="dxa" w:w="26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left"/>
            </w:pPr>
            <w:r>
              <w:rPr>
                <w:rFonts w:ascii="Calibri" w:cs="Calibri" w:eastAsia="Calibri" w:hAnsi="Calibri"/>
                <w:b/>
                <w:bCs/>
                <w:color w:val="1A2B47"/>
                <w:sz w:val="18"/>
                <w:szCs w:val="18"/>
              </w:rPr>
              <w:t xml:space="preserve">Hang Seng</w:t>
            </w:r>
          </w:p>
        </w:tc>
        <w:tc>
          <w:tcPr>
            <w:tcW w:type="dxa" w:w="19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222222"/>
                <w:sz w:val="18"/>
                <w:szCs w:val="18"/>
              </w:rPr>
              <w:t xml:space="preserve">26,108.20</w:t>
            </w:r>
          </w:p>
        </w:tc>
        <w:tc>
          <w:tcPr>
            <w:tcW w:type="dxa" w:w="17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right"/>
            </w:pPr>
            <w:r>
              <w:rPr>
                <w:rFonts w:ascii="Calibri" w:cs="Calibri" w:eastAsia="Calibri" w:hAnsi="Calibri"/>
                <w:b/>
                <w:bCs/>
                <w:color w:val="C62828"/>
                <w:sz w:val="18"/>
                <w:szCs w:val="18"/>
              </w:rPr>
              <w:t xml:space="preserve">-0.24%</w:t>
            </w:r>
          </w:p>
        </w:tc>
        <w:tc>
          <w:tcPr>
            <w:tcW w:type="dxa" w:w="316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left"/>
            </w:pPr>
            <w:r>
              <w:rPr>
                <w:rFonts w:ascii="Calibri" w:cs="Calibri" w:eastAsia="Calibri" w:hAnsi="Calibri"/>
                <w:b w:val="false"/>
                <w:bCs w:val="false"/>
                <w:color w:val="555555"/>
                <w:sz w:val="18"/>
                <w:szCs w:val="18"/>
              </w:rPr>
              <w:t xml:space="preserve">Profit-taking late in session</w:t>
            </w:r>
          </w:p>
        </w:tc>
      </w:tr>
      <w:t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bCs/>
                <w:color w:val="1A2B47"/>
                <w:sz w:val="18"/>
                <w:szCs w:val="18"/>
              </w:rPr>
              <w:t xml:space="preserve">Shanghai CSI 300</w:t>
            </w:r>
          </w:p>
        </w:tc>
        <w:tc>
          <w:tcPr>
            <w:tcW w:type="dxa" w:w="1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right"/>
            </w:pPr>
            <w:r>
              <w:rPr>
                <w:rFonts w:ascii="Calibri" w:cs="Calibri" w:eastAsia="Calibri" w:hAnsi="Calibri"/>
                <w:b w:val="false"/>
                <w:bCs w:val="false"/>
                <w:color w:val="222222"/>
                <w:sz w:val="18"/>
                <w:szCs w:val="18"/>
              </w:rPr>
              <w:t xml:space="preserve">4,770.95</w:t>
            </w:r>
          </w:p>
        </w:tc>
        <w:tc>
          <w:tcPr>
            <w:tcW w:type="dxa" w:w="17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right"/>
            </w:pPr>
            <w:r>
              <w:rPr>
                <w:rFonts w:ascii="Calibri" w:cs="Calibri" w:eastAsia="Calibri" w:hAnsi="Calibri"/>
                <w:b/>
                <w:bCs/>
                <w:color w:val="2E7D32"/>
                <w:sz w:val="18"/>
                <w:szCs w:val="18"/>
              </w:rPr>
              <w:t xml:space="preserve">+0.04%</w:t>
            </w:r>
          </w:p>
        </w:tc>
        <w:tc>
          <w:tcPr>
            <w:tcW w:type="dxa" w:w="31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val="false"/>
                <w:bCs w:val="false"/>
                <w:color w:val="555555"/>
                <w:sz w:val="18"/>
                <w:szCs w:val="18"/>
              </w:rPr>
              <w:t xml:space="preserve">Industrial profits +15.8% y/y in Mar.</w:t>
            </w:r>
          </w:p>
        </w:tc>
      </w:tr>
      <w:tr>
        <w:tc>
          <w:tcPr>
            <w:tcW w:type="dxa" w:w="26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left"/>
            </w:pPr>
            <w:r>
              <w:rPr>
                <w:rFonts w:ascii="Calibri" w:cs="Calibri" w:eastAsia="Calibri" w:hAnsi="Calibri"/>
                <w:b/>
                <w:bCs/>
                <w:color w:val="1A2B47"/>
                <w:sz w:val="18"/>
                <w:szCs w:val="18"/>
              </w:rPr>
              <w:t xml:space="preserve">ASX 200</w:t>
            </w:r>
          </w:p>
        </w:tc>
        <w:tc>
          <w:tcPr>
            <w:tcW w:type="dxa" w:w="19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222222"/>
                <w:sz w:val="18"/>
                <w:szCs w:val="18"/>
              </w:rPr>
              <w:t xml:space="preserve">8,892.10</w:t>
            </w:r>
          </w:p>
        </w:tc>
        <w:tc>
          <w:tcPr>
            <w:tcW w:type="dxa" w:w="17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right"/>
            </w:pPr>
            <w:r>
              <w:rPr>
                <w:rFonts w:ascii="Calibri" w:cs="Calibri" w:eastAsia="Calibri" w:hAnsi="Calibri"/>
                <w:b/>
                <w:bCs/>
                <w:color w:val="2E7D32"/>
                <w:sz w:val="18"/>
                <w:szCs w:val="18"/>
              </w:rPr>
              <w:t xml:space="preserve">+0.30%</w:t>
            </w:r>
          </w:p>
        </w:tc>
        <w:tc>
          <w:tcPr>
            <w:tcW w:type="dxa" w:w="316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left"/>
            </w:pPr>
            <w:r>
              <w:rPr>
                <w:rFonts w:ascii="Calibri" w:cs="Calibri" w:eastAsia="Calibri" w:hAnsi="Calibri"/>
                <w:b w:val="false"/>
                <w:bCs w:val="false"/>
                <w:color w:val="555555"/>
                <w:sz w:val="18"/>
                <w:szCs w:val="18"/>
              </w:rPr>
              <w:t xml:space="preserve">Mining bid on copper/iron stabilization</w:t>
            </w:r>
          </w:p>
        </w:tc>
      </w:tr>
      <w:tr>
        <w:tc>
          <w:tcPr>
            <w:tcW w:type="dxa" w:w="9360"/>
            <w:gridSpan w:val="4"/>
            <w:tcBorders>
              <w:top w:val="single" w:color="CCCCCC" w:sz="4"/>
              <w:left w:val="single" w:color="CCCCCC" w:sz="4"/>
              <w:bottom w:val="single" w:color="CCCCCC" w:sz="4"/>
              <w:right w:val="single" w:color="CCCCCC" w:sz="4"/>
            </w:tcBorders>
            <w:shd w:fill="1A2B47" w:color="auto" w:val="clear"/>
            <w:tcMar>
              <w:top w:type="dxa" w:w="80"/>
              <w:left w:type="dxa" w:w="120"/>
              <w:bottom w:type="dxa" w:w="80"/>
              <w:right w:type="dxa" w:w="120"/>
            </w:tcMar>
          </w:tcPr>
          <w:p>
            <w:r>
              <w:rPr>
                <w:rFonts w:ascii="Calibri" w:cs="Calibri" w:eastAsia="Calibri" w:hAnsi="Calibri"/>
                <w:b/>
                <w:bCs/>
                <w:caps/>
                <w:color w:val="FFFFFF"/>
                <w:sz w:val="20"/>
                <w:szCs w:val="20"/>
              </w:rPr>
              <w:t xml:space="preserve">Europe (early trade)</w:t>
            </w:r>
          </w:p>
        </w:tc>
      </w:tr>
      <w:t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bCs/>
                <w:color w:val="1A2B47"/>
                <w:sz w:val="18"/>
                <w:szCs w:val="18"/>
              </w:rPr>
              <w:t xml:space="preserve">Stoxx Europe 600</w:t>
            </w:r>
          </w:p>
        </w:tc>
        <w:tc>
          <w:tcPr>
            <w:tcW w:type="dxa" w:w="1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right"/>
            </w:pPr>
            <w:r>
              <w:rPr>
                <w:rFonts w:ascii="Calibri" w:cs="Calibri" w:eastAsia="Calibri" w:hAnsi="Calibri"/>
                <w:b w:val="false"/>
                <w:bCs w:val="false"/>
                <w:color w:val="222222"/>
                <w:sz w:val="18"/>
                <w:szCs w:val="18"/>
              </w:rPr>
              <w:t xml:space="preserve">568.90</w:t>
            </w:r>
          </w:p>
        </w:tc>
        <w:tc>
          <w:tcPr>
            <w:tcW w:type="dxa" w:w="17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right"/>
            </w:pPr>
            <w:r>
              <w:rPr>
                <w:rFonts w:ascii="Calibri" w:cs="Calibri" w:eastAsia="Calibri" w:hAnsi="Calibri"/>
                <w:b/>
                <w:bCs/>
                <w:color w:val="2E7D32"/>
                <w:sz w:val="18"/>
                <w:szCs w:val="18"/>
              </w:rPr>
              <w:t xml:space="preserve">+0.20%</w:t>
            </w:r>
          </w:p>
        </w:tc>
        <w:tc>
          <w:tcPr>
            <w:tcW w:type="dxa" w:w="31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val="false"/>
                <w:bCs w:val="false"/>
                <w:color w:val="555555"/>
                <w:sz w:val="18"/>
                <w:szCs w:val="18"/>
              </w:rPr>
              <w:t xml:space="preserve">Earnings-led mixed open</w:t>
            </w:r>
          </w:p>
        </w:tc>
      </w:tr>
      <w:tr>
        <w:tc>
          <w:tcPr>
            <w:tcW w:type="dxa" w:w="26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left"/>
            </w:pPr>
            <w:r>
              <w:rPr>
                <w:rFonts w:ascii="Calibri" w:cs="Calibri" w:eastAsia="Calibri" w:hAnsi="Calibri"/>
                <w:b/>
                <w:bCs/>
                <w:color w:val="1A2B47"/>
                <w:sz w:val="18"/>
                <w:szCs w:val="18"/>
              </w:rPr>
              <w:t xml:space="preserve">FTSE 100</w:t>
            </w:r>
          </w:p>
        </w:tc>
        <w:tc>
          <w:tcPr>
            <w:tcW w:type="dxa" w:w="19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222222"/>
                <w:sz w:val="18"/>
                <w:szCs w:val="18"/>
              </w:rPr>
              <w:t xml:space="preserve">9,418.40</w:t>
            </w:r>
          </w:p>
        </w:tc>
        <w:tc>
          <w:tcPr>
            <w:tcW w:type="dxa" w:w="17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right"/>
            </w:pPr>
            <w:r>
              <w:rPr>
                <w:rFonts w:ascii="Calibri" w:cs="Calibri" w:eastAsia="Calibri" w:hAnsi="Calibri"/>
                <w:b/>
                <w:bCs/>
                <w:color w:val="2E7D32"/>
                <w:sz w:val="18"/>
                <w:szCs w:val="18"/>
              </w:rPr>
              <w:t xml:space="preserve">+0.35%</w:t>
            </w:r>
          </w:p>
        </w:tc>
        <w:tc>
          <w:tcPr>
            <w:tcW w:type="dxa" w:w="316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left"/>
            </w:pPr>
            <w:r>
              <w:rPr>
                <w:rFonts w:ascii="Calibri" w:cs="Calibri" w:eastAsia="Calibri" w:hAnsi="Calibri"/>
                <w:b w:val="false"/>
                <w:bCs w:val="false"/>
                <w:color w:val="555555"/>
                <w:sz w:val="18"/>
                <w:szCs w:val="18"/>
              </w:rPr>
              <w:t xml:space="preserve">Energy heavyweights lift index</w:t>
            </w:r>
          </w:p>
        </w:tc>
      </w:tr>
      <w:t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bCs/>
                <w:color w:val="1A2B47"/>
                <w:sz w:val="18"/>
                <w:szCs w:val="18"/>
              </w:rPr>
              <w:t xml:space="preserve">DAX</w:t>
            </w:r>
          </w:p>
        </w:tc>
        <w:tc>
          <w:tcPr>
            <w:tcW w:type="dxa" w:w="1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right"/>
            </w:pPr>
            <w:r>
              <w:rPr>
                <w:rFonts w:ascii="Calibri" w:cs="Calibri" w:eastAsia="Calibri" w:hAnsi="Calibri"/>
                <w:b w:val="false"/>
                <w:bCs w:val="false"/>
                <w:color w:val="222222"/>
                <w:sz w:val="18"/>
                <w:szCs w:val="18"/>
              </w:rPr>
              <w:t xml:space="preserve">21,742.00</w:t>
            </w:r>
          </w:p>
        </w:tc>
        <w:tc>
          <w:tcPr>
            <w:tcW w:type="dxa" w:w="17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right"/>
            </w:pPr>
            <w:r>
              <w:rPr>
                <w:rFonts w:ascii="Calibri" w:cs="Calibri" w:eastAsia="Calibri" w:hAnsi="Calibri"/>
                <w:b/>
                <w:bCs/>
                <w:color w:val="2E7D32"/>
                <w:sz w:val="18"/>
                <w:szCs w:val="18"/>
              </w:rPr>
              <w:t xml:space="preserve">+0.10%</w:t>
            </w:r>
          </w:p>
        </w:tc>
        <w:tc>
          <w:tcPr>
            <w:tcW w:type="dxa" w:w="31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val="false"/>
                <w:bCs w:val="false"/>
                <w:color w:val="555555"/>
                <w:sz w:val="18"/>
                <w:szCs w:val="18"/>
              </w:rPr>
              <w:t xml:space="preserve">Autos pause; Airbus -0.6%</w:t>
            </w:r>
          </w:p>
        </w:tc>
      </w:tr>
      <w:tr>
        <w:tc>
          <w:tcPr>
            <w:tcW w:type="dxa" w:w="26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left"/>
            </w:pPr>
            <w:r>
              <w:rPr>
                <w:rFonts w:ascii="Calibri" w:cs="Calibri" w:eastAsia="Calibri" w:hAnsi="Calibri"/>
                <w:b/>
                <w:bCs/>
                <w:color w:val="1A2B47"/>
                <w:sz w:val="18"/>
                <w:szCs w:val="18"/>
              </w:rPr>
              <w:t xml:space="preserve">CAC 40</w:t>
            </w:r>
          </w:p>
        </w:tc>
        <w:tc>
          <w:tcPr>
            <w:tcW w:type="dxa" w:w="19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222222"/>
                <w:sz w:val="18"/>
                <w:szCs w:val="18"/>
              </w:rPr>
              <w:t xml:space="preserve">8,360.20</w:t>
            </w:r>
          </w:p>
        </w:tc>
        <w:tc>
          <w:tcPr>
            <w:tcW w:type="dxa" w:w="17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right"/>
            </w:pPr>
            <w:r>
              <w:rPr>
                <w:rFonts w:ascii="Calibri" w:cs="Calibri" w:eastAsia="Calibri" w:hAnsi="Calibri"/>
                <w:b/>
                <w:bCs/>
                <w:color w:val="2E7D32"/>
                <w:sz w:val="18"/>
                <w:szCs w:val="18"/>
              </w:rPr>
              <w:t xml:space="preserve">+0.08%</w:t>
            </w:r>
          </w:p>
        </w:tc>
        <w:tc>
          <w:tcPr>
            <w:tcW w:type="dxa" w:w="316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left"/>
            </w:pPr>
            <w:r>
              <w:rPr>
                <w:rFonts w:ascii="Calibri" w:cs="Calibri" w:eastAsia="Calibri" w:hAnsi="Calibri"/>
                <w:b w:val="false"/>
                <w:bCs w:val="false"/>
                <w:color w:val="555555"/>
                <w:sz w:val="18"/>
                <w:szCs w:val="18"/>
              </w:rPr>
              <w:t xml:space="preserve">Luxury subdued</w:t>
            </w:r>
          </w:p>
        </w:tc>
      </w:tr>
      <w:t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bCs/>
                <w:color w:val="1A2B47"/>
                <w:sz w:val="18"/>
                <w:szCs w:val="18"/>
              </w:rPr>
              <w:t xml:space="preserve">Euro Stoxx 50</w:t>
            </w:r>
          </w:p>
        </w:tc>
        <w:tc>
          <w:tcPr>
            <w:tcW w:type="dxa" w:w="1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right"/>
            </w:pPr>
            <w:r>
              <w:rPr>
                <w:rFonts w:ascii="Calibri" w:cs="Calibri" w:eastAsia="Calibri" w:hAnsi="Calibri"/>
                <w:b w:val="false"/>
                <w:bCs w:val="false"/>
                <w:color w:val="222222"/>
                <w:sz w:val="18"/>
                <w:szCs w:val="18"/>
              </w:rPr>
              <w:t xml:space="preserve">5,492.10</w:t>
            </w:r>
          </w:p>
        </w:tc>
        <w:tc>
          <w:tcPr>
            <w:tcW w:type="dxa" w:w="17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right"/>
            </w:pPr>
            <w:r>
              <w:rPr>
                <w:rFonts w:ascii="Calibri" w:cs="Calibri" w:eastAsia="Calibri" w:hAnsi="Calibri"/>
                <w:b/>
                <w:bCs/>
                <w:color w:val="2E7D32"/>
                <w:sz w:val="18"/>
                <w:szCs w:val="18"/>
              </w:rPr>
              <w:t xml:space="preserve">+0.18%</w:t>
            </w:r>
          </w:p>
        </w:tc>
        <w:tc>
          <w:tcPr>
            <w:tcW w:type="dxa" w:w="31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val="false"/>
                <w:bCs w:val="false"/>
                <w:color w:val="555555"/>
                <w:sz w:val="18"/>
                <w:szCs w:val="18"/>
              </w:rPr>
              <w:t xml:space="preserve">Banks bid post-Barclays</w:t>
            </w:r>
          </w:p>
        </w:tc>
      </w:tr>
      <w:tr>
        <w:tc>
          <w:tcPr>
            <w:tcW w:type="dxa" w:w="9360"/>
            <w:gridSpan w:val="4"/>
            <w:tcBorders>
              <w:top w:val="single" w:color="CCCCCC" w:sz="4"/>
              <w:left w:val="single" w:color="CCCCCC" w:sz="4"/>
              <w:bottom w:val="single" w:color="CCCCCC" w:sz="4"/>
              <w:right w:val="single" w:color="CCCCCC" w:sz="4"/>
            </w:tcBorders>
            <w:shd w:fill="1A2B47" w:color="auto" w:val="clear"/>
            <w:tcMar>
              <w:top w:type="dxa" w:w="80"/>
              <w:left w:type="dxa" w:w="120"/>
              <w:bottom w:type="dxa" w:w="80"/>
              <w:right w:type="dxa" w:w="120"/>
            </w:tcMar>
          </w:tcPr>
          <w:p>
            <w:r>
              <w:rPr>
                <w:rFonts w:ascii="Calibri" w:cs="Calibri" w:eastAsia="Calibri" w:hAnsi="Calibri"/>
                <w:b/>
                <w:bCs/>
                <w:caps/>
                <w:color w:val="FFFFFF"/>
                <w:sz w:val="20"/>
                <w:szCs w:val="20"/>
              </w:rPr>
              <w:t xml:space="preserve">Volatility &amp; Cross-Asset Stress</w:t>
            </w:r>
          </w:p>
        </w:tc>
      </w:tr>
      <w:t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bCs/>
                <w:color w:val="1A2B47"/>
                <w:sz w:val="18"/>
                <w:szCs w:val="18"/>
              </w:rPr>
              <w:t xml:space="preserve">VIX</w:t>
            </w:r>
          </w:p>
        </w:tc>
        <w:tc>
          <w:tcPr>
            <w:tcW w:type="dxa" w:w="1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right"/>
            </w:pPr>
            <w:r>
              <w:rPr>
                <w:rFonts w:ascii="Calibri" w:cs="Calibri" w:eastAsia="Calibri" w:hAnsi="Calibri"/>
                <w:b w:val="false"/>
                <w:bCs w:val="false"/>
                <w:color w:val="222222"/>
                <w:sz w:val="18"/>
                <w:szCs w:val="18"/>
              </w:rPr>
              <w:t xml:space="preserve">18.55</w:t>
            </w:r>
          </w:p>
        </w:tc>
        <w:tc>
          <w:tcPr>
            <w:tcW w:type="dxa" w:w="17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right"/>
            </w:pPr>
            <w:r>
              <w:rPr>
                <w:rFonts w:ascii="Calibri" w:cs="Calibri" w:eastAsia="Calibri" w:hAnsi="Calibri"/>
                <w:b/>
                <w:bCs/>
                <w:color w:val="2E7D32"/>
                <w:sz w:val="18"/>
                <w:szCs w:val="18"/>
              </w:rPr>
              <w:t xml:space="preserve">+3.05%</w:t>
            </w:r>
          </w:p>
        </w:tc>
        <w:tc>
          <w:tcPr>
            <w:tcW w:type="dxa" w:w="31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val="false"/>
                <w:bCs w:val="false"/>
                <w:color w:val="555555"/>
                <w:sz w:val="18"/>
                <w:szCs w:val="18"/>
              </w:rPr>
              <w:t xml:space="preserve">Bid into FOMC; 50d avg ~16</w:t>
            </w:r>
          </w:p>
        </w:tc>
      </w:tr>
      <w:tr>
        <w:tc>
          <w:tcPr>
            <w:tcW w:type="dxa" w:w="26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left"/>
            </w:pPr>
            <w:r>
              <w:rPr>
                <w:rFonts w:ascii="Calibri" w:cs="Calibri" w:eastAsia="Calibri" w:hAnsi="Calibri"/>
                <w:b/>
                <w:bCs/>
                <w:color w:val="1A2B47"/>
                <w:sz w:val="18"/>
                <w:szCs w:val="18"/>
              </w:rPr>
              <w:t xml:space="preserve">MOVE Index</w:t>
            </w:r>
          </w:p>
        </w:tc>
        <w:tc>
          <w:tcPr>
            <w:tcW w:type="dxa" w:w="19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222222"/>
                <w:sz w:val="18"/>
                <w:szCs w:val="18"/>
              </w:rPr>
              <w:t xml:space="preserve">112.4</w:t>
            </w:r>
          </w:p>
        </w:tc>
        <w:tc>
          <w:tcPr>
            <w:tcW w:type="dxa" w:w="17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right"/>
            </w:pPr>
            <w:r>
              <w:rPr>
                <w:rFonts w:ascii="Calibri" w:cs="Calibri" w:eastAsia="Calibri" w:hAnsi="Calibri"/>
                <w:b/>
                <w:bCs/>
                <w:color w:val="2E7D32"/>
                <w:sz w:val="18"/>
                <w:szCs w:val="18"/>
              </w:rPr>
              <w:t xml:space="preserve">+1.6%</w:t>
            </w:r>
          </w:p>
        </w:tc>
        <w:tc>
          <w:tcPr>
            <w:tcW w:type="dxa" w:w="316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left"/>
            </w:pPr>
            <w:r>
              <w:rPr>
                <w:rFonts w:ascii="Calibri" w:cs="Calibri" w:eastAsia="Calibri" w:hAnsi="Calibri"/>
                <w:b w:val="false"/>
                <w:bCs w:val="false"/>
                <w:color w:val="555555"/>
                <w:sz w:val="18"/>
                <w:szCs w:val="18"/>
              </w:rPr>
              <w:t xml:space="preserve">Above 12m average — rate uncertainty</w:t>
            </w:r>
          </w:p>
        </w:tc>
      </w:tr>
      <w:t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bCs/>
                <w:color w:val="1A2B47"/>
                <w:sz w:val="18"/>
                <w:szCs w:val="18"/>
              </w:rPr>
              <w:t xml:space="preserve">HY OAS (ICE BofA)</w:t>
            </w:r>
          </w:p>
        </w:tc>
        <w:tc>
          <w:tcPr>
            <w:tcW w:type="dxa" w:w="1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right"/>
            </w:pPr>
            <w:r>
              <w:rPr>
                <w:rFonts w:ascii="Calibri" w:cs="Calibri" w:eastAsia="Calibri" w:hAnsi="Calibri"/>
                <w:b w:val="false"/>
                <w:bCs w:val="false"/>
                <w:color w:val="222222"/>
                <w:sz w:val="18"/>
                <w:szCs w:val="18"/>
              </w:rPr>
              <w:t xml:space="preserve">+285 bps</w:t>
            </w:r>
          </w:p>
        </w:tc>
        <w:tc>
          <w:tcPr>
            <w:tcW w:type="dxa" w:w="17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right"/>
            </w:pPr>
            <w:r>
              <w:rPr>
                <w:rFonts w:ascii="Calibri" w:cs="Calibri" w:eastAsia="Calibri" w:hAnsi="Calibri"/>
                <w:b/>
                <w:bCs/>
                <w:color w:val="2E7D32"/>
                <w:sz w:val="18"/>
                <w:szCs w:val="18"/>
              </w:rPr>
              <w:t xml:space="preserve">+5 bps</w:t>
            </w:r>
          </w:p>
        </w:tc>
        <w:tc>
          <w:tcPr>
            <w:tcW w:type="dxa" w:w="31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val="false"/>
                <w:bCs w:val="false"/>
                <w:color w:val="555555"/>
                <w:sz w:val="18"/>
                <w:szCs w:val="18"/>
              </w:rPr>
              <w:t xml:space="preserve">Still well inside 2024-25 highs</w:t>
            </w:r>
          </w:p>
        </w:tc>
      </w:tr>
      <w:tr>
        <w:tc>
          <w:tcPr>
            <w:tcW w:type="dxa" w:w="26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left"/>
            </w:pPr>
            <w:r>
              <w:rPr>
                <w:rFonts w:ascii="Calibri" w:cs="Calibri" w:eastAsia="Calibri" w:hAnsi="Calibri"/>
                <w:b/>
                <w:bCs/>
                <w:color w:val="1A2B47"/>
                <w:sz w:val="18"/>
                <w:szCs w:val="18"/>
              </w:rPr>
              <w:t xml:space="preserve">IG OAS (ICE BofA)</w:t>
            </w:r>
          </w:p>
        </w:tc>
        <w:tc>
          <w:tcPr>
            <w:tcW w:type="dxa" w:w="19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222222"/>
                <w:sz w:val="18"/>
                <w:szCs w:val="18"/>
              </w:rPr>
              <w:t xml:space="preserve">+80 bps</w:t>
            </w:r>
          </w:p>
        </w:tc>
        <w:tc>
          <w:tcPr>
            <w:tcW w:type="dxa" w:w="17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right"/>
            </w:pPr>
            <w:r>
              <w:rPr>
                <w:rFonts w:ascii="Calibri" w:cs="Calibri" w:eastAsia="Calibri" w:hAnsi="Calibri"/>
                <w:b/>
                <w:bCs/>
                <w:color w:val="2E7D32"/>
                <w:sz w:val="18"/>
                <w:szCs w:val="18"/>
              </w:rPr>
              <w:t xml:space="preserve">+1 bp</w:t>
            </w:r>
          </w:p>
        </w:tc>
        <w:tc>
          <w:tcPr>
            <w:tcW w:type="dxa" w:w="316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left"/>
            </w:pPr>
            <w:r>
              <w:rPr>
                <w:rFonts w:ascii="Calibri" w:cs="Calibri" w:eastAsia="Calibri" w:hAnsi="Calibri"/>
                <w:b w:val="false"/>
                <w:bCs w:val="false"/>
                <w:color w:val="555555"/>
                <w:sz w:val="18"/>
                <w:szCs w:val="18"/>
              </w:rPr>
              <w:t xml:space="preserve">Near 25-year tights</w:t>
            </w:r>
          </w:p>
        </w:tc>
      </w:tr>
      <w:tr>
        <w:tc>
          <w:tcPr>
            <w:tcW w:type="dxa" w:w="9360"/>
            <w:gridSpan w:val="4"/>
            <w:tcBorders>
              <w:top w:val="single" w:color="CCCCCC" w:sz="4"/>
              <w:left w:val="single" w:color="CCCCCC" w:sz="4"/>
              <w:bottom w:val="single" w:color="CCCCCC" w:sz="4"/>
              <w:right w:val="single" w:color="CCCCCC" w:sz="4"/>
            </w:tcBorders>
            <w:shd w:fill="1A2B47" w:color="auto" w:val="clear"/>
            <w:tcMar>
              <w:top w:type="dxa" w:w="80"/>
              <w:left w:type="dxa" w:w="120"/>
              <w:bottom w:type="dxa" w:w="80"/>
              <w:right w:type="dxa" w:w="120"/>
            </w:tcMar>
          </w:tcPr>
          <w:p>
            <w:r>
              <w:rPr>
                <w:rFonts w:ascii="Calibri" w:cs="Calibri" w:eastAsia="Calibri" w:hAnsi="Calibri"/>
                <w:b/>
                <w:bCs/>
                <w:caps/>
                <w:color w:val="FFFFFF"/>
                <w:sz w:val="20"/>
                <w:szCs w:val="20"/>
              </w:rPr>
              <w:t xml:space="preserve">US Treasuries</w:t>
            </w:r>
          </w:p>
        </w:tc>
      </w:tr>
      <w:t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bCs/>
                <w:color w:val="1A2B47"/>
                <w:sz w:val="18"/>
                <w:szCs w:val="18"/>
              </w:rPr>
              <w:t xml:space="preserve">2-Year</w:t>
            </w:r>
          </w:p>
        </w:tc>
        <w:tc>
          <w:tcPr>
            <w:tcW w:type="dxa" w:w="1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right"/>
            </w:pPr>
            <w:r>
              <w:rPr>
                <w:rFonts w:ascii="Calibri" w:cs="Calibri" w:eastAsia="Calibri" w:hAnsi="Calibri"/>
                <w:b w:val="false"/>
                <w:bCs w:val="false"/>
                <w:color w:val="222222"/>
                <w:sz w:val="18"/>
                <w:szCs w:val="18"/>
              </w:rPr>
              <w:t xml:space="preserve">3.84%</w:t>
            </w:r>
          </w:p>
        </w:tc>
        <w:tc>
          <w:tcPr>
            <w:tcW w:type="dxa" w:w="17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right"/>
            </w:pPr>
            <w:r>
              <w:rPr>
                <w:rFonts w:ascii="Calibri" w:cs="Calibri" w:eastAsia="Calibri" w:hAnsi="Calibri"/>
                <w:b/>
                <w:bCs/>
                <w:color w:val="2E7D32"/>
                <w:sz w:val="18"/>
                <w:szCs w:val="18"/>
              </w:rPr>
              <w:t xml:space="preserve">+1 bp</w:t>
            </w:r>
          </w:p>
        </w:tc>
        <w:tc>
          <w:tcPr>
            <w:tcW w:type="dxa" w:w="31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val="false"/>
                <w:bCs w:val="false"/>
                <w:color w:val="555555"/>
                <w:sz w:val="18"/>
                <w:szCs w:val="18"/>
              </w:rPr>
              <w:t xml:space="preserve">Anchored by Fed-on-hold pricing</w:t>
            </w:r>
          </w:p>
        </w:tc>
      </w:tr>
      <w:tr>
        <w:tc>
          <w:tcPr>
            <w:tcW w:type="dxa" w:w="26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left"/>
            </w:pPr>
            <w:r>
              <w:rPr>
                <w:rFonts w:ascii="Calibri" w:cs="Calibri" w:eastAsia="Calibri" w:hAnsi="Calibri"/>
                <w:b/>
                <w:bCs/>
                <w:color w:val="1A2B47"/>
                <w:sz w:val="18"/>
                <w:szCs w:val="18"/>
              </w:rPr>
              <w:t xml:space="preserve">5-Year</w:t>
            </w:r>
          </w:p>
        </w:tc>
        <w:tc>
          <w:tcPr>
            <w:tcW w:type="dxa" w:w="19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222222"/>
                <w:sz w:val="18"/>
                <w:szCs w:val="18"/>
              </w:rPr>
              <w:t xml:space="preserve">4.02%</w:t>
            </w:r>
          </w:p>
        </w:tc>
        <w:tc>
          <w:tcPr>
            <w:tcW w:type="dxa" w:w="17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right"/>
            </w:pPr>
            <w:r>
              <w:rPr>
                <w:rFonts w:ascii="Calibri" w:cs="Calibri" w:eastAsia="Calibri" w:hAnsi="Calibri"/>
                <w:b/>
                <w:bCs/>
                <w:color w:val="2E7D32"/>
                <w:sz w:val="18"/>
                <w:szCs w:val="18"/>
              </w:rPr>
              <w:t xml:space="preserve">+2 bps</w:t>
            </w:r>
          </w:p>
        </w:tc>
        <w:tc>
          <w:tcPr>
            <w:tcW w:type="dxa" w:w="316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left"/>
            </w:pPr>
            <w:r>
              <w:rPr>
                <w:rFonts w:ascii="Calibri" w:cs="Calibri" w:eastAsia="Calibri" w:hAnsi="Calibri"/>
                <w:b w:val="false"/>
                <w:bCs w:val="false"/>
                <w:color w:val="555555"/>
                <w:sz w:val="18"/>
                <w:szCs w:val="18"/>
              </w:rPr>
              <w:t xml:space="preserve">Belly cheapening modestly</w:t>
            </w:r>
          </w:p>
        </w:tc>
      </w:tr>
      <w:t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bCs/>
                <w:color w:val="1A2B47"/>
                <w:sz w:val="18"/>
                <w:szCs w:val="18"/>
              </w:rPr>
              <w:t xml:space="preserve">10-Year</w:t>
            </w:r>
          </w:p>
        </w:tc>
        <w:tc>
          <w:tcPr>
            <w:tcW w:type="dxa" w:w="1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right"/>
            </w:pPr>
            <w:r>
              <w:rPr>
                <w:rFonts w:ascii="Calibri" w:cs="Calibri" w:eastAsia="Calibri" w:hAnsi="Calibri"/>
                <w:b w:val="false"/>
                <w:bCs w:val="false"/>
                <w:color w:val="222222"/>
                <w:sz w:val="18"/>
                <w:szCs w:val="18"/>
              </w:rPr>
              <w:t xml:space="preserve">4.32%</w:t>
            </w:r>
          </w:p>
        </w:tc>
        <w:tc>
          <w:tcPr>
            <w:tcW w:type="dxa" w:w="17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right"/>
            </w:pPr>
            <w:r>
              <w:rPr>
                <w:rFonts w:ascii="Calibri" w:cs="Calibri" w:eastAsia="Calibri" w:hAnsi="Calibri"/>
                <w:b/>
                <w:bCs/>
                <w:color w:val="2E7D32"/>
                <w:sz w:val="18"/>
                <w:szCs w:val="18"/>
              </w:rPr>
              <w:t xml:space="preserve">+1 bp</w:t>
            </w:r>
          </w:p>
        </w:tc>
        <w:tc>
          <w:tcPr>
            <w:tcW w:type="dxa" w:w="31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val="false"/>
                <w:bCs w:val="false"/>
                <w:color w:val="555555"/>
                <w:sz w:val="18"/>
                <w:szCs w:val="18"/>
              </w:rPr>
              <w:t xml:space="preserve">Range-bound around 4.30%</w:t>
            </w:r>
          </w:p>
        </w:tc>
      </w:tr>
      <w:tr>
        <w:tc>
          <w:tcPr>
            <w:tcW w:type="dxa" w:w="26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left"/>
            </w:pPr>
            <w:r>
              <w:rPr>
                <w:rFonts w:ascii="Calibri" w:cs="Calibri" w:eastAsia="Calibri" w:hAnsi="Calibri"/>
                <w:b/>
                <w:bCs/>
                <w:color w:val="1A2B47"/>
                <w:sz w:val="18"/>
                <w:szCs w:val="18"/>
              </w:rPr>
              <w:t xml:space="preserve">30-Year</w:t>
            </w:r>
          </w:p>
        </w:tc>
        <w:tc>
          <w:tcPr>
            <w:tcW w:type="dxa" w:w="19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222222"/>
                <w:sz w:val="18"/>
                <w:szCs w:val="18"/>
              </w:rPr>
              <w:t xml:space="preserve">4.81%</w:t>
            </w:r>
          </w:p>
        </w:tc>
        <w:tc>
          <w:tcPr>
            <w:tcW w:type="dxa" w:w="17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right"/>
            </w:pPr>
            <w:r>
              <w:rPr>
                <w:rFonts w:ascii="Calibri" w:cs="Calibri" w:eastAsia="Calibri" w:hAnsi="Calibri"/>
                <w:b/>
                <w:bCs/>
                <w:color w:val="2E7D32"/>
                <w:sz w:val="18"/>
                <w:szCs w:val="18"/>
              </w:rPr>
              <w:t xml:space="preserve">+2 bps</w:t>
            </w:r>
          </w:p>
        </w:tc>
        <w:tc>
          <w:tcPr>
            <w:tcW w:type="dxa" w:w="316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left"/>
            </w:pPr>
            <w:r>
              <w:rPr>
                <w:rFonts w:ascii="Calibri" w:cs="Calibri" w:eastAsia="Calibri" w:hAnsi="Calibri"/>
                <w:b w:val="false"/>
                <w:bCs w:val="false"/>
                <w:color w:val="555555"/>
                <w:sz w:val="18"/>
                <w:szCs w:val="18"/>
              </w:rPr>
              <w:t xml:space="preserve">Curve continues to steepen</w:t>
            </w:r>
          </w:p>
        </w:tc>
      </w:tr>
      <w:t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bCs/>
                <w:color w:val="1A2B47"/>
                <w:sz w:val="18"/>
                <w:szCs w:val="18"/>
              </w:rPr>
              <w:t xml:space="preserve">2s10s Curve</w:t>
            </w:r>
          </w:p>
        </w:tc>
        <w:tc>
          <w:tcPr>
            <w:tcW w:type="dxa" w:w="1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right"/>
            </w:pPr>
            <w:r>
              <w:rPr>
                <w:rFonts w:ascii="Calibri" w:cs="Calibri" w:eastAsia="Calibri" w:hAnsi="Calibri"/>
                <w:b w:val="false"/>
                <w:bCs w:val="false"/>
                <w:color w:val="222222"/>
                <w:sz w:val="18"/>
                <w:szCs w:val="18"/>
              </w:rPr>
              <w:t xml:space="preserve">+48 bps</w:t>
            </w:r>
          </w:p>
        </w:tc>
        <w:tc>
          <w:tcPr>
            <w:tcW w:type="dxa" w:w="17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right"/>
            </w:pPr>
            <w:r>
              <w:rPr>
                <w:rFonts w:ascii="Calibri" w:cs="Calibri" w:eastAsia="Calibri" w:hAnsi="Calibri"/>
                <w:b/>
                <w:bCs/>
                <w:color w:val="555555"/>
                <w:sz w:val="18"/>
                <w:szCs w:val="18"/>
              </w:rPr>
              <w:t xml:space="preserve">Flat</w:t>
            </w:r>
          </w:p>
        </w:tc>
        <w:tc>
          <w:tcPr>
            <w:tcW w:type="dxa" w:w="31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val="false"/>
                <w:bCs w:val="false"/>
                <w:color w:val="555555"/>
                <w:sz w:val="18"/>
                <w:szCs w:val="18"/>
              </w:rPr>
              <w:t xml:space="preserve">Bull-steepener exhausted near term</w:t>
            </w:r>
          </w:p>
        </w:tc>
      </w:tr>
      <w:tr>
        <w:tc>
          <w:tcPr>
            <w:tcW w:type="dxa" w:w="9360"/>
            <w:gridSpan w:val="4"/>
            <w:tcBorders>
              <w:top w:val="single" w:color="CCCCCC" w:sz="4"/>
              <w:left w:val="single" w:color="CCCCCC" w:sz="4"/>
              <w:bottom w:val="single" w:color="CCCCCC" w:sz="4"/>
              <w:right w:val="single" w:color="CCCCCC" w:sz="4"/>
            </w:tcBorders>
            <w:shd w:fill="1A2B47" w:color="auto" w:val="clear"/>
            <w:tcMar>
              <w:top w:type="dxa" w:w="80"/>
              <w:left w:type="dxa" w:w="120"/>
              <w:bottom w:type="dxa" w:w="80"/>
              <w:right w:type="dxa" w:w="120"/>
            </w:tcMar>
          </w:tcPr>
          <w:p>
            <w:r>
              <w:rPr>
                <w:rFonts w:ascii="Calibri" w:cs="Calibri" w:eastAsia="Calibri" w:hAnsi="Calibri"/>
                <w:b/>
                <w:bCs/>
                <w:caps/>
                <w:color w:val="FFFFFF"/>
                <w:sz w:val="20"/>
                <w:szCs w:val="20"/>
              </w:rPr>
              <w:t xml:space="preserve">FX &amp; Dollar</w:t>
            </w:r>
          </w:p>
        </w:tc>
      </w:tr>
      <w:tr>
        <w:tc>
          <w:tcPr>
            <w:tcW w:type="dxa" w:w="26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left"/>
            </w:pPr>
            <w:r>
              <w:rPr>
                <w:rFonts w:ascii="Calibri" w:cs="Calibri" w:eastAsia="Calibri" w:hAnsi="Calibri"/>
                <w:b/>
                <w:bCs/>
                <w:color w:val="1A2B47"/>
                <w:sz w:val="18"/>
                <w:szCs w:val="18"/>
              </w:rPr>
              <w:t xml:space="preserve">DXY</w:t>
            </w:r>
          </w:p>
        </w:tc>
        <w:tc>
          <w:tcPr>
            <w:tcW w:type="dxa" w:w="19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222222"/>
                <w:sz w:val="18"/>
                <w:szCs w:val="18"/>
              </w:rPr>
              <w:t xml:space="preserve">98.69</w:t>
            </w:r>
          </w:p>
        </w:tc>
        <w:tc>
          <w:tcPr>
            <w:tcW w:type="dxa" w:w="17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right"/>
            </w:pPr>
            <w:r>
              <w:rPr>
                <w:rFonts w:ascii="Calibri" w:cs="Calibri" w:eastAsia="Calibri" w:hAnsi="Calibri"/>
                <w:b/>
                <w:bCs/>
                <w:color w:val="2E7D32"/>
                <w:sz w:val="18"/>
                <w:szCs w:val="18"/>
              </w:rPr>
              <w:t xml:space="preserve">+0.15%</w:t>
            </w:r>
          </w:p>
        </w:tc>
        <w:tc>
          <w:tcPr>
            <w:tcW w:type="dxa" w:w="316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left"/>
            </w:pPr>
            <w:r>
              <w:rPr>
                <w:rFonts w:ascii="Calibri" w:cs="Calibri" w:eastAsia="Calibri" w:hAnsi="Calibri"/>
                <w:b w:val="false"/>
                <w:bCs w:val="false"/>
                <w:color w:val="555555"/>
                <w:sz w:val="18"/>
                <w:szCs w:val="18"/>
              </w:rPr>
              <w:t xml:space="preserve">Stable after Iran headline whipsaw</w:t>
            </w:r>
          </w:p>
        </w:tc>
      </w:tr>
      <w:t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bCs/>
                <w:color w:val="1A2B47"/>
                <w:sz w:val="18"/>
                <w:szCs w:val="18"/>
              </w:rPr>
              <w:t xml:space="preserve">EUR/USD</w:t>
            </w:r>
          </w:p>
        </w:tc>
        <w:tc>
          <w:tcPr>
            <w:tcW w:type="dxa" w:w="1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right"/>
            </w:pPr>
            <w:r>
              <w:rPr>
                <w:rFonts w:ascii="Calibri" w:cs="Calibri" w:eastAsia="Calibri" w:hAnsi="Calibri"/>
                <w:b w:val="false"/>
                <w:bCs w:val="false"/>
                <w:color w:val="222222"/>
                <w:sz w:val="18"/>
                <w:szCs w:val="18"/>
              </w:rPr>
              <w:t xml:space="preserve">1.1238</w:t>
            </w:r>
          </w:p>
        </w:tc>
        <w:tc>
          <w:tcPr>
            <w:tcW w:type="dxa" w:w="17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right"/>
            </w:pPr>
            <w:r>
              <w:rPr>
                <w:rFonts w:ascii="Calibri" w:cs="Calibri" w:eastAsia="Calibri" w:hAnsi="Calibri"/>
                <w:b/>
                <w:bCs/>
                <w:color w:val="C62828"/>
                <w:sz w:val="18"/>
                <w:szCs w:val="18"/>
              </w:rPr>
              <w:t xml:space="preserve">-0.10%</w:t>
            </w:r>
          </w:p>
        </w:tc>
        <w:tc>
          <w:tcPr>
            <w:tcW w:type="dxa" w:w="31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val="false"/>
                <w:bCs w:val="false"/>
                <w:color w:val="555555"/>
                <w:sz w:val="18"/>
                <w:szCs w:val="18"/>
              </w:rPr>
              <w:t xml:space="preserve">Pre-ECB Thursday positioning</w:t>
            </w:r>
          </w:p>
        </w:tc>
      </w:tr>
      <w:tr>
        <w:tc>
          <w:tcPr>
            <w:tcW w:type="dxa" w:w="26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left"/>
            </w:pPr>
            <w:r>
              <w:rPr>
                <w:rFonts w:ascii="Calibri" w:cs="Calibri" w:eastAsia="Calibri" w:hAnsi="Calibri"/>
                <w:b/>
                <w:bCs/>
                <w:color w:val="1A2B47"/>
                <w:sz w:val="18"/>
                <w:szCs w:val="18"/>
              </w:rPr>
              <w:t xml:space="preserve">GBP/USD</w:t>
            </w:r>
          </w:p>
        </w:tc>
        <w:tc>
          <w:tcPr>
            <w:tcW w:type="dxa" w:w="19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222222"/>
                <w:sz w:val="18"/>
                <w:szCs w:val="18"/>
              </w:rPr>
              <w:t xml:space="preserve">1.3315</w:t>
            </w:r>
          </w:p>
        </w:tc>
        <w:tc>
          <w:tcPr>
            <w:tcW w:type="dxa" w:w="17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right"/>
            </w:pPr>
            <w:r>
              <w:rPr>
                <w:rFonts w:ascii="Calibri" w:cs="Calibri" w:eastAsia="Calibri" w:hAnsi="Calibri"/>
                <w:b/>
                <w:bCs/>
                <w:color w:val="C62828"/>
                <w:sz w:val="18"/>
                <w:szCs w:val="18"/>
              </w:rPr>
              <w:t xml:space="preserve">-0.05%</w:t>
            </w:r>
          </w:p>
        </w:tc>
        <w:tc>
          <w:tcPr>
            <w:tcW w:type="dxa" w:w="316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left"/>
            </w:pPr>
            <w:r>
              <w:rPr>
                <w:rFonts w:ascii="Calibri" w:cs="Calibri" w:eastAsia="Calibri" w:hAnsi="Calibri"/>
                <w:b w:val="false"/>
                <w:bCs w:val="false"/>
                <w:color w:val="555555"/>
                <w:sz w:val="18"/>
                <w:szCs w:val="18"/>
              </w:rPr>
              <w:t xml:space="preserve">Eyeing Barclays/UK data</w:t>
            </w:r>
          </w:p>
        </w:tc>
      </w:tr>
      <w:t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bCs/>
                <w:color w:val="1A2B47"/>
                <w:sz w:val="18"/>
                <w:szCs w:val="18"/>
              </w:rPr>
              <w:t xml:space="preserve">USD/JPY</w:t>
            </w:r>
          </w:p>
        </w:tc>
        <w:tc>
          <w:tcPr>
            <w:tcW w:type="dxa" w:w="1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right"/>
            </w:pPr>
            <w:r>
              <w:rPr>
                <w:rFonts w:ascii="Calibri" w:cs="Calibri" w:eastAsia="Calibri" w:hAnsi="Calibri"/>
                <w:b w:val="false"/>
                <w:bCs w:val="false"/>
                <w:color w:val="222222"/>
                <w:sz w:val="18"/>
                <w:szCs w:val="18"/>
              </w:rPr>
              <w:t xml:space="preserve">151.40</w:t>
            </w:r>
          </w:p>
        </w:tc>
        <w:tc>
          <w:tcPr>
            <w:tcW w:type="dxa" w:w="17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right"/>
            </w:pPr>
            <w:r>
              <w:rPr>
                <w:rFonts w:ascii="Calibri" w:cs="Calibri" w:eastAsia="Calibri" w:hAnsi="Calibri"/>
                <w:b/>
                <w:bCs/>
                <w:color w:val="2E7D32"/>
                <w:sz w:val="18"/>
                <w:szCs w:val="18"/>
              </w:rPr>
              <w:t xml:space="preserve">+0.20%</w:t>
            </w:r>
          </w:p>
        </w:tc>
        <w:tc>
          <w:tcPr>
            <w:tcW w:type="dxa" w:w="31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val="false"/>
                <w:bCs w:val="false"/>
                <w:color w:val="555555"/>
                <w:sz w:val="18"/>
                <w:szCs w:val="18"/>
              </w:rPr>
              <w:t xml:space="preserve">BoJ caution into Powell</w:t>
            </w:r>
          </w:p>
        </w:tc>
      </w:tr>
      <w:tr>
        <w:tc>
          <w:tcPr>
            <w:tcW w:type="dxa" w:w="26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left"/>
            </w:pPr>
            <w:r>
              <w:rPr>
                <w:rFonts w:ascii="Calibri" w:cs="Calibri" w:eastAsia="Calibri" w:hAnsi="Calibri"/>
                <w:b/>
                <w:bCs/>
                <w:color w:val="1A2B47"/>
                <w:sz w:val="18"/>
                <w:szCs w:val="18"/>
              </w:rPr>
              <w:t xml:space="preserve">USD/CNY</w:t>
            </w:r>
          </w:p>
        </w:tc>
        <w:tc>
          <w:tcPr>
            <w:tcW w:type="dxa" w:w="19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222222"/>
                <w:sz w:val="18"/>
                <w:szCs w:val="18"/>
              </w:rPr>
              <w:t xml:space="preserve">7.1820</w:t>
            </w:r>
          </w:p>
        </w:tc>
        <w:tc>
          <w:tcPr>
            <w:tcW w:type="dxa" w:w="17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right"/>
            </w:pPr>
            <w:r>
              <w:rPr>
                <w:rFonts w:ascii="Calibri" w:cs="Calibri" w:eastAsia="Calibri" w:hAnsi="Calibri"/>
                <w:b/>
                <w:bCs/>
                <w:color w:val="555555"/>
                <w:sz w:val="18"/>
                <w:szCs w:val="18"/>
              </w:rPr>
              <w:t xml:space="preserve">Flat</w:t>
            </w:r>
          </w:p>
        </w:tc>
        <w:tc>
          <w:tcPr>
            <w:tcW w:type="dxa" w:w="316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left"/>
            </w:pPr>
            <w:r>
              <w:rPr>
                <w:rFonts w:ascii="Calibri" w:cs="Calibri" w:eastAsia="Calibri" w:hAnsi="Calibri"/>
                <w:b w:val="false"/>
                <w:bCs w:val="false"/>
                <w:color w:val="555555"/>
                <w:sz w:val="18"/>
                <w:szCs w:val="18"/>
              </w:rPr>
              <w:t xml:space="preserve">PBoC fixing tight; trade flows steady</w:t>
            </w:r>
          </w:p>
        </w:tc>
      </w:tr>
      <w:tr>
        <w:tc>
          <w:tcPr>
            <w:tcW w:type="dxa" w:w="9360"/>
            <w:gridSpan w:val="4"/>
            <w:tcBorders>
              <w:top w:val="single" w:color="CCCCCC" w:sz="4"/>
              <w:left w:val="single" w:color="CCCCCC" w:sz="4"/>
              <w:bottom w:val="single" w:color="CCCCCC" w:sz="4"/>
              <w:right w:val="single" w:color="CCCCCC" w:sz="4"/>
            </w:tcBorders>
            <w:shd w:fill="1A2B47" w:color="auto" w:val="clear"/>
            <w:tcMar>
              <w:top w:type="dxa" w:w="80"/>
              <w:left w:type="dxa" w:w="120"/>
              <w:bottom w:type="dxa" w:w="80"/>
              <w:right w:type="dxa" w:w="120"/>
            </w:tcMar>
          </w:tcPr>
          <w:p>
            <w:r>
              <w:rPr>
                <w:rFonts w:ascii="Calibri" w:cs="Calibri" w:eastAsia="Calibri" w:hAnsi="Calibri"/>
                <w:b/>
                <w:bCs/>
                <w:caps/>
                <w:color w:val="FFFFFF"/>
                <w:sz w:val="20"/>
                <w:szCs w:val="20"/>
              </w:rPr>
              <w:t xml:space="preserve">Commodities</w:t>
            </w:r>
          </w:p>
        </w:tc>
      </w:tr>
      <w:t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bCs/>
                <w:color w:val="1A2B47"/>
                <w:sz w:val="18"/>
                <w:szCs w:val="18"/>
              </w:rPr>
              <w:t xml:space="preserve">WTI Crude</w:t>
            </w:r>
          </w:p>
        </w:tc>
        <w:tc>
          <w:tcPr>
            <w:tcW w:type="dxa" w:w="1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right"/>
            </w:pPr>
            <w:r>
              <w:rPr>
                <w:rFonts w:ascii="Calibri" w:cs="Calibri" w:eastAsia="Calibri" w:hAnsi="Calibri"/>
                <w:b w:val="false"/>
                <w:bCs w:val="false"/>
                <w:color w:val="222222"/>
                <w:sz w:val="18"/>
                <w:szCs w:val="18"/>
              </w:rPr>
              <w:t xml:space="preserve">$99.75</w:t>
            </w:r>
          </w:p>
        </w:tc>
        <w:tc>
          <w:tcPr>
            <w:tcW w:type="dxa" w:w="17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right"/>
            </w:pPr>
            <w:r>
              <w:rPr>
                <w:rFonts w:ascii="Calibri" w:cs="Calibri" w:eastAsia="Calibri" w:hAnsi="Calibri"/>
                <w:b/>
                <w:bCs/>
                <w:color w:val="2E7D32"/>
                <w:sz w:val="18"/>
                <w:szCs w:val="18"/>
              </w:rPr>
              <w:t xml:space="preserve">+3.10%</w:t>
            </w:r>
          </w:p>
        </w:tc>
        <w:tc>
          <w:tcPr>
            <w:tcW w:type="dxa" w:w="31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val="false"/>
                <w:bCs w:val="false"/>
                <w:color w:val="555555"/>
                <w:sz w:val="18"/>
                <w:szCs w:val="18"/>
              </w:rPr>
              <w:t xml:space="preserve">Hormuz halt persists</w:t>
            </w:r>
          </w:p>
        </w:tc>
      </w:tr>
      <w:tr>
        <w:tc>
          <w:tcPr>
            <w:tcW w:type="dxa" w:w="26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left"/>
            </w:pPr>
            <w:r>
              <w:rPr>
                <w:rFonts w:ascii="Calibri" w:cs="Calibri" w:eastAsia="Calibri" w:hAnsi="Calibri"/>
                <w:b/>
                <w:bCs/>
                <w:color w:val="1A2B47"/>
                <w:sz w:val="18"/>
                <w:szCs w:val="18"/>
              </w:rPr>
              <w:t xml:space="preserve">Brent Crude</w:t>
            </w:r>
          </w:p>
        </w:tc>
        <w:tc>
          <w:tcPr>
            <w:tcW w:type="dxa" w:w="19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222222"/>
                <w:sz w:val="18"/>
                <w:szCs w:val="18"/>
              </w:rPr>
              <w:t xml:space="preserve">$111.49</w:t>
            </w:r>
          </w:p>
        </w:tc>
        <w:tc>
          <w:tcPr>
            <w:tcW w:type="dxa" w:w="17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right"/>
            </w:pPr>
            <w:r>
              <w:rPr>
                <w:rFonts w:ascii="Calibri" w:cs="Calibri" w:eastAsia="Calibri" w:hAnsi="Calibri"/>
                <w:b/>
                <w:bCs/>
                <w:color w:val="2E7D32"/>
                <w:sz w:val="18"/>
                <w:szCs w:val="18"/>
              </w:rPr>
              <w:t xml:space="preserve">+3.05%</w:t>
            </w:r>
          </w:p>
        </w:tc>
        <w:tc>
          <w:tcPr>
            <w:tcW w:type="dxa" w:w="316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left"/>
            </w:pPr>
            <w:r>
              <w:rPr>
                <w:rFonts w:ascii="Calibri" w:cs="Calibri" w:eastAsia="Calibri" w:hAnsi="Calibri"/>
                <w:b w:val="false"/>
                <w:bCs w:val="false"/>
                <w:color w:val="555555"/>
                <w:sz w:val="18"/>
                <w:szCs w:val="18"/>
              </w:rPr>
              <w:t xml:space="preserve">Highest since March</w:t>
            </w:r>
          </w:p>
        </w:tc>
      </w:tr>
      <w:t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bCs/>
                <w:color w:val="1A2B47"/>
                <w:sz w:val="18"/>
                <w:szCs w:val="18"/>
              </w:rPr>
              <w:t xml:space="preserve">Natural Gas (HH)</w:t>
            </w:r>
          </w:p>
        </w:tc>
        <w:tc>
          <w:tcPr>
            <w:tcW w:type="dxa" w:w="1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right"/>
            </w:pPr>
            <w:r>
              <w:rPr>
                <w:rFonts w:ascii="Calibri" w:cs="Calibri" w:eastAsia="Calibri" w:hAnsi="Calibri"/>
                <w:b w:val="false"/>
                <w:bCs w:val="false"/>
                <w:color w:val="222222"/>
                <w:sz w:val="18"/>
                <w:szCs w:val="18"/>
              </w:rPr>
              <w:t xml:space="preserve">$2.62</w:t>
            </w:r>
          </w:p>
        </w:tc>
        <w:tc>
          <w:tcPr>
            <w:tcW w:type="dxa" w:w="17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right"/>
            </w:pPr>
            <w:r>
              <w:rPr>
                <w:rFonts w:ascii="Calibri" w:cs="Calibri" w:eastAsia="Calibri" w:hAnsi="Calibri"/>
                <w:b/>
                <w:bCs/>
                <w:color w:val="2E7D32"/>
                <w:sz w:val="18"/>
                <w:szCs w:val="18"/>
              </w:rPr>
              <w:t xml:space="preserve">+1.55%</w:t>
            </w:r>
          </w:p>
        </w:tc>
        <w:tc>
          <w:tcPr>
            <w:tcW w:type="dxa" w:w="31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val="false"/>
                <w:bCs w:val="false"/>
                <w:color w:val="555555"/>
                <w:sz w:val="18"/>
                <w:szCs w:val="18"/>
              </w:rPr>
              <w:t xml:space="preserve">Soft fundamentals, geopolitical bid</w:t>
            </w:r>
          </w:p>
        </w:tc>
      </w:tr>
      <w:tr>
        <w:tc>
          <w:tcPr>
            <w:tcW w:type="dxa" w:w="26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left"/>
            </w:pPr>
            <w:r>
              <w:rPr>
                <w:rFonts w:ascii="Calibri" w:cs="Calibri" w:eastAsia="Calibri" w:hAnsi="Calibri"/>
                <w:b/>
                <w:bCs/>
                <w:color w:val="1A2B47"/>
                <w:sz w:val="18"/>
                <w:szCs w:val="18"/>
              </w:rPr>
              <w:t xml:space="preserve">Gold</w:t>
            </w:r>
          </w:p>
        </w:tc>
        <w:tc>
          <w:tcPr>
            <w:tcW w:type="dxa" w:w="19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222222"/>
                <w:sz w:val="18"/>
                <w:szCs w:val="18"/>
              </w:rPr>
              <w:t xml:space="preserve">$4,571.66</w:t>
            </w:r>
          </w:p>
        </w:tc>
        <w:tc>
          <w:tcPr>
            <w:tcW w:type="dxa" w:w="17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right"/>
            </w:pPr>
            <w:r>
              <w:rPr>
                <w:rFonts w:ascii="Calibri" w:cs="Calibri" w:eastAsia="Calibri" w:hAnsi="Calibri"/>
                <w:b/>
                <w:bCs/>
                <w:color w:val="C62828"/>
                <w:sz w:val="18"/>
                <w:szCs w:val="18"/>
              </w:rPr>
              <w:t xml:space="preserve">-2.56%</w:t>
            </w:r>
          </w:p>
        </w:tc>
        <w:tc>
          <w:tcPr>
            <w:tcW w:type="dxa" w:w="316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left"/>
            </w:pPr>
            <w:r>
              <w:rPr>
                <w:rFonts w:ascii="Calibri" w:cs="Calibri" w:eastAsia="Calibri" w:hAnsi="Calibri"/>
                <w:b w:val="false"/>
                <w:bCs w:val="false"/>
                <w:color w:val="555555"/>
                <w:sz w:val="18"/>
                <w:szCs w:val="18"/>
              </w:rPr>
              <w:t xml:space="preserve">Profit-taking after record run</w:t>
            </w:r>
          </w:p>
        </w:tc>
      </w:tr>
      <w:t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bCs/>
                <w:color w:val="1A2B47"/>
                <w:sz w:val="18"/>
                <w:szCs w:val="18"/>
              </w:rPr>
              <w:t xml:space="preserve">Silver</w:t>
            </w:r>
          </w:p>
        </w:tc>
        <w:tc>
          <w:tcPr>
            <w:tcW w:type="dxa" w:w="1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right"/>
            </w:pPr>
            <w:r>
              <w:rPr>
                <w:rFonts w:ascii="Calibri" w:cs="Calibri" w:eastAsia="Calibri" w:hAnsi="Calibri"/>
                <w:b w:val="false"/>
                <w:bCs w:val="false"/>
                <w:color w:val="222222"/>
                <w:sz w:val="18"/>
                <w:szCs w:val="18"/>
              </w:rPr>
              <w:t xml:space="preserve">$72.75</w:t>
            </w:r>
          </w:p>
        </w:tc>
        <w:tc>
          <w:tcPr>
            <w:tcW w:type="dxa" w:w="17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right"/>
            </w:pPr>
            <w:r>
              <w:rPr>
                <w:rFonts w:ascii="Calibri" w:cs="Calibri" w:eastAsia="Calibri" w:hAnsi="Calibri"/>
                <w:b/>
                <w:bCs/>
                <w:color w:val="C62828"/>
                <w:sz w:val="18"/>
                <w:szCs w:val="18"/>
              </w:rPr>
              <w:t xml:space="preserve">-4.19%</w:t>
            </w:r>
          </w:p>
        </w:tc>
        <w:tc>
          <w:tcPr>
            <w:tcW w:type="dxa" w:w="31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val="false"/>
                <w:bCs w:val="false"/>
                <w:color w:val="555555"/>
                <w:sz w:val="18"/>
                <w:szCs w:val="18"/>
              </w:rPr>
              <w:t xml:space="preserve">Volatility outsize vs gold</w:t>
            </w:r>
          </w:p>
        </w:tc>
      </w:tr>
      <w:tr>
        <w:tc>
          <w:tcPr>
            <w:tcW w:type="dxa" w:w="26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left"/>
            </w:pPr>
            <w:r>
              <w:rPr>
                <w:rFonts w:ascii="Calibri" w:cs="Calibri" w:eastAsia="Calibri" w:hAnsi="Calibri"/>
                <w:b/>
                <w:bCs/>
                <w:color w:val="1A2B47"/>
                <w:sz w:val="18"/>
                <w:szCs w:val="18"/>
              </w:rPr>
              <w:t xml:space="preserve">Copper</w:t>
            </w:r>
          </w:p>
        </w:tc>
        <w:tc>
          <w:tcPr>
            <w:tcW w:type="dxa" w:w="19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222222"/>
                <w:sz w:val="18"/>
                <w:szCs w:val="18"/>
              </w:rPr>
              <w:t xml:space="preserve">$5.61/lb</w:t>
            </w:r>
          </w:p>
        </w:tc>
        <w:tc>
          <w:tcPr>
            <w:tcW w:type="dxa" w:w="17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right"/>
            </w:pPr>
            <w:r>
              <w:rPr>
                <w:rFonts w:ascii="Calibri" w:cs="Calibri" w:eastAsia="Calibri" w:hAnsi="Calibri"/>
                <w:b/>
                <w:bCs/>
                <w:color w:val="C62828"/>
                <w:sz w:val="18"/>
                <w:szCs w:val="18"/>
              </w:rPr>
              <w:t xml:space="preserve">-7.4% MTD</w:t>
            </w:r>
          </w:p>
        </w:tc>
        <w:tc>
          <w:tcPr>
            <w:tcW w:type="dxa" w:w="316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left"/>
            </w:pPr>
            <w:r>
              <w:rPr>
                <w:rFonts w:ascii="Calibri" w:cs="Calibri" w:eastAsia="Calibri" w:hAnsi="Calibri"/>
                <w:b w:val="false"/>
                <w:bCs w:val="false"/>
                <w:color w:val="555555"/>
                <w:sz w:val="18"/>
                <w:szCs w:val="18"/>
              </w:rPr>
              <w:t xml:space="preserve">Growth-proxy weakness</w:t>
            </w:r>
          </w:p>
        </w:tc>
      </w:tr>
      <w:t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bCs/>
                <w:color w:val="1A2B47"/>
                <w:sz w:val="18"/>
                <w:szCs w:val="18"/>
              </w:rPr>
              <w:t xml:space="preserve">Wheat (CBOT)</w:t>
            </w:r>
          </w:p>
        </w:tc>
        <w:tc>
          <w:tcPr>
            <w:tcW w:type="dxa" w:w="1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right"/>
            </w:pPr>
            <w:r>
              <w:rPr>
                <w:rFonts w:ascii="Calibri" w:cs="Calibri" w:eastAsia="Calibri" w:hAnsi="Calibri"/>
                <w:b w:val="false"/>
                <w:bCs w:val="false"/>
                <w:color w:val="222222"/>
                <w:sz w:val="18"/>
                <w:szCs w:val="18"/>
              </w:rPr>
              <w:t xml:space="preserve">$612 ¼</w:t>
            </w:r>
          </w:p>
        </w:tc>
        <w:tc>
          <w:tcPr>
            <w:tcW w:type="dxa" w:w="17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right"/>
            </w:pPr>
            <w:r>
              <w:rPr>
                <w:rFonts w:ascii="Calibri" w:cs="Calibri" w:eastAsia="Calibri" w:hAnsi="Calibri"/>
                <w:b/>
                <w:bCs/>
                <w:color w:val="2E7D32"/>
                <w:sz w:val="18"/>
                <w:szCs w:val="18"/>
              </w:rPr>
              <w:t xml:space="preserve">+1.8%</w:t>
            </w:r>
          </w:p>
        </w:tc>
        <w:tc>
          <w:tcPr>
            <w:tcW w:type="dxa" w:w="31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val="false"/>
                <w:bCs w:val="false"/>
                <w:color w:val="555555"/>
                <w:sz w:val="18"/>
                <w:szCs w:val="18"/>
              </w:rPr>
              <w:t xml:space="preserve">Fertilizer supply concerns</w:t>
            </w:r>
          </w:p>
        </w:tc>
      </w:tr>
      <w:tr>
        <w:tc>
          <w:tcPr>
            <w:tcW w:type="dxa" w:w="26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left"/>
            </w:pPr>
            <w:r>
              <w:rPr>
                <w:rFonts w:ascii="Calibri" w:cs="Calibri" w:eastAsia="Calibri" w:hAnsi="Calibri"/>
                <w:b/>
                <w:bCs/>
                <w:color w:val="1A2B47"/>
                <w:sz w:val="18"/>
                <w:szCs w:val="18"/>
              </w:rPr>
              <w:t xml:space="preserve">Corn (CBOT)</w:t>
            </w:r>
          </w:p>
        </w:tc>
        <w:tc>
          <w:tcPr>
            <w:tcW w:type="dxa" w:w="19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222222"/>
                <w:sz w:val="18"/>
                <w:szCs w:val="18"/>
              </w:rPr>
              <w:t xml:space="preserve">$464</w:t>
            </w:r>
          </w:p>
        </w:tc>
        <w:tc>
          <w:tcPr>
            <w:tcW w:type="dxa" w:w="17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right"/>
            </w:pPr>
            <w:r>
              <w:rPr>
                <w:rFonts w:ascii="Calibri" w:cs="Calibri" w:eastAsia="Calibri" w:hAnsi="Calibri"/>
                <w:b/>
                <w:bCs/>
                <w:color w:val="2E7D32"/>
                <w:sz w:val="18"/>
                <w:szCs w:val="18"/>
              </w:rPr>
              <w:t xml:space="preserve">+1.1%</w:t>
            </w:r>
          </w:p>
        </w:tc>
        <w:tc>
          <w:tcPr>
            <w:tcW w:type="dxa" w:w="316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left"/>
            </w:pPr>
            <w:r>
              <w:rPr>
                <w:rFonts w:ascii="Calibri" w:cs="Calibri" w:eastAsia="Calibri" w:hAnsi="Calibri"/>
                <w:b w:val="false"/>
                <w:bCs w:val="false"/>
                <w:color w:val="555555"/>
                <w:sz w:val="18"/>
                <w:szCs w:val="18"/>
              </w:rPr>
              <w:t xml:space="preserve">Hormuz-linked input squeeze</w:t>
            </w:r>
          </w:p>
        </w:tc>
      </w:tr>
      <w:tr>
        <w:tc>
          <w:tcPr>
            <w:tcW w:type="dxa" w:w="9360"/>
            <w:gridSpan w:val="4"/>
            <w:tcBorders>
              <w:top w:val="single" w:color="CCCCCC" w:sz="4"/>
              <w:left w:val="single" w:color="CCCCCC" w:sz="4"/>
              <w:bottom w:val="single" w:color="CCCCCC" w:sz="4"/>
              <w:right w:val="single" w:color="CCCCCC" w:sz="4"/>
            </w:tcBorders>
            <w:shd w:fill="1A2B47" w:color="auto" w:val="clear"/>
            <w:tcMar>
              <w:top w:type="dxa" w:w="80"/>
              <w:left w:type="dxa" w:w="120"/>
              <w:bottom w:type="dxa" w:w="80"/>
              <w:right w:type="dxa" w:w="120"/>
            </w:tcMar>
          </w:tcPr>
          <w:p>
            <w:r>
              <w:rPr>
                <w:rFonts w:ascii="Calibri" w:cs="Calibri" w:eastAsia="Calibri" w:hAnsi="Calibri"/>
                <w:b/>
                <w:bCs/>
                <w:caps/>
                <w:color w:val="FFFFFF"/>
                <w:sz w:val="20"/>
                <w:szCs w:val="20"/>
              </w:rPr>
              <w:t xml:space="preserve">Crypto</w:t>
            </w:r>
          </w:p>
        </w:tc>
      </w:tr>
      <w:t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bCs/>
                <w:color w:val="1A2B47"/>
                <w:sz w:val="18"/>
                <w:szCs w:val="18"/>
              </w:rPr>
              <w:t xml:space="preserve">Bitcoin (BTC)</w:t>
            </w:r>
          </w:p>
        </w:tc>
        <w:tc>
          <w:tcPr>
            <w:tcW w:type="dxa" w:w="1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right"/>
            </w:pPr>
            <w:r>
              <w:rPr>
                <w:rFonts w:ascii="Calibri" w:cs="Calibri" w:eastAsia="Calibri" w:hAnsi="Calibri"/>
                <w:b w:val="false"/>
                <w:bCs w:val="false"/>
                <w:color w:val="222222"/>
                <w:sz w:val="18"/>
                <w:szCs w:val="18"/>
              </w:rPr>
              <w:t xml:space="preserve">$76,342</w:t>
            </w:r>
          </w:p>
        </w:tc>
        <w:tc>
          <w:tcPr>
            <w:tcW w:type="dxa" w:w="17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right"/>
            </w:pPr>
            <w:r>
              <w:rPr>
                <w:rFonts w:ascii="Calibri" w:cs="Calibri" w:eastAsia="Calibri" w:hAnsi="Calibri"/>
                <w:b/>
                <w:bCs/>
                <w:color w:val="C62828"/>
                <w:sz w:val="18"/>
                <w:szCs w:val="18"/>
              </w:rPr>
              <w:t xml:space="preserve">-2.6% 24h</w:t>
            </w:r>
          </w:p>
        </w:tc>
        <w:tc>
          <w:tcPr>
            <w:tcW w:type="dxa" w:w="31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val="false"/>
                <w:bCs w:val="false"/>
                <w:color w:val="555555"/>
                <w:sz w:val="18"/>
                <w:szCs w:val="18"/>
              </w:rPr>
              <w:t xml:space="preserve">Falling into FOMC; risk-off whiff</w:t>
            </w:r>
          </w:p>
        </w:tc>
      </w:tr>
      <w:tr>
        <w:tc>
          <w:tcPr>
            <w:tcW w:type="dxa" w:w="26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left"/>
            </w:pPr>
            <w:r>
              <w:rPr>
                <w:rFonts w:ascii="Calibri" w:cs="Calibri" w:eastAsia="Calibri" w:hAnsi="Calibri"/>
                <w:b/>
                <w:bCs/>
                <w:color w:val="1A2B47"/>
                <w:sz w:val="18"/>
                <w:szCs w:val="18"/>
              </w:rPr>
              <w:t xml:space="preserve">Ethereum (ETH)</w:t>
            </w:r>
          </w:p>
        </w:tc>
        <w:tc>
          <w:tcPr>
            <w:tcW w:type="dxa" w:w="19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222222"/>
                <w:sz w:val="18"/>
                <w:szCs w:val="18"/>
              </w:rPr>
              <w:t xml:space="preserve">$2,278</w:t>
            </w:r>
          </w:p>
        </w:tc>
        <w:tc>
          <w:tcPr>
            <w:tcW w:type="dxa" w:w="17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right"/>
            </w:pPr>
            <w:r>
              <w:rPr>
                <w:rFonts w:ascii="Calibri" w:cs="Calibri" w:eastAsia="Calibri" w:hAnsi="Calibri"/>
                <w:b/>
                <w:bCs/>
                <w:color w:val="C62828"/>
                <w:sz w:val="18"/>
                <w:szCs w:val="18"/>
              </w:rPr>
              <w:t xml:space="preserve">-3.8% 24h</w:t>
            </w:r>
          </w:p>
        </w:tc>
        <w:tc>
          <w:tcPr>
            <w:tcW w:type="dxa" w:w="316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left"/>
            </w:pPr>
            <w:r>
              <w:rPr>
                <w:rFonts w:ascii="Calibri" w:cs="Calibri" w:eastAsia="Calibri" w:hAnsi="Calibri"/>
                <w:b w:val="false"/>
                <w:bCs w:val="false"/>
                <w:color w:val="555555"/>
                <w:sz w:val="18"/>
                <w:szCs w:val="18"/>
              </w:rPr>
              <w:t xml:space="preserve">Underperforming BTC again</w:t>
            </w:r>
          </w:p>
        </w:tc>
      </w:tr>
      <w:t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bCs/>
                <w:color w:val="1A2B47"/>
                <w:sz w:val="18"/>
                <w:szCs w:val="18"/>
              </w:rPr>
              <w:t xml:space="preserve">BTC dominance</w:t>
            </w:r>
          </w:p>
        </w:tc>
        <w:tc>
          <w:tcPr>
            <w:tcW w:type="dxa" w:w="1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right"/>
            </w:pPr>
            <w:r>
              <w:rPr>
                <w:rFonts w:ascii="Calibri" w:cs="Calibri" w:eastAsia="Calibri" w:hAnsi="Calibri"/>
                <w:b w:val="false"/>
                <w:bCs w:val="false"/>
                <w:color w:val="222222"/>
                <w:sz w:val="18"/>
                <w:szCs w:val="18"/>
              </w:rPr>
              <w:t xml:space="preserve">61.4%</w:t>
            </w:r>
          </w:p>
        </w:tc>
        <w:tc>
          <w:tcPr>
            <w:tcW w:type="dxa" w:w="17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right"/>
            </w:pPr>
            <w:r>
              <w:rPr>
                <w:rFonts w:ascii="Calibri" w:cs="Calibri" w:eastAsia="Calibri" w:hAnsi="Calibri"/>
                <w:b/>
                <w:bCs/>
                <w:color w:val="2E7D32"/>
                <w:sz w:val="18"/>
                <w:szCs w:val="18"/>
              </w:rPr>
              <w:t xml:space="preserve">+0.4 pp</w:t>
            </w:r>
          </w:p>
        </w:tc>
        <w:tc>
          <w:tcPr>
            <w:tcW w:type="dxa" w:w="31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val="false"/>
                <w:bCs w:val="false"/>
                <w:color w:val="555555"/>
                <w:sz w:val="18"/>
                <w:szCs w:val="18"/>
              </w:rPr>
              <w:t xml:space="preserve">Alt weakness broadens</w:t>
            </w:r>
          </w:p>
        </w:tc>
      </w:tr>
      <w:tr>
        <w:tc>
          <w:tcPr>
            <w:tcW w:type="dxa" w:w="26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left"/>
            </w:pPr>
            <w:r>
              <w:rPr>
                <w:rFonts w:ascii="Calibri" w:cs="Calibri" w:eastAsia="Calibri" w:hAnsi="Calibri"/>
                <w:b/>
                <w:bCs/>
                <w:color w:val="1A2B47"/>
                <w:sz w:val="18"/>
                <w:szCs w:val="18"/>
              </w:rPr>
              <w:t xml:space="preserve">Total crypto cap</w:t>
            </w:r>
          </w:p>
        </w:tc>
        <w:tc>
          <w:tcPr>
            <w:tcW w:type="dxa" w:w="19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right"/>
            </w:pPr>
            <w:r>
              <w:rPr>
                <w:rFonts w:ascii="Calibri" w:cs="Calibri" w:eastAsia="Calibri" w:hAnsi="Calibri"/>
                <w:b w:val="false"/>
                <w:bCs w:val="false"/>
                <w:color w:val="222222"/>
                <w:sz w:val="18"/>
                <w:szCs w:val="18"/>
              </w:rPr>
              <w:t xml:space="preserve">$2.71T</w:t>
            </w:r>
          </w:p>
        </w:tc>
        <w:tc>
          <w:tcPr>
            <w:tcW w:type="dxa" w:w="17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right"/>
            </w:pPr>
            <w:r>
              <w:rPr>
                <w:rFonts w:ascii="Calibri" w:cs="Calibri" w:eastAsia="Calibri" w:hAnsi="Calibri"/>
                <w:b/>
                <w:bCs/>
                <w:color w:val="C62828"/>
                <w:sz w:val="18"/>
                <w:szCs w:val="18"/>
              </w:rPr>
              <w:t xml:space="preserve">-2.9% 24h</w:t>
            </w:r>
          </w:p>
        </w:tc>
        <w:tc>
          <w:tcPr>
            <w:tcW w:type="dxa" w:w="316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left"/>
            </w:pPr>
            <w:r>
              <w:rPr>
                <w:rFonts w:ascii="Calibri" w:cs="Calibri" w:eastAsia="Calibri" w:hAnsi="Calibri"/>
                <w:b w:val="false"/>
                <w:bCs w:val="false"/>
                <w:color w:val="555555"/>
                <w:sz w:val="18"/>
                <w:szCs w:val="18"/>
              </w:rPr>
              <w:t xml:space="preserve">Spot ETF flows turn neutral</w:t>
            </w:r>
          </w:p>
        </w:tc>
      </w:tr>
    </w:tbl>
    <w:p>
      <w:pPr>
        <w:spacing w:after="80" w:before="60"/>
      </w:pPr>
      <w:r>
        <w:rPr>
          <w:rFonts w:ascii="Calibri" w:cs="Calibri" w:eastAsia="Calibri" w:hAnsi="Calibri"/>
          <w:b/>
          <w:bCs/>
          <w:caps/>
          <w:color w:val="B8860B"/>
          <w:sz w:val="18"/>
          <w:szCs w:val="18"/>
        </w:rPr>
        <w:t xml:space="preserve">§ 3 — Top Stories</w:t>
      </w:r>
    </w:p>
    <w:p>
      <w:pPr>
        <w:pStyle w:val="Heading1"/>
        <w:spacing w:after="160" w:before="320"/>
      </w:pPr>
      <w:r>
        <w:rPr>
          <w:rFonts w:ascii="Calibri" w:cs="Calibri" w:eastAsia="Calibri" w:hAnsi="Calibri"/>
          <w:b/>
          <w:bCs/>
          <w:color w:val="1A2B47"/>
          <w:sz w:val="32"/>
          <w:szCs w:val="32"/>
        </w:rPr>
        <w:t xml:space="preserve">Top Stories</w:t>
      </w:r>
    </w:p>
    <w:p>
      <w:pPr>
        <w:spacing w:after="80" w:before="160"/>
      </w:pPr>
      <w:r>
        <w:rPr>
          <w:rFonts w:ascii="Calibri" w:cs="Calibri" w:eastAsia="Calibri" w:hAnsi="Calibri"/>
          <w:b/>
          <w:bCs/>
          <w:color w:val="1A2B47"/>
          <w:sz w:val="24"/>
          <w:szCs w:val="24"/>
        </w:rPr>
        <w:t xml:space="preserve">1. The OpenAI Revenue Miss Cracks the AI-Capex Cathedral</w:t>
      </w:r>
    </w:p>
    <w:p>
      <w:pPr>
        <w:spacing w:after="100" w:before="100" w:line="300"/>
        <w:jc w:val="both"/>
      </w:pPr>
      <w:r>
        <w:rPr>
          <w:rFonts w:ascii="Calibri" w:cs="Calibri" w:eastAsia="Calibri" w:hAnsi="Calibri"/>
          <w:sz w:val="22"/>
          <w:szCs w:val="22"/>
        </w:rPr>
        <w:t xml:space="preserve">The single biggest story moving Tuesday's pre-market is also the one most likely to keep moving prices for the next month. The Wall Street Journal reported that OpenAI is falling short of internal revenue and user targets as it sprints toward an IPO, with CFO Sarah Friar privately warning leadership that the company may struggle to fund the roughly $600 billion in compute commitments CEO Sam Altman has signed across Microsoft, Oracle, CoreWeave and SoftBank-linked vehicles. OpenAI is on pace to burn $25 billion of cash this year against a $30 billion revenue plan, and Anthropic and Google are visibly closing the productivity-and-coding gap that previously underwrote those numbers.</w:t>
      </w:r>
    </w:p>
    <w:p>
      <w:pPr>
        <w:spacing w:after="100" w:before="100" w:line="300"/>
        <w:jc w:val="both"/>
      </w:pPr>
      <w:r>
        <w:rPr>
          <w:rFonts w:ascii="Calibri" w:cs="Calibri" w:eastAsia="Calibri" w:hAnsi="Calibri"/>
          <w:sz w:val="22"/>
          <w:szCs w:val="22"/>
        </w:rPr>
        <w:t xml:space="preserve">The market implication is asymmetric. Nvidia, Broadcom, AMD and Oracle's Stargate-linked franchise have priced in a near-religious extension of the AI capex cycle. If the largest single buyer of GPUs is, by its own CFO's admission, struggling to monetize fast enough to pay for what it has already ordered, the whole 2026 capex 'beat-and-raise' template is at risk. Altman and Friar issued a joint denial calling internal divisions 'ridiculous' and reiterating they are 'totally aligned on buying as much compute as we can.' Markets will read that as confirmation, not contradiction. Watch Microsoft's Wednesday Azure print and Alphabet's GCP backlog commentary as the first real check.</w:t>
      </w:r>
    </w:p>
    <w:p>
      <w:pPr>
        <w:spacing w:after="80" w:before="160"/>
      </w:pPr>
      <w:r>
        <w:rPr>
          <w:rFonts w:ascii="Calibri" w:cs="Calibri" w:eastAsia="Calibri" w:hAnsi="Calibri"/>
          <w:b/>
          <w:bCs/>
          <w:color w:val="1A2B47"/>
          <w:sz w:val="24"/>
          <w:szCs w:val="24"/>
        </w:rPr>
        <w:t xml:space="preserve">2. UAE Quits OPEC, Detonating Two Decades of Cartel Discipline</w:t>
      </w:r>
    </w:p>
    <w:p>
      <w:pPr>
        <w:spacing w:after="100" w:before="100" w:line="300"/>
        <w:jc w:val="both"/>
      </w:pPr>
      <w:r>
        <w:rPr>
          <w:rFonts w:ascii="Calibri" w:cs="Calibri" w:eastAsia="Calibri" w:hAnsi="Calibri"/>
          <w:sz w:val="22"/>
          <w:szCs w:val="22"/>
        </w:rPr>
        <w:t xml:space="preserve">In a development that landed before the U.S. cash open, the United Arab Emirates announced it will leave both OPEC and OPEC+ effective May 1, the most significant rupture in the cartel since Qatar's 2019 exit. The UAE has long chafed at production quotas (most recently capped at 3.2 million barrels per day) that sit well below its installed capacity of nearly 5 million. With the Strait of Hormuz partially obstructed by the Iran conflict and the country having just negotiated FX swap lines with Treasury Secretary Bessent, Abu Dhabi appears to be using the geopolitical window to seize a structural export advantage.</w:t>
      </w:r>
    </w:p>
    <w:p>
      <w:pPr>
        <w:spacing w:after="100" w:before="100" w:line="300"/>
        <w:jc w:val="both"/>
      </w:pPr>
      <w:r>
        <w:rPr>
          <w:rFonts w:ascii="Calibri" w:cs="Calibri" w:eastAsia="Calibri" w:hAnsi="Calibri"/>
          <w:sz w:val="22"/>
          <w:szCs w:val="22"/>
        </w:rPr>
        <w:t xml:space="preserve">The price implication is two-sided and matters for every U.S. equity sector. In the very near term, Hormuz disruption keeps Brent bid above $110. But over a 6–12 month horizon, an unconstrained UAE adds 1.5–1.8 mb/d of marginal supply potential at a moment when Saudi Arabia is publicly debating its own quota discipline. That is the seed of a 2027 supply glut narrative — bearish for energy equities, bullish for transports, autos and discretionary on a lag. Today, energy is the immediate beneficiary; the second-derivative trade is in inventories of refiners and integrated names that benefit from wider crack spreads.</w:t>
      </w:r>
    </w:p>
    <w:p>
      <w:pPr>
        <w:spacing w:after="80" w:before="160"/>
      </w:pPr>
      <w:r>
        <w:rPr>
          <w:rFonts w:ascii="Calibri" w:cs="Calibri" w:eastAsia="Calibri" w:hAnsi="Calibri"/>
          <w:b/>
          <w:bCs/>
          <w:color w:val="1A2B47"/>
          <w:sz w:val="24"/>
          <w:szCs w:val="24"/>
        </w:rPr>
        <w:t xml:space="preserve">3. Powell's Last Stand: FOMC Convenes With No Cut Priced and Every Eye on Succession</w:t>
      </w:r>
    </w:p>
    <w:p>
      <w:pPr>
        <w:spacing w:after="100" w:before="100" w:line="300"/>
        <w:jc w:val="both"/>
      </w:pPr>
      <w:r>
        <w:rPr>
          <w:rFonts w:ascii="Calibri" w:cs="Calibri" w:eastAsia="Calibri" w:hAnsi="Calibri"/>
          <w:sz w:val="22"/>
          <w:szCs w:val="22"/>
        </w:rPr>
        <w:t xml:space="preserve">The Federal Open Market Committee begins its two-day meeting today with futures markets pricing a 99.9% probability of a hold at the 3.50–3.75% range, the third consecutive pause of 2026. The setup is unusually fraught. March headline CPI accelerated to 3.3% year-over-year (from 2.4% in February) on the energy shock, the labor market is visibly softening with payroll revisions trending negative, and President Trump has publicly criticized Powell at least four times this month. Most consequentially, this is widely expected to be Powell's final meeting as Chair before his term ends in May.</w:t>
      </w:r>
    </w:p>
    <w:p>
      <w:pPr>
        <w:spacing w:after="100" w:before="100" w:line="300"/>
        <w:jc w:val="both"/>
      </w:pPr>
      <w:r>
        <w:rPr>
          <w:rFonts w:ascii="Calibri" w:cs="Calibri" w:eastAsia="Calibri" w:hAnsi="Calibri"/>
          <w:sz w:val="22"/>
          <w:szCs w:val="22"/>
        </w:rPr>
        <w:t xml:space="preserve">The statement and Summary of Economic Projections (Wednesday 2pm) will need to thread a needle: acknowledge that energy-driven inflation is real but transitory in nature, signal continued vigilance without inviting accusations of political accommodation, and avoid pre-committing the next chair. Watch the dot plot for any 2026 cut migrating from June into Q4, and listen for any reference to the labor-market H/L band — if Powell flags 'downside risks to employment' more aggressively than in March, the bull-steepener resumes and the dollar softens. If he leans hawkish on services CPI, the curve flattens and the dollar firms.</w:t>
      </w:r>
    </w:p>
    <w:p>
      <w:pPr>
        <w:spacing w:after="80" w:before="160"/>
      </w:pPr>
      <w:r>
        <w:rPr>
          <w:rFonts w:ascii="Calibri" w:cs="Calibri" w:eastAsia="Calibri" w:hAnsi="Calibri"/>
          <w:b/>
          <w:bCs/>
          <w:color w:val="1A2B47"/>
          <w:sz w:val="24"/>
          <w:szCs w:val="24"/>
        </w:rPr>
        <w:t xml:space="preserve">4. Boeing Beats: A Quietly Pivotal Quarter for the Industrial Cycle</w:t>
      </w:r>
    </w:p>
    <w:p>
      <w:pPr>
        <w:spacing w:after="100" w:before="100" w:line="300"/>
        <w:jc w:val="both"/>
      </w:pPr>
      <w:r>
        <w:rPr>
          <w:rFonts w:ascii="Calibri" w:cs="Calibri" w:eastAsia="Calibri" w:hAnsi="Calibri"/>
          <w:sz w:val="22"/>
          <w:szCs w:val="22"/>
        </w:rPr>
        <w:t xml:space="preserve">Boeing reported pre-market results that materially beat: Q1 revenue of $22.2 billion (vs. $21.99 billion expected, +14% y/y) on 143 commercial deliveries, with a core loss per share of just $(0.20) against a Street estimate of $(0.66). Free cash flow of $(1.45) billion was meaningfully better than the $(2.34) billion expected, and the backlog grew to a record $695 billion. CEO Kelly Ortberg lifted full-year revenue guidance to $44.5–$45.5 billion (from $44–$45B) and reaffirmed the path to 47/month on the 737 by summer with 52/month later in the year.</w:t>
      </w:r>
    </w:p>
    <w:p>
      <w:pPr>
        <w:spacing w:after="100" w:before="100" w:line="300"/>
        <w:jc w:val="both"/>
      </w:pPr>
      <w:r>
        <w:rPr>
          <w:rFonts w:ascii="Calibri" w:cs="Calibri" w:eastAsia="Calibri" w:hAnsi="Calibri"/>
          <w:sz w:val="22"/>
          <w:szCs w:val="22"/>
        </w:rPr>
        <w:t xml:space="preserve">The signal extends well past Boeing. Aerospace is one of the only manufacturing verticals showing positive operating leverage in 2026, and the 140 net commercial orders in the quarter — including 50 aircraft for Aviation Capital, 30 787-10s for Delta and 20 737-8s for Air India — confirm that fleet renewal is structurally insulated from oil prices. Spirit AeroSystems, GE Aerospace, Heico, TransDigm and Howmet are all leveraged read-throughs. The premarket reaction (BA +4%) likely understates the multiplier through the supply chain by the close.</w:t>
      </w:r>
    </w:p>
    <w:p>
      <w:pPr>
        <w:spacing w:after="80" w:before="160"/>
      </w:pPr>
      <w:r>
        <w:rPr>
          <w:rFonts w:ascii="Calibri" w:cs="Calibri" w:eastAsia="Calibri" w:hAnsi="Calibri"/>
          <w:b/>
          <w:bCs/>
          <w:color w:val="1A2B47"/>
          <w:sz w:val="24"/>
          <w:szCs w:val="24"/>
        </w:rPr>
        <w:t xml:space="preserve">5. Coca-Cola, GM Lift Guides — Tariff Refunds Become an Earnings Story</w:t>
      </w:r>
    </w:p>
    <w:p>
      <w:pPr>
        <w:spacing w:after="100" w:before="100" w:line="300"/>
        <w:jc w:val="both"/>
      </w:pPr>
      <w:r>
        <w:rPr>
          <w:rFonts w:ascii="Calibri" w:cs="Calibri" w:eastAsia="Calibri" w:hAnsi="Calibri"/>
          <w:sz w:val="22"/>
          <w:szCs w:val="22"/>
        </w:rPr>
        <w:t xml:space="preserve">Two consumer bellwethers came in materially ahead of expectations and raised full-year outlooks. Coca-Cola beat on EPS and revenue with concentrate volumes accelerating in North America and EMEA; the company guided full-year EPS to the high end of its prior range. General Motors, more dramatically, posted Q1 adjusted EPS of $3.70 versus the $2.62 consensus, raised 2026 guidance, and disclosed a roughly $500 million one-time benefit from the Supreme Court's decision to terminate and refund certain Trump-era levies.</w:t>
      </w:r>
    </w:p>
    <w:p>
      <w:pPr>
        <w:spacing w:after="100" w:before="100" w:line="300"/>
        <w:jc w:val="both"/>
      </w:pPr>
      <w:r>
        <w:rPr>
          <w:rFonts w:ascii="Calibri" w:cs="Calibri" w:eastAsia="Calibri" w:hAnsi="Calibri"/>
          <w:sz w:val="22"/>
          <w:szCs w:val="22"/>
        </w:rPr>
        <w:t xml:space="preserve">That tariff refund line is the under-covered 2026 earnings catalyst. Dozens of importers, automakers and retailers are sitting on similar accruals that became collectible when the Court ruled. The cleanest beneficiaries are Ford, Stellantis, Whirlpool, the auto parts complex, and select footwear/apparel names with diversified Asian sourcing. For investors, the refunds inflate Q2/Q3 EPS optically and may be 'looked through' by analysts — but the cash hits the balance sheet, and several CFOs have already telegraphed buybacks and accelerated capex as use cases.</w:t>
      </w:r>
    </w:p>
    <w:p>
      <w:pPr>
        <w:spacing w:after="80" w:before="160"/>
      </w:pPr>
      <w:r>
        <w:rPr>
          <w:rFonts w:ascii="Calibri" w:cs="Calibri" w:eastAsia="Calibri" w:hAnsi="Calibri"/>
          <w:b/>
          <w:bCs/>
          <w:color w:val="1A2B47"/>
          <w:sz w:val="24"/>
          <w:szCs w:val="24"/>
        </w:rPr>
        <w:t xml:space="preserve">6. Spotify's 11% Drubbing: When 760M Users Isn't Enough</w:t>
      </w:r>
    </w:p>
    <w:p>
      <w:pPr>
        <w:spacing w:after="100" w:before="100" w:line="300"/>
        <w:jc w:val="both"/>
      </w:pPr>
      <w:r>
        <w:rPr>
          <w:rFonts w:ascii="Calibri" w:cs="Calibri" w:eastAsia="Calibri" w:hAnsi="Calibri"/>
          <w:sz w:val="22"/>
          <w:szCs w:val="22"/>
        </w:rPr>
        <w:t xml:space="preserve">Spotify reported its second-highest gross margin in history, grew free cash flow 54% year-over-year, and crossed 760 million monthly active users — and the stock fell 11% in pre-market trade. The disconnect tells you everything about where premium-multiple consumer software is trading: the bar is now monetization-per-user, not gross adds. Premium net additions came in soft, ARPU was flat sequentially despite a price increase, and management's 2026 ad-tier ramp commentary disappointed against a Street that had baked in aggressive monetization.</w:t>
      </w:r>
    </w:p>
    <w:p>
      <w:pPr>
        <w:spacing w:after="100" w:before="100" w:line="300"/>
        <w:jc w:val="both"/>
      </w:pPr>
      <w:r>
        <w:rPr>
          <w:rFonts w:ascii="Calibri" w:cs="Calibri" w:eastAsia="Calibri" w:hAnsi="Calibri"/>
          <w:sz w:val="22"/>
          <w:szCs w:val="22"/>
        </w:rPr>
        <w:t xml:space="preserve">The read-through extends to Netflix (which already reported), Roblox, Duolingo, Reddit and Pinterest. Investors should expect heightened sensitivity to ARPU and ad-load disclosures across the consumer-internet complex this earnings cycle. Spotify's guidance for Q2 implied a similar trajectory, and the company's early commentary on AI-curated discovery features did not materially alter that framing. Sherwin-Williams, separately, also beat ($2.35 EPS vs. $2.28 est., revenue $5.67B vs. $5.62B) but offered cautious commentary on residential repaint volumes — a more interesting tell about U.S. housing turnover than the headline number.</w:t>
      </w:r>
    </w:p>
    <w:p>
      <w:pPr>
        <w:spacing w:after="80" w:before="60"/>
      </w:pPr>
      <w:r>
        <w:rPr>
          <w:rFonts w:ascii="Calibri" w:cs="Calibri" w:eastAsia="Calibri" w:hAnsi="Calibri"/>
          <w:b/>
          <w:bCs/>
          <w:caps/>
          <w:color w:val="B8860B"/>
          <w:sz w:val="18"/>
          <w:szCs w:val="18"/>
        </w:rPr>
        <w:t xml:space="preserve">§ 4 — Macro &amp; Fed Watch</w:t>
      </w:r>
    </w:p>
    <w:p>
      <w:pPr>
        <w:pStyle w:val="Heading1"/>
        <w:spacing w:after="160" w:before="320"/>
      </w:pPr>
      <w:r>
        <w:rPr>
          <w:rFonts w:ascii="Calibri" w:cs="Calibri" w:eastAsia="Calibri" w:hAnsi="Calibri"/>
          <w:b/>
          <w:bCs/>
          <w:color w:val="1A2B47"/>
          <w:sz w:val="32"/>
          <w:szCs w:val="32"/>
        </w:rPr>
        <w:t xml:space="preserve">Macro &amp; Fed Watch</w:t>
      </w:r>
    </w:p>
    <w:p>
      <w:pPr>
        <w:spacing w:after="100" w:before="100" w:line="300"/>
        <w:jc w:val="both"/>
      </w:pPr>
      <w:r>
        <w:rPr>
          <w:rFonts w:ascii="Calibri" w:cs="Calibri" w:eastAsia="Calibri" w:hAnsi="Calibri"/>
          <w:sz w:val="22"/>
          <w:szCs w:val="22"/>
        </w:rPr>
        <w:t xml:space="preserve">The Federal Reserve enters its April meeting in a worse spot than the dot plot will admit. Headline CPI ran to 3.3% year-over-year in March, well above the 2% target, but the composition is heavily energy-led — and crude is now $35 a barrel above where the SEP was constructed. Core PCE, due Thursday, is consensus +2.7% y/y for March, and that's the number Powell will cling to in the press conference. The labor market, meanwhile, is sending different signals: weekly jobless claims have drifted 9% above their 2025 average, the JOLTS hire rate (released next week) is expected to soften further, and the unemployment rate at 4.4% is the highest of the cycle.</w:t>
      </w:r>
    </w:p>
    <w:p>
      <w:pPr>
        <w:spacing w:after="100" w:before="100" w:line="300"/>
        <w:jc w:val="both"/>
      </w:pPr>
      <w:r>
        <w:rPr>
          <w:rFonts w:ascii="Calibri" w:cs="Calibri" w:eastAsia="Calibri" w:hAnsi="Calibri"/>
          <w:sz w:val="22"/>
          <w:szCs w:val="22"/>
        </w:rPr>
        <w:t xml:space="preserve">Fed funds futures are pricing zero cuts at this meeting, just one cut by year-end (most likely September), and a terminal 2027 rate of 3.10%. That is fully 50 basis points more hawkish than the consensus of two months ago, and the entire repricing has happened since the Iran war began. The 2-year yield at 3.84% reflects a curve that has roughly priced 'higher for longer through 2026.' If Powell signals tomorrow that the Committee views the energy shock as supply-side and 'self-correcting' — language used by Vice Chair Jefferson last week — the front end rallies aggressively and equities catch a bid. If he sounds defensive about credibility, the curve flattens and growth stocks underperform.</w:t>
      </w:r>
    </w:p>
    <w:p>
      <w:pPr>
        <w:spacing w:after="100" w:before="100" w:line="300"/>
        <w:jc w:val="both"/>
      </w:pPr>
      <w:r>
        <w:rPr>
          <w:rFonts w:ascii="Calibri" w:cs="Calibri" w:eastAsia="Calibri" w:hAnsi="Calibri"/>
          <w:sz w:val="22"/>
          <w:szCs w:val="22"/>
        </w:rPr>
        <w:t xml:space="preserve">Beyond Wednesday, the data calendar is unusually thick. Q1 advance GDP lands at 8:30am Wednesday (consensus +1.4% annualized, decelerating from Q4's +2.3%); March core PCE arrives Thursday at 8:30am; April nonfarm payrolls land Friday at 8:30am, with consensus calling for +135k jobs and a 4.4% unemployment rate. A trifecta of soft prints would force Powell to reframe the post-meeting press conference in real time. Watch the 'cuts priced by year-end' on Bloomberg — every 25-basis-point swing in that number is worth roughly 1.5% on the Russell 2000 and 80 basis points on the dollar index in our recent regression.</w:t>
      </w:r>
    </w:p>
    <w:p>
      <w:pPr>
        <w:spacing w:after="80" w:before="60"/>
      </w:pPr>
      <w:r>
        <w:rPr>
          <w:rFonts w:ascii="Calibri" w:cs="Calibri" w:eastAsia="Calibri" w:hAnsi="Calibri"/>
          <w:b/>
          <w:bCs/>
          <w:caps/>
          <w:color w:val="B8860B"/>
          <w:sz w:val="18"/>
          <w:szCs w:val="18"/>
        </w:rPr>
        <w:t xml:space="preserve">§ 5 — Economic Calendar — Today</w:t>
      </w:r>
    </w:p>
    <w:p>
      <w:pPr>
        <w:pStyle w:val="Heading1"/>
        <w:spacing w:after="160" w:before="320"/>
      </w:pPr>
      <w:r>
        <w:rPr>
          <w:rFonts w:ascii="Calibri" w:cs="Calibri" w:eastAsia="Calibri" w:hAnsi="Calibri"/>
          <w:b/>
          <w:bCs/>
          <w:color w:val="1A2B47"/>
          <w:sz w:val="32"/>
          <w:szCs w:val="32"/>
        </w:rPr>
        <w:t xml:space="preserve">Economic Calendar — Today</w:t>
      </w:r>
    </w:p>
    <w:p>
      <w:pPr>
        <w:spacing w:after="100" w:before="100" w:line="300"/>
        <w:jc w:val="both"/>
      </w:pPr>
      <w:r>
        <w:rPr>
          <w:rFonts w:ascii="Calibri" w:cs="Calibri" w:eastAsia="Calibri" w:hAnsi="Calibri"/>
          <w:i/>
          <w:iCs/>
          <w:sz w:val="22"/>
          <w:szCs w:val="22"/>
        </w:rPr>
        <w:t xml:space="preserve">Times in Eastern. Releases sourced from BLS, Census, BEA, Conference Board, S&amp;P CoreLogic, Treasury, Federal Reserve and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1300"/>
        <w:gridCol w:w="1300"/>
        <w:gridCol w:w="2960"/>
      </w:tblGrid>
      <w:tr>
        <w:trPr>
          <w:tblHeader/>
        </w:trPr>
        <w:tc>
          <w:tcPr>
            <w:tcW w:type="dxa" w:w="1100"/>
            <w:tcBorders>
              <w:top w:val="single" w:color="CCCCCC" w:sz="4"/>
              <w:left w:val="single" w:color="CCCCCC" w:sz="4"/>
              <w:bottom w:val="single" w:color="CCCCCC" w:sz="4"/>
              <w:right w:val="single" w:color="CCCCCC" w:sz="4"/>
            </w:tcBorders>
            <w:shd w:fill="B8860B" w:color="auto" w:val="clear"/>
            <w:tcMar>
              <w:top w:type="dxa" w:w="60"/>
              <w:left w:type="dxa" w:w="100"/>
              <w:bottom w:type="dxa" w:w="60"/>
              <w:right w:type="dxa" w:w="100"/>
            </w:tcMar>
          </w:tcPr>
          <w:p>
            <w:pPr>
              <w:spacing w:after="30" w:before="30"/>
              <w:jc w:val="left"/>
            </w:pPr>
            <w:r>
              <w:rPr>
                <w:rFonts w:ascii="Calibri" w:cs="Calibri" w:eastAsia="Calibri" w:hAnsi="Calibri"/>
                <w:b/>
                <w:bCs/>
                <w:color w:val="FFFFFF"/>
                <w:sz w:val="18"/>
                <w:szCs w:val="18"/>
              </w:rPr>
              <w:t xml:space="preserve">Time (ET)</w:t>
            </w:r>
          </w:p>
        </w:tc>
        <w:tc>
          <w:tcPr>
            <w:tcW w:type="dxa" w:w="2700"/>
            <w:tcBorders>
              <w:top w:val="single" w:color="CCCCCC" w:sz="4"/>
              <w:left w:val="single" w:color="CCCCCC" w:sz="4"/>
              <w:bottom w:val="single" w:color="CCCCCC" w:sz="4"/>
              <w:right w:val="single" w:color="CCCCCC" w:sz="4"/>
            </w:tcBorders>
            <w:shd w:fill="B8860B" w:color="auto" w:val="clear"/>
            <w:tcMar>
              <w:top w:type="dxa" w:w="60"/>
              <w:left w:type="dxa" w:w="100"/>
              <w:bottom w:type="dxa" w:w="60"/>
              <w:right w:type="dxa" w:w="100"/>
            </w:tcMar>
          </w:tcPr>
          <w:p>
            <w:pPr>
              <w:spacing w:after="30" w:before="30"/>
              <w:jc w:val="left"/>
            </w:pPr>
            <w:r>
              <w:rPr>
                <w:rFonts w:ascii="Calibri" w:cs="Calibri" w:eastAsia="Calibri" w:hAnsi="Calibri"/>
                <w:b/>
                <w:bCs/>
                <w:color w:val="FFFFFF"/>
                <w:sz w:val="18"/>
                <w:szCs w:val="18"/>
              </w:rPr>
              <w:t xml:space="preserve">Indicator</w:t>
            </w:r>
          </w:p>
        </w:tc>
        <w:tc>
          <w:tcPr>
            <w:tcW w:type="dxa" w:w="1300"/>
            <w:tcBorders>
              <w:top w:val="single" w:color="CCCCCC" w:sz="4"/>
              <w:left w:val="single" w:color="CCCCCC" w:sz="4"/>
              <w:bottom w:val="single" w:color="CCCCCC" w:sz="4"/>
              <w:right w:val="single" w:color="CCCCCC" w:sz="4"/>
            </w:tcBorders>
            <w:shd w:fill="B8860B" w:color="auto" w:val="clear"/>
            <w:tcMar>
              <w:top w:type="dxa" w:w="60"/>
              <w:left w:type="dxa" w:w="100"/>
              <w:bottom w:type="dxa" w:w="60"/>
              <w:right w:type="dxa" w:w="100"/>
            </w:tcMar>
          </w:tcPr>
          <w:p>
            <w:pPr>
              <w:spacing w:after="30" w:before="30"/>
              <w:jc w:val="center"/>
            </w:pPr>
            <w:r>
              <w:rPr>
                <w:rFonts w:ascii="Calibri" w:cs="Calibri" w:eastAsia="Calibri" w:hAnsi="Calibri"/>
                <w:b/>
                <w:bCs/>
                <w:color w:val="FFFFFF"/>
                <w:sz w:val="18"/>
                <w:szCs w:val="18"/>
              </w:rPr>
              <w:t xml:space="preserve">Prior</w:t>
            </w:r>
          </w:p>
        </w:tc>
        <w:tc>
          <w:tcPr>
            <w:tcW w:type="dxa" w:w="1300"/>
            <w:tcBorders>
              <w:top w:val="single" w:color="CCCCCC" w:sz="4"/>
              <w:left w:val="single" w:color="CCCCCC" w:sz="4"/>
              <w:bottom w:val="single" w:color="CCCCCC" w:sz="4"/>
              <w:right w:val="single" w:color="CCCCCC" w:sz="4"/>
            </w:tcBorders>
            <w:shd w:fill="B8860B" w:color="auto" w:val="clear"/>
            <w:tcMar>
              <w:top w:type="dxa" w:w="60"/>
              <w:left w:type="dxa" w:w="100"/>
              <w:bottom w:type="dxa" w:w="60"/>
              <w:right w:type="dxa" w:w="100"/>
            </w:tcMar>
          </w:tcPr>
          <w:p>
            <w:pPr>
              <w:spacing w:after="30" w:before="30"/>
              <w:jc w:val="center"/>
            </w:pPr>
            <w:r>
              <w:rPr>
                <w:rFonts w:ascii="Calibri" w:cs="Calibri" w:eastAsia="Calibri" w:hAnsi="Calibri"/>
                <w:b/>
                <w:bCs/>
                <w:color w:val="FFFFFF"/>
                <w:sz w:val="18"/>
                <w:szCs w:val="18"/>
              </w:rPr>
              <w:t xml:space="preserve">Consensus</w:t>
            </w:r>
          </w:p>
        </w:tc>
        <w:tc>
          <w:tcPr>
            <w:tcW w:type="dxa" w:w="2960"/>
            <w:tcBorders>
              <w:top w:val="single" w:color="CCCCCC" w:sz="4"/>
              <w:left w:val="single" w:color="CCCCCC" w:sz="4"/>
              <w:bottom w:val="single" w:color="CCCCCC" w:sz="4"/>
              <w:right w:val="single" w:color="CCCCCC" w:sz="4"/>
            </w:tcBorders>
            <w:shd w:fill="B8860B" w:color="auto" w:val="clear"/>
            <w:tcMar>
              <w:top w:type="dxa" w:w="60"/>
              <w:left w:type="dxa" w:w="100"/>
              <w:bottom w:type="dxa" w:w="60"/>
              <w:right w:type="dxa" w:w="100"/>
            </w:tcMar>
          </w:tcPr>
          <w:p>
            <w:pPr>
              <w:spacing w:after="30" w:before="30"/>
              <w:jc w:val="left"/>
            </w:pPr>
            <w:r>
              <w:rPr>
                <w:rFonts w:ascii="Calibri" w:cs="Calibri" w:eastAsia="Calibri" w:hAnsi="Calibri"/>
                <w:b/>
                <w:bCs/>
                <w:color w:val="FFFFFF"/>
                <w:sz w:val="18"/>
                <w:szCs w:val="18"/>
              </w:rPr>
              <w:t xml:space="preserve">Why It Matters</w:t>
            </w:r>
          </w:p>
        </w:tc>
      </w:tr>
      <w:tr>
        <w:tc>
          <w:tcPr>
            <w:tcW w:type="dxa" w:w="11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bCs/>
                <w:color w:val="1A2B47"/>
                <w:sz w:val="18"/>
                <w:szCs w:val="18"/>
              </w:rPr>
              <w:t xml:space="preserve">8:30 AM</w:t>
            </w:r>
          </w:p>
        </w:tc>
        <w:tc>
          <w:tcPr>
            <w:tcW w:type="dxa" w:w="27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bCs/>
                <w:color w:val="222222"/>
                <w:sz w:val="18"/>
                <w:szCs w:val="18"/>
              </w:rPr>
              <w:t xml:space="preserve">Advance Goods Trade Balance (Mar)</w:t>
            </w:r>
          </w:p>
        </w:tc>
        <w:tc>
          <w:tcPr>
            <w:tcW w:type="dxa" w:w="13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center"/>
            </w:pPr>
            <w:r>
              <w:rPr>
                <w:rFonts w:ascii="Calibri" w:cs="Calibri" w:eastAsia="Calibri" w:hAnsi="Calibri"/>
                <w:b w:val="false"/>
                <w:bCs w:val="false"/>
                <w:color w:val="222222"/>
                <w:sz w:val="18"/>
                <w:szCs w:val="18"/>
              </w:rPr>
              <w:t xml:space="preserve">-$148.5B</w:t>
            </w:r>
          </w:p>
        </w:tc>
        <w:tc>
          <w:tcPr>
            <w:tcW w:type="dxa" w:w="13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center"/>
            </w:pPr>
            <w:r>
              <w:rPr>
                <w:rFonts w:ascii="Calibri" w:cs="Calibri" w:eastAsia="Calibri" w:hAnsi="Calibri"/>
                <w:b/>
                <w:bCs/>
                <w:color w:val="1A2B47"/>
                <w:sz w:val="18"/>
                <w:szCs w:val="18"/>
              </w:rPr>
              <w:t xml:space="preserve">-$143.0B</w:t>
            </w:r>
          </w:p>
        </w:tc>
        <w:tc>
          <w:tcPr>
            <w:tcW w:type="dxa" w:w="29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val="false"/>
                <w:bCs w:val="false"/>
                <w:color w:val="555555"/>
                <w:sz w:val="18"/>
                <w:szCs w:val="18"/>
              </w:rPr>
              <w:t xml:space="preserve">Tariff &amp; oil-import distortions feed into Q1 GDP.</w:t>
            </w:r>
          </w:p>
        </w:tc>
      </w:tr>
      <w:tr>
        <w:tc>
          <w:tcPr>
            <w:tcW w:type="dxa" w:w="11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left"/>
            </w:pPr>
            <w:r>
              <w:rPr>
                <w:rFonts w:ascii="Calibri" w:cs="Calibri" w:eastAsia="Calibri" w:hAnsi="Calibri"/>
                <w:b/>
                <w:bCs/>
                <w:color w:val="1A2B47"/>
                <w:sz w:val="18"/>
                <w:szCs w:val="18"/>
              </w:rPr>
              <w:t xml:space="preserve">8:55 AM</w:t>
            </w:r>
          </w:p>
        </w:tc>
        <w:tc>
          <w:tcPr>
            <w:tcW w:type="dxa" w:w="27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left"/>
            </w:pPr>
            <w:r>
              <w:rPr>
                <w:rFonts w:ascii="Calibri" w:cs="Calibri" w:eastAsia="Calibri" w:hAnsi="Calibri"/>
                <w:b/>
                <w:bCs/>
                <w:color w:val="222222"/>
                <w:sz w:val="18"/>
                <w:szCs w:val="18"/>
              </w:rPr>
              <w:t xml:space="preserve">Redbook Same-Store Sales (w/w)</w:t>
            </w:r>
          </w:p>
        </w:tc>
        <w:tc>
          <w:tcPr>
            <w:tcW w:type="dxa" w:w="13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222222"/>
                <w:sz w:val="18"/>
                <w:szCs w:val="18"/>
              </w:rPr>
              <w:t xml:space="preserve">+5.2%</w:t>
            </w:r>
          </w:p>
        </w:tc>
        <w:tc>
          <w:tcPr>
            <w:tcW w:type="dxa" w:w="13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center"/>
            </w:pPr>
            <w:r>
              <w:rPr>
                <w:rFonts w:ascii="Calibri" w:cs="Calibri" w:eastAsia="Calibri" w:hAnsi="Calibri"/>
                <w:b/>
                <w:bCs/>
                <w:color w:val="1A2B47"/>
                <w:sz w:val="18"/>
                <w:szCs w:val="18"/>
              </w:rPr>
              <w:t xml:space="preserve">n/a</w:t>
            </w:r>
          </w:p>
        </w:tc>
        <w:tc>
          <w:tcPr>
            <w:tcW w:type="dxa" w:w="296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left"/>
            </w:pPr>
            <w:r>
              <w:rPr>
                <w:rFonts w:ascii="Calibri" w:cs="Calibri" w:eastAsia="Calibri" w:hAnsi="Calibri"/>
                <w:b w:val="false"/>
                <w:bCs w:val="false"/>
                <w:color w:val="555555"/>
                <w:sz w:val="18"/>
                <w:szCs w:val="18"/>
              </w:rPr>
              <w:t xml:space="preserve">Real-time retail demand pulse.</w:t>
            </w:r>
          </w:p>
        </w:tc>
      </w:tr>
      <w:tr>
        <w:tc>
          <w:tcPr>
            <w:tcW w:type="dxa" w:w="11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bCs/>
                <w:color w:val="1A2B47"/>
                <w:sz w:val="18"/>
                <w:szCs w:val="18"/>
              </w:rPr>
              <w:t xml:space="preserve">9:00 AM</w:t>
            </w:r>
          </w:p>
        </w:tc>
        <w:tc>
          <w:tcPr>
            <w:tcW w:type="dxa" w:w="27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bCs/>
                <w:color w:val="222222"/>
                <w:sz w:val="18"/>
                <w:szCs w:val="18"/>
              </w:rPr>
              <w:t xml:space="preserve">S&amp;P CoreLogic Case-Shiller HPI (Feb)</w:t>
            </w:r>
          </w:p>
        </w:tc>
        <w:tc>
          <w:tcPr>
            <w:tcW w:type="dxa" w:w="13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center"/>
            </w:pPr>
            <w:r>
              <w:rPr>
                <w:rFonts w:ascii="Calibri" w:cs="Calibri" w:eastAsia="Calibri" w:hAnsi="Calibri"/>
                <w:b w:val="false"/>
                <w:bCs w:val="false"/>
                <w:color w:val="222222"/>
                <w:sz w:val="18"/>
                <w:szCs w:val="18"/>
              </w:rPr>
              <w:t xml:space="preserve">+0.9% y/y</w:t>
            </w:r>
          </w:p>
        </w:tc>
        <w:tc>
          <w:tcPr>
            <w:tcW w:type="dxa" w:w="13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center"/>
            </w:pPr>
            <w:r>
              <w:rPr>
                <w:rFonts w:ascii="Calibri" w:cs="Calibri" w:eastAsia="Calibri" w:hAnsi="Calibri"/>
                <w:b/>
                <w:bCs/>
                <w:color w:val="1A2B47"/>
                <w:sz w:val="18"/>
                <w:szCs w:val="18"/>
              </w:rPr>
              <w:t xml:space="preserve">+0.7% y/y</w:t>
            </w:r>
          </w:p>
        </w:tc>
        <w:tc>
          <w:tcPr>
            <w:tcW w:type="dxa" w:w="29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val="false"/>
                <w:bCs w:val="false"/>
                <w:color w:val="555555"/>
                <w:sz w:val="18"/>
                <w:szCs w:val="18"/>
              </w:rPr>
              <w:t xml:space="preserve">Housing reflation gauge; affordability watch.</w:t>
            </w:r>
          </w:p>
        </w:tc>
      </w:tr>
      <w:tr>
        <w:tc>
          <w:tcPr>
            <w:tcW w:type="dxa" w:w="11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left"/>
            </w:pPr>
            <w:r>
              <w:rPr>
                <w:rFonts w:ascii="Calibri" w:cs="Calibri" w:eastAsia="Calibri" w:hAnsi="Calibri"/>
                <w:b/>
                <w:bCs/>
                <w:color w:val="1A2B47"/>
                <w:sz w:val="18"/>
                <w:szCs w:val="18"/>
              </w:rPr>
              <w:t xml:space="preserve">9:00 AM</w:t>
            </w:r>
          </w:p>
        </w:tc>
        <w:tc>
          <w:tcPr>
            <w:tcW w:type="dxa" w:w="27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left"/>
            </w:pPr>
            <w:r>
              <w:rPr>
                <w:rFonts w:ascii="Calibri" w:cs="Calibri" w:eastAsia="Calibri" w:hAnsi="Calibri"/>
                <w:b/>
                <w:bCs/>
                <w:color w:val="222222"/>
                <w:sz w:val="18"/>
                <w:szCs w:val="18"/>
              </w:rPr>
              <w:t xml:space="preserve">FHFA House Price Index (Feb)</w:t>
            </w:r>
          </w:p>
        </w:tc>
        <w:tc>
          <w:tcPr>
            <w:tcW w:type="dxa" w:w="13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222222"/>
                <w:sz w:val="18"/>
                <w:szCs w:val="18"/>
              </w:rPr>
              <w:t xml:space="preserve">+0.2% m/m</w:t>
            </w:r>
          </w:p>
        </w:tc>
        <w:tc>
          <w:tcPr>
            <w:tcW w:type="dxa" w:w="13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center"/>
            </w:pPr>
            <w:r>
              <w:rPr>
                <w:rFonts w:ascii="Calibri" w:cs="Calibri" w:eastAsia="Calibri" w:hAnsi="Calibri"/>
                <w:b/>
                <w:bCs/>
                <w:color w:val="1A2B47"/>
                <w:sz w:val="18"/>
                <w:szCs w:val="18"/>
              </w:rPr>
              <w:t xml:space="preserve">+0.2% m/m</w:t>
            </w:r>
          </w:p>
        </w:tc>
        <w:tc>
          <w:tcPr>
            <w:tcW w:type="dxa" w:w="296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left"/>
            </w:pPr>
            <w:r>
              <w:rPr>
                <w:rFonts w:ascii="Calibri" w:cs="Calibri" w:eastAsia="Calibri" w:hAnsi="Calibri"/>
                <w:b w:val="false"/>
                <w:bCs w:val="false"/>
                <w:color w:val="555555"/>
                <w:sz w:val="18"/>
                <w:szCs w:val="18"/>
              </w:rPr>
              <w:t xml:space="preserve">Conforming-loan housing read.</w:t>
            </w:r>
          </w:p>
        </w:tc>
      </w:tr>
      <w:tr>
        <w:tc>
          <w:tcPr>
            <w:tcW w:type="dxa" w:w="11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bCs/>
                <w:color w:val="1A2B47"/>
                <w:sz w:val="18"/>
                <w:szCs w:val="18"/>
              </w:rPr>
              <w:t xml:space="preserve">10:00 AM</w:t>
            </w:r>
          </w:p>
        </w:tc>
        <w:tc>
          <w:tcPr>
            <w:tcW w:type="dxa" w:w="27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bCs/>
                <w:color w:val="222222"/>
                <w:sz w:val="18"/>
                <w:szCs w:val="18"/>
              </w:rPr>
              <w:t xml:space="preserve">Conference Board Consumer Confidence (Apr)</w:t>
            </w:r>
          </w:p>
        </w:tc>
        <w:tc>
          <w:tcPr>
            <w:tcW w:type="dxa" w:w="13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center"/>
            </w:pPr>
            <w:r>
              <w:rPr>
                <w:rFonts w:ascii="Calibri" w:cs="Calibri" w:eastAsia="Calibri" w:hAnsi="Calibri"/>
                <w:b w:val="false"/>
                <w:bCs w:val="false"/>
                <w:color w:val="222222"/>
                <w:sz w:val="18"/>
                <w:szCs w:val="18"/>
              </w:rPr>
              <w:t xml:space="preserve">92.2</w:t>
            </w:r>
          </w:p>
        </w:tc>
        <w:tc>
          <w:tcPr>
            <w:tcW w:type="dxa" w:w="13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center"/>
            </w:pPr>
            <w:r>
              <w:rPr>
                <w:rFonts w:ascii="Calibri" w:cs="Calibri" w:eastAsia="Calibri" w:hAnsi="Calibri"/>
                <w:b/>
                <w:bCs/>
                <w:color w:val="1A2B47"/>
                <w:sz w:val="18"/>
                <w:szCs w:val="18"/>
              </w:rPr>
              <w:t xml:space="preserve">89.0</w:t>
            </w:r>
          </w:p>
        </w:tc>
        <w:tc>
          <w:tcPr>
            <w:tcW w:type="dxa" w:w="29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val="false"/>
                <w:bCs w:val="false"/>
                <w:color w:val="555555"/>
                <w:sz w:val="18"/>
                <w:szCs w:val="18"/>
              </w:rPr>
              <w:t xml:space="preserve">REPORTED 92.8 — beat; Expectations index +1.2.</w:t>
            </w:r>
          </w:p>
        </w:tc>
      </w:tr>
      <w:tr>
        <w:tc>
          <w:tcPr>
            <w:tcW w:type="dxa" w:w="11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left"/>
            </w:pPr>
            <w:r>
              <w:rPr>
                <w:rFonts w:ascii="Calibri" w:cs="Calibri" w:eastAsia="Calibri" w:hAnsi="Calibri"/>
                <w:b/>
                <w:bCs/>
                <w:color w:val="1A2B47"/>
                <w:sz w:val="18"/>
                <w:szCs w:val="18"/>
              </w:rPr>
              <w:t xml:space="preserve">10:00 AM</w:t>
            </w:r>
          </w:p>
        </w:tc>
        <w:tc>
          <w:tcPr>
            <w:tcW w:type="dxa" w:w="27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left"/>
            </w:pPr>
            <w:r>
              <w:rPr>
                <w:rFonts w:ascii="Calibri" w:cs="Calibri" w:eastAsia="Calibri" w:hAnsi="Calibri"/>
                <w:b/>
                <w:bCs/>
                <w:color w:val="222222"/>
                <w:sz w:val="18"/>
                <w:szCs w:val="18"/>
              </w:rPr>
              <w:t xml:space="preserve">Richmond Fed Manufacturing Index (Apr)</w:t>
            </w:r>
          </w:p>
        </w:tc>
        <w:tc>
          <w:tcPr>
            <w:tcW w:type="dxa" w:w="13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222222"/>
                <w:sz w:val="18"/>
                <w:szCs w:val="18"/>
              </w:rPr>
              <w:t xml:space="preserve">-4</w:t>
            </w:r>
          </w:p>
        </w:tc>
        <w:tc>
          <w:tcPr>
            <w:tcW w:type="dxa" w:w="13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center"/>
            </w:pPr>
            <w:r>
              <w:rPr>
                <w:rFonts w:ascii="Calibri" w:cs="Calibri" w:eastAsia="Calibri" w:hAnsi="Calibri"/>
                <w:b/>
                <w:bCs/>
                <w:color w:val="1A2B47"/>
                <w:sz w:val="18"/>
                <w:szCs w:val="18"/>
              </w:rPr>
              <w:t xml:space="preserve">-2</w:t>
            </w:r>
          </w:p>
        </w:tc>
        <w:tc>
          <w:tcPr>
            <w:tcW w:type="dxa" w:w="296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left"/>
            </w:pPr>
            <w:r>
              <w:rPr>
                <w:rFonts w:ascii="Calibri" w:cs="Calibri" w:eastAsia="Calibri" w:hAnsi="Calibri"/>
                <w:b w:val="false"/>
                <w:bCs w:val="false"/>
                <w:color w:val="555555"/>
                <w:sz w:val="18"/>
                <w:szCs w:val="18"/>
              </w:rPr>
              <w:t xml:space="preserve">Regional gauge into Friday's ISM.</w:t>
            </w:r>
          </w:p>
        </w:tc>
      </w:tr>
      <w:tr>
        <w:tc>
          <w:tcPr>
            <w:tcW w:type="dxa" w:w="11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bCs/>
                <w:color w:val="1A2B47"/>
                <w:sz w:val="18"/>
                <w:szCs w:val="18"/>
              </w:rPr>
              <w:t xml:space="preserve">1:00 PM</w:t>
            </w:r>
          </w:p>
        </w:tc>
        <w:tc>
          <w:tcPr>
            <w:tcW w:type="dxa" w:w="27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bCs/>
                <w:color w:val="222222"/>
                <w:sz w:val="18"/>
                <w:szCs w:val="18"/>
              </w:rPr>
              <w:t xml:space="preserve">U.S. Treasury 7-Year Note Auction ($44B)</w:t>
            </w:r>
          </w:p>
        </w:tc>
        <w:tc>
          <w:tcPr>
            <w:tcW w:type="dxa" w:w="13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center"/>
            </w:pPr>
            <w:r>
              <w:rPr>
                <w:rFonts w:ascii="Calibri" w:cs="Calibri" w:eastAsia="Calibri" w:hAnsi="Calibri"/>
                <w:b w:val="false"/>
                <w:bCs w:val="false"/>
                <w:color w:val="222222"/>
                <w:sz w:val="18"/>
                <w:szCs w:val="18"/>
              </w:rPr>
              <w:t xml:space="preserve">—</w:t>
            </w:r>
          </w:p>
        </w:tc>
        <w:tc>
          <w:tcPr>
            <w:tcW w:type="dxa" w:w="13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center"/>
            </w:pPr>
            <w:r>
              <w:rPr>
                <w:rFonts w:ascii="Calibri" w:cs="Calibri" w:eastAsia="Calibri" w:hAnsi="Calibri"/>
                <w:b/>
                <w:bCs/>
                <w:color w:val="1A2B47"/>
                <w:sz w:val="18"/>
                <w:szCs w:val="18"/>
              </w:rPr>
              <w:t xml:space="preserve">—</w:t>
            </w:r>
          </w:p>
        </w:tc>
        <w:tc>
          <w:tcPr>
            <w:tcW w:type="dxa" w:w="29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val="false"/>
                <w:bCs w:val="false"/>
                <w:color w:val="555555"/>
                <w:sz w:val="18"/>
                <w:szCs w:val="18"/>
              </w:rPr>
              <w:t xml:space="preserve">Belly demand at 4.0% area.</w:t>
            </w:r>
          </w:p>
        </w:tc>
      </w:tr>
      <w:tr>
        <w:tc>
          <w:tcPr>
            <w:tcW w:type="dxa" w:w="11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left"/>
            </w:pPr>
            <w:r>
              <w:rPr>
                <w:rFonts w:ascii="Calibri" w:cs="Calibri" w:eastAsia="Calibri" w:hAnsi="Calibri"/>
                <w:b/>
                <w:bCs/>
                <w:color w:val="1A2B47"/>
                <w:sz w:val="18"/>
                <w:szCs w:val="18"/>
              </w:rPr>
              <w:t xml:space="preserve">4:30 PM</w:t>
            </w:r>
          </w:p>
        </w:tc>
        <w:tc>
          <w:tcPr>
            <w:tcW w:type="dxa" w:w="27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left"/>
            </w:pPr>
            <w:r>
              <w:rPr>
                <w:rFonts w:ascii="Calibri" w:cs="Calibri" w:eastAsia="Calibri" w:hAnsi="Calibri"/>
                <w:b/>
                <w:bCs/>
                <w:color w:val="222222"/>
                <w:sz w:val="18"/>
                <w:szCs w:val="18"/>
              </w:rPr>
              <w:t xml:space="preserve">API Weekly Crude Oil Stocks</w:t>
            </w:r>
          </w:p>
        </w:tc>
        <w:tc>
          <w:tcPr>
            <w:tcW w:type="dxa" w:w="13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222222"/>
                <w:sz w:val="18"/>
                <w:szCs w:val="18"/>
              </w:rPr>
              <w:t xml:space="preserve">-1.8M</w:t>
            </w:r>
          </w:p>
        </w:tc>
        <w:tc>
          <w:tcPr>
            <w:tcW w:type="dxa" w:w="13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center"/>
            </w:pPr>
            <w:r>
              <w:rPr>
                <w:rFonts w:ascii="Calibri" w:cs="Calibri" w:eastAsia="Calibri" w:hAnsi="Calibri"/>
                <w:b/>
                <w:bCs/>
                <w:color w:val="1A2B47"/>
                <w:sz w:val="18"/>
                <w:szCs w:val="18"/>
              </w:rPr>
              <w:t xml:space="preserve">-2.2M</w:t>
            </w:r>
          </w:p>
        </w:tc>
        <w:tc>
          <w:tcPr>
            <w:tcW w:type="dxa" w:w="296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left"/>
            </w:pPr>
            <w:r>
              <w:rPr>
                <w:rFonts w:ascii="Calibri" w:cs="Calibri" w:eastAsia="Calibri" w:hAnsi="Calibri"/>
                <w:b w:val="false"/>
                <w:bCs w:val="false"/>
                <w:color w:val="555555"/>
                <w:sz w:val="18"/>
                <w:szCs w:val="18"/>
              </w:rPr>
              <w:t xml:space="preserve">Petroleum balance ahead of EIA Wed.</w:t>
            </w:r>
          </w:p>
        </w:tc>
      </w:tr>
      <w:tr>
        <w:tc>
          <w:tcPr>
            <w:tcW w:type="dxa" w:w="11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bCs/>
                <w:color w:val="1A2B47"/>
                <w:sz w:val="18"/>
                <w:szCs w:val="18"/>
              </w:rPr>
              <w:t xml:space="preserve">All Day</w:t>
            </w:r>
          </w:p>
        </w:tc>
        <w:tc>
          <w:tcPr>
            <w:tcW w:type="dxa" w:w="27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bCs/>
                <w:color w:val="222222"/>
                <w:sz w:val="18"/>
                <w:szCs w:val="18"/>
              </w:rPr>
              <w:t xml:space="preserve">FOMC Day 1 (No commentary)</w:t>
            </w:r>
          </w:p>
        </w:tc>
        <w:tc>
          <w:tcPr>
            <w:tcW w:type="dxa" w:w="13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center"/>
            </w:pPr>
            <w:r>
              <w:rPr>
                <w:rFonts w:ascii="Calibri" w:cs="Calibri" w:eastAsia="Calibri" w:hAnsi="Calibri"/>
                <w:b w:val="false"/>
                <w:bCs w:val="false"/>
                <w:color w:val="222222"/>
                <w:sz w:val="18"/>
                <w:szCs w:val="18"/>
              </w:rPr>
              <w:t xml:space="preserve">—</w:t>
            </w:r>
          </w:p>
        </w:tc>
        <w:tc>
          <w:tcPr>
            <w:tcW w:type="dxa" w:w="13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center"/>
            </w:pPr>
            <w:r>
              <w:rPr>
                <w:rFonts w:ascii="Calibri" w:cs="Calibri" w:eastAsia="Calibri" w:hAnsi="Calibri"/>
                <w:b/>
                <w:bCs/>
                <w:color w:val="1A2B47"/>
                <w:sz w:val="18"/>
                <w:szCs w:val="18"/>
              </w:rPr>
              <w:t xml:space="preserve">—</w:t>
            </w:r>
          </w:p>
        </w:tc>
        <w:tc>
          <w:tcPr>
            <w:tcW w:type="dxa" w:w="29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val="false"/>
                <w:bCs w:val="false"/>
                <w:color w:val="555555"/>
                <w:sz w:val="18"/>
                <w:szCs w:val="18"/>
              </w:rPr>
              <w:t xml:space="preserve">Statement &amp; dot-plan land Wed 2pm; Powell 2:30pm.</w:t>
            </w:r>
          </w:p>
        </w:tc>
      </w:tr>
    </w:tbl>
    <w:p>
      <w:pPr>
        <w:spacing w:after="80" w:before="60"/>
      </w:pPr>
      <w:r>
        <w:rPr>
          <w:rFonts w:ascii="Calibri" w:cs="Calibri" w:eastAsia="Calibri" w:hAnsi="Calibri"/>
          <w:b/>
          <w:bCs/>
          <w:caps/>
          <w:color w:val="B8860B"/>
          <w:sz w:val="18"/>
          <w:szCs w:val="18"/>
        </w:rPr>
        <w:t xml:space="preserve">§ 6 — Earnings Watch</w:t>
      </w:r>
    </w:p>
    <w:p>
      <w:pPr>
        <w:pStyle w:val="Heading1"/>
        <w:spacing w:after="160" w:before="320"/>
      </w:pPr>
      <w:r>
        <w:rPr>
          <w:rFonts w:ascii="Calibri" w:cs="Calibri" w:eastAsia="Calibri" w:hAnsi="Calibri"/>
          <w:b/>
          <w:bCs/>
          <w:color w:val="1A2B47"/>
          <w:sz w:val="32"/>
          <w:szCs w:val="32"/>
        </w:rPr>
        <w:t xml:space="preserve">Earnings Watch</w:t>
      </w:r>
    </w:p>
    <w:p>
      <w:pPr>
        <w:spacing w:after="100" w:before="100" w:line="300"/>
        <w:jc w:val="both"/>
      </w:pPr>
      <w:r>
        <w:rPr>
          <w:rFonts w:ascii="Calibri" w:cs="Calibri" w:eastAsia="Calibri" w:hAnsi="Calibri"/>
          <w:b/>
          <w:bCs/>
          <w:sz w:val="22"/>
          <w:szCs w:val="22"/>
        </w:rPr>
        <w:t xml:space="preserve">Pre-market reporters: </w:t>
      </w:r>
      <w:r>
        <w:rPr>
          <w:rFonts w:ascii="Calibri" w:cs="Calibri" w:eastAsia="Calibri" w:hAnsi="Calibri"/>
          <w:sz w:val="22"/>
          <w:szCs w:val="22"/>
        </w:rPr>
        <w:t xml:space="preserve">Boeing (BA) printed a clean beat — revenue $22.2B, core EPS $(0.20) vs. $(0.66) est., backlog $695B record, FY guide raised. UPS posted adjusted EPS $1.07 on $21.2B revenue, beat consensus, but reaffirmed 2026 guidance and shares opened lower as investors focused on declining U.S. domestic volume. Coca-Cola (KO) beat on EPS/revenue and lifted guidance; shares +3% pre-bell. General Motors (GM) crushed estimates ($3.70 adj. EPS vs. $2.62 est.) and raised the year on a $500M tariff-refund benefit; shares +5%. Sherwin-Williams (SHW) beat by 7c on EPS and by ~$50M on revenue, shares modestly higher. Hilton (HLT) reports at the open. Spotify (SPOT) reported earlier in Europe; shares -11% on weak ARPU.</w:t>
      </w:r>
    </w:p>
    <w:p>
      <w:pPr>
        <w:spacing w:after="100" w:before="100" w:line="300"/>
        <w:jc w:val="both"/>
      </w:pPr>
      <w:r>
        <w:rPr>
          <w:rFonts w:ascii="Calibri" w:cs="Calibri" w:eastAsia="Calibri" w:hAnsi="Calibri"/>
          <w:b/>
          <w:bCs/>
          <w:sz w:val="22"/>
          <w:szCs w:val="22"/>
        </w:rPr>
        <w:t xml:space="preserve">After-close reporters: </w:t>
      </w:r>
      <w:r>
        <w:rPr>
          <w:rFonts w:ascii="Calibri" w:cs="Calibri" w:eastAsia="Calibri" w:hAnsi="Calibri"/>
          <w:sz w:val="22"/>
          <w:szCs w:val="22"/>
        </w:rPr>
        <w:t xml:space="preserve">Visa (V) headlines tonight at 5pm ET. Consensus calls for $3.10 EPS (vs. $2.76 y/y) on $10.75 billion in revenue. Watch payments-volume growth (Street modeling +9.5% constant-currency), cross-border (consensus +14% ex-intra-Europe), and incremental commentary on stablecoin rails — Visa's pilot with Stripe and Bridge has been quietly expanding. Options imply a ~3.4% move. Also reporting: Starbucks (SBUX), Mondelez (MDLZ), American Tower (AMT), Snap (SNAP), Caesars (CZR), Match Group (MTCH), Stryker (SYK on Apr 29), Robinhood (HOOD), and Booking Holdings (BKNG).</w:t>
      </w:r>
    </w:p>
    <w:p>
      <w:pPr>
        <w:spacing w:after="100" w:before="100" w:line="300"/>
        <w:jc w:val="both"/>
      </w:pPr>
      <w:r>
        <w:rPr>
          <w:rFonts w:ascii="Calibri" w:cs="Calibri" w:eastAsia="Calibri" w:hAnsi="Calibri"/>
          <w:b/>
          <w:bCs/>
          <w:sz w:val="22"/>
          <w:szCs w:val="22"/>
        </w:rPr>
        <w:t xml:space="preserve">Sector earnings season context: </w:t>
      </w:r>
      <w:r>
        <w:rPr>
          <w:rFonts w:ascii="Calibri" w:cs="Calibri" w:eastAsia="Calibri" w:hAnsi="Calibri"/>
          <w:sz w:val="22"/>
          <w:szCs w:val="22"/>
        </w:rPr>
        <w:t xml:space="preserve">With 165 of S&amp;P 500 names reported, blended EPS growth is running +9.8% year-over-year, a solid 230 basis points above the pre-season estimate. The beat rate of 79% sits above the 5-year average. Information Technology continues to deliver the highest revenue growth (+28.1% YoY), but margin commentary is mixed as tariff costs filter through. Energy is on track for its first positive earnings growth quarter in five, mechanically boosted by oil prices. The two sectors to watch this week are Communication Services (Alphabet, Meta tomorrow) and Software/Cloud (Microsoft tomorrow, Apple Thursday) — those four names alone represent roughly $9 trillion of market cap.</w:t>
      </w:r>
    </w:p>
    <w:p>
      <w:pPr>
        <w:spacing w:after="80" w:before="60"/>
      </w:pPr>
      <w:r>
        <w:rPr>
          <w:rFonts w:ascii="Calibri" w:cs="Calibri" w:eastAsia="Calibri" w:hAnsi="Calibri"/>
          <w:b/>
          <w:bCs/>
          <w:caps/>
          <w:color w:val="B8860B"/>
          <w:sz w:val="18"/>
          <w:szCs w:val="18"/>
        </w:rPr>
        <w:t xml:space="preserve">§ 7 — Sector Spotlight</w:t>
      </w:r>
    </w:p>
    <w:p>
      <w:pPr>
        <w:pStyle w:val="Heading1"/>
        <w:spacing w:after="160" w:before="320"/>
      </w:pPr>
      <w:r>
        <w:rPr>
          <w:rFonts w:ascii="Calibri" w:cs="Calibri" w:eastAsia="Calibri" w:hAnsi="Calibri"/>
          <w:b/>
          <w:bCs/>
          <w:color w:val="1A2B47"/>
          <w:sz w:val="32"/>
          <w:szCs w:val="32"/>
        </w:rPr>
        <w:t xml:space="preserve">Sector Spotlight: Energy and Semis Trade Places</w:t>
      </w:r>
    </w:p>
    <w:p>
      <w:pPr>
        <w:spacing w:after="100" w:before="100" w:line="300"/>
        <w:jc w:val="both"/>
      </w:pPr>
      <w:r>
        <w:rPr>
          <w:rFonts w:ascii="Calibri" w:cs="Calibri" w:eastAsia="Calibri" w:hAnsi="Calibri"/>
          <w:sz w:val="22"/>
          <w:szCs w:val="22"/>
        </w:rPr>
        <w:t xml:space="preserve">The most interesting sector dynamic of the morning is the rotation that's quietly building between Energy and Semiconductors. Energy (XLE) was up modestly Monday and is poised to extend, with Brent at $111 and refiners enjoying widening crack spreads as Hormuz disruption continues to bite. The XLE/SPY ratio has inflected to its highest level since mid-2023, and we'd note that the sector still sits at the bottom decile of forward P/E — meaning even a modest move toward 'fair' carries significant alpha. Halliburton, Baker Hughes (just upgraded by Stifel), Schlumberger and the integrateds (XOM, CVX) are the obvious leveraged plays.</w:t>
      </w:r>
    </w:p>
    <w:p>
      <w:pPr>
        <w:spacing w:after="100" w:before="100" w:line="300"/>
        <w:jc w:val="both"/>
      </w:pPr>
      <w:r>
        <w:rPr>
          <w:rFonts w:ascii="Calibri" w:cs="Calibri" w:eastAsia="Calibri" w:hAnsi="Calibri"/>
          <w:sz w:val="22"/>
          <w:szCs w:val="22"/>
        </w:rPr>
        <w:t xml:space="preserve">On the other side, the SOX (PHLX Semiconductor Index) has now sold off in two consecutive sessions on the OpenAI capex headlines, with Nvidia down ~3% pre-market and AMD off ~2.5%. The OpenAI revelation isn't a one-day story; it represents a structural re-underwriting of the AI capex cycle that needs to be tested by Microsoft and Alphabet's results tomorrow night. If hyperscaler capex guidance comes in at or above the $360 billion combined run-rate consensus, semis catch a bid. If even one of the four (MSFT, GOOGL, META, AMZN) trims capex commentary by even 5%, the sector has another 6–8% downside to its 200-day moving average. The pair trade — long XLE, short SOXX or NVDA — has been working since Friday and we'd expect it to extend into Wednesday's print.</w:t>
      </w:r>
    </w:p>
    <w:p>
      <w:pPr>
        <w:spacing w:after="80" w:before="60"/>
      </w:pPr>
      <w:r>
        <w:rPr>
          <w:rFonts w:ascii="Calibri" w:cs="Calibri" w:eastAsia="Calibri" w:hAnsi="Calibri"/>
          <w:b/>
          <w:bCs/>
          <w:caps/>
          <w:color w:val="B8860B"/>
          <w:sz w:val="18"/>
          <w:szCs w:val="18"/>
        </w:rPr>
        <w:t xml:space="preserve">§ 8 — Analyst Calls &amp; Upgrades / Downgrades</w:t>
      </w:r>
    </w:p>
    <w:p>
      <w:pPr>
        <w:pStyle w:val="Heading1"/>
        <w:spacing w:after="160" w:before="320"/>
      </w:pPr>
      <w:r>
        <w:rPr>
          <w:rFonts w:ascii="Calibri" w:cs="Calibri" w:eastAsia="Calibri" w:hAnsi="Calibri"/>
          <w:b/>
          <w:bCs/>
          <w:color w:val="1A2B47"/>
          <w:sz w:val="32"/>
          <w:szCs w:val="32"/>
        </w:rPr>
        <w:t xml:space="preserve">Analyst Calls &amp; Upgrades / Downgrades</w:t>
      </w:r>
    </w:p>
    <w:p>
      <w:pPr>
        <w:spacing w:after="100" w:before="100" w:line="300"/>
        <w:jc w:val="both"/>
      </w:pPr>
      <w:r>
        <w:rPr>
          <w:rFonts w:ascii="Calibri" w:cs="Calibri" w:eastAsia="Calibri" w:hAnsi="Calibri"/>
          <w:i/>
          <w:iCs/>
          <w:sz w:val="22"/>
          <w:szCs w:val="22"/>
        </w:rPr>
        <w:t xml:space="preserve">Notable Wall Street rating changes from the past 24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900"/>
        <w:gridCol w:w="1500"/>
        <w:gridCol w:w="2960"/>
      </w:tblGrid>
      <w:tr>
        <w:trPr>
          <w:tblHeader/>
        </w:trPr>
        <w:tc>
          <w:tcPr>
            <w:tcW w:type="dxa" w:w="1700"/>
            <w:tcBorders>
              <w:top w:val="single" w:color="CCCCCC" w:sz="4"/>
              <w:left w:val="single" w:color="CCCCCC" w:sz="4"/>
              <w:bottom w:val="single" w:color="CCCCCC" w:sz="4"/>
              <w:right w:val="single" w:color="CCCCCC" w:sz="4"/>
            </w:tcBorders>
            <w:shd w:fill="B8860B" w:color="auto" w:val="clear"/>
            <w:tcMar>
              <w:top w:type="dxa" w:w="60"/>
              <w:left w:type="dxa" w:w="100"/>
              <w:bottom w:type="dxa" w:w="60"/>
              <w:right w:type="dxa" w:w="100"/>
            </w:tcMar>
          </w:tcPr>
          <w:p>
            <w:pPr>
              <w:spacing w:after="30" w:before="30"/>
              <w:jc w:val="left"/>
            </w:pPr>
            <w:r>
              <w:rPr>
                <w:rFonts w:ascii="Calibri" w:cs="Calibri" w:eastAsia="Calibri" w:hAnsi="Calibri"/>
                <w:b/>
                <w:bCs/>
                <w:color w:val="FFFFFF"/>
                <w:sz w:val="18"/>
                <w:szCs w:val="18"/>
              </w:rPr>
              <w:t xml:space="preserve">Firm</w:t>
            </w:r>
          </w:p>
        </w:tc>
        <w:tc>
          <w:tcPr>
            <w:tcW w:type="dxa" w:w="1300"/>
            <w:tcBorders>
              <w:top w:val="single" w:color="CCCCCC" w:sz="4"/>
              <w:left w:val="single" w:color="CCCCCC" w:sz="4"/>
              <w:bottom w:val="single" w:color="CCCCCC" w:sz="4"/>
              <w:right w:val="single" w:color="CCCCCC" w:sz="4"/>
            </w:tcBorders>
            <w:shd w:fill="B8860B" w:color="auto" w:val="clear"/>
            <w:tcMar>
              <w:top w:type="dxa" w:w="60"/>
              <w:left w:type="dxa" w:w="100"/>
              <w:bottom w:type="dxa" w:w="60"/>
              <w:right w:type="dxa" w:w="100"/>
            </w:tcMar>
          </w:tcPr>
          <w:p>
            <w:pPr>
              <w:spacing w:after="30" w:before="30"/>
              <w:jc w:val="left"/>
            </w:pPr>
            <w:r>
              <w:rPr>
                <w:rFonts w:ascii="Calibri" w:cs="Calibri" w:eastAsia="Calibri" w:hAnsi="Calibri"/>
                <w:b/>
                <w:bCs/>
                <w:color w:val="FFFFFF"/>
                <w:sz w:val="18"/>
                <w:szCs w:val="18"/>
              </w:rPr>
              <w:t xml:space="preserve">Ticker</w:t>
            </w:r>
          </w:p>
        </w:tc>
        <w:tc>
          <w:tcPr>
            <w:tcW w:type="dxa" w:w="1900"/>
            <w:tcBorders>
              <w:top w:val="single" w:color="CCCCCC" w:sz="4"/>
              <w:left w:val="single" w:color="CCCCCC" w:sz="4"/>
              <w:bottom w:val="single" w:color="CCCCCC" w:sz="4"/>
              <w:right w:val="single" w:color="CCCCCC" w:sz="4"/>
            </w:tcBorders>
            <w:shd w:fill="B8860B" w:color="auto" w:val="clear"/>
            <w:tcMar>
              <w:top w:type="dxa" w:w="60"/>
              <w:left w:type="dxa" w:w="100"/>
              <w:bottom w:type="dxa" w:w="60"/>
              <w:right w:type="dxa" w:w="100"/>
            </w:tcMar>
          </w:tcPr>
          <w:p>
            <w:pPr>
              <w:spacing w:after="30" w:before="30"/>
              <w:jc w:val="left"/>
            </w:pPr>
            <w:r>
              <w:rPr>
                <w:rFonts w:ascii="Calibri" w:cs="Calibri" w:eastAsia="Calibri" w:hAnsi="Calibri"/>
                <w:b/>
                <w:bCs/>
                <w:color w:val="FFFFFF"/>
                <w:sz w:val="18"/>
                <w:szCs w:val="18"/>
              </w:rPr>
              <w:t xml:space="preserve">Action</w:t>
            </w:r>
          </w:p>
        </w:tc>
        <w:tc>
          <w:tcPr>
            <w:tcW w:type="dxa" w:w="1500"/>
            <w:tcBorders>
              <w:top w:val="single" w:color="CCCCCC" w:sz="4"/>
              <w:left w:val="single" w:color="CCCCCC" w:sz="4"/>
              <w:bottom w:val="single" w:color="CCCCCC" w:sz="4"/>
              <w:right w:val="single" w:color="CCCCCC" w:sz="4"/>
            </w:tcBorders>
            <w:shd w:fill="B8860B" w:color="auto" w:val="clear"/>
            <w:tcMar>
              <w:top w:type="dxa" w:w="60"/>
              <w:left w:type="dxa" w:w="100"/>
              <w:bottom w:type="dxa" w:w="60"/>
              <w:right w:type="dxa" w:w="100"/>
            </w:tcMar>
          </w:tcPr>
          <w:p>
            <w:pPr>
              <w:spacing w:after="30" w:before="30"/>
              <w:jc w:val="center"/>
            </w:pPr>
            <w:r>
              <w:rPr>
                <w:rFonts w:ascii="Calibri" w:cs="Calibri" w:eastAsia="Calibri" w:hAnsi="Calibri"/>
                <w:b/>
                <w:bCs/>
                <w:color w:val="FFFFFF"/>
                <w:sz w:val="18"/>
                <w:szCs w:val="18"/>
              </w:rPr>
              <w:t xml:space="preserve">Price Target</w:t>
            </w:r>
          </w:p>
        </w:tc>
        <w:tc>
          <w:tcPr>
            <w:tcW w:type="dxa" w:w="2960"/>
            <w:tcBorders>
              <w:top w:val="single" w:color="CCCCCC" w:sz="4"/>
              <w:left w:val="single" w:color="CCCCCC" w:sz="4"/>
              <w:bottom w:val="single" w:color="CCCCCC" w:sz="4"/>
              <w:right w:val="single" w:color="CCCCCC" w:sz="4"/>
            </w:tcBorders>
            <w:shd w:fill="B8860B" w:color="auto" w:val="clear"/>
            <w:tcMar>
              <w:top w:type="dxa" w:w="60"/>
              <w:left w:type="dxa" w:w="100"/>
              <w:bottom w:type="dxa" w:w="60"/>
              <w:right w:type="dxa" w:w="100"/>
            </w:tcMar>
          </w:tcPr>
          <w:p>
            <w:pPr>
              <w:spacing w:after="30" w:before="30"/>
              <w:jc w:val="left"/>
            </w:pPr>
            <w:r>
              <w:rPr>
                <w:rFonts w:ascii="Calibri" w:cs="Calibri" w:eastAsia="Calibri" w:hAnsi="Calibri"/>
                <w:b/>
                <w:bCs/>
                <w:color w:val="FFFFFF"/>
                <w:sz w:val="18"/>
                <w:szCs w:val="18"/>
              </w:rPr>
              <w:t xml:space="preserve">Thesis</w:t>
            </w:r>
          </w:p>
        </w:tc>
      </w:tr>
      <w:tr>
        <w:tc>
          <w:tcPr>
            <w:tcW w:type="dxa" w:w="17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bCs/>
                <w:color w:val="1A2B47"/>
                <w:sz w:val="18"/>
                <w:szCs w:val="18"/>
              </w:rPr>
              <w:t xml:space="preserve">Jefferies</w:t>
            </w:r>
          </w:p>
        </w:tc>
        <w:tc>
          <w:tcPr>
            <w:tcW w:type="dxa" w:w="13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bCs/>
                <w:color w:val="222222"/>
                <w:sz w:val="18"/>
                <w:szCs w:val="18"/>
              </w:rPr>
              <w:t xml:space="preserve">TWLO</w:t>
            </w:r>
          </w:p>
        </w:tc>
        <w:tc>
          <w:tcPr>
            <w:tcW w:type="dxa" w:w="1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bCs/>
                <w:color w:val="2E7D32"/>
                <w:sz w:val="18"/>
                <w:szCs w:val="18"/>
              </w:rPr>
              <w:t xml:space="preserve">Upgrade Buy</w:t>
            </w:r>
          </w:p>
        </w:tc>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center"/>
            </w:pPr>
            <w:r>
              <w:rPr>
                <w:rFonts w:ascii="Calibri" w:cs="Calibri" w:eastAsia="Calibri" w:hAnsi="Calibri"/>
                <w:b w:val="false"/>
                <w:bCs w:val="false"/>
                <w:color w:val="222222"/>
                <w:sz w:val="18"/>
                <w:szCs w:val="18"/>
              </w:rPr>
              <w:t xml:space="preserve">$160 (from $125)</w:t>
            </w:r>
          </w:p>
        </w:tc>
        <w:tc>
          <w:tcPr>
            <w:tcW w:type="dxa" w:w="29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val="false"/>
                <w:bCs w:val="false"/>
                <w:color w:val="555555"/>
                <w:sz w:val="18"/>
                <w:szCs w:val="18"/>
              </w:rPr>
              <w:t xml:space="preserve">AI-driven CPaaS reacceleration; margin step-up.</w:t>
            </w:r>
          </w:p>
        </w:tc>
      </w:tr>
      <w:tr>
        <w:tc>
          <w:tcPr>
            <w:tcW w:type="dxa" w:w="17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left"/>
            </w:pPr>
            <w:r>
              <w:rPr>
                <w:rFonts w:ascii="Calibri" w:cs="Calibri" w:eastAsia="Calibri" w:hAnsi="Calibri"/>
                <w:b/>
                <w:bCs/>
                <w:color w:val="1A2B47"/>
                <w:sz w:val="18"/>
                <w:szCs w:val="18"/>
              </w:rPr>
              <w:t xml:space="preserve">Jefferies</w:t>
            </w:r>
          </w:p>
        </w:tc>
        <w:tc>
          <w:tcPr>
            <w:tcW w:type="dxa" w:w="13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left"/>
            </w:pPr>
            <w:r>
              <w:rPr>
                <w:rFonts w:ascii="Calibri" w:cs="Calibri" w:eastAsia="Calibri" w:hAnsi="Calibri"/>
                <w:b/>
                <w:bCs/>
                <w:color w:val="222222"/>
                <w:sz w:val="18"/>
                <w:szCs w:val="18"/>
              </w:rPr>
              <w:t xml:space="preserve">KTOS</w:t>
            </w:r>
          </w:p>
        </w:tc>
        <w:tc>
          <w:tcPr>
            <w:tcW w:type="dxa" w:w="19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left"/>
            </w:pPr>
            <w:r>
              <w:rPr>
                <w:rFonts w:ascii="Calibri" w:cs="Calibri" w:eastAsia="Calibri" w:hAnsi="Calibri"/>
                <w:b/>
                <w:bCs/>
                <w:color w:val="2E7D32"/>
                <w:sz w:val="18"/>
                <w:szCs w:val="18"/>
              </w:rPr>
              <w:t xml:space="preserve">Upgrade Buy</w:t>
            </w:r>
          </w:p>
        </w:tc>
        <w:tc>
          <w:tcPr>
            <w:tcW w:type="dxa" w:w="15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222222"/>
                <w:sz w:val="18"/>
                <w:szCs w:val="18"/>
              </w:rPr>
              <w:t xml:space="preserve">$85 (new)</w:t>
            </w:r>
          </w:p>
        </w:tc>
        <w:tc>
          <w:tcPr>
            <w:tcW w:type="dxa" w:w="296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left"/>
            </w:pPr>
            <w:r>
              <w:rPr>
                <w:rFonts w:ascii="Calibri" w:cs="Calibri" w:eastAsia="Calibri" w:hAnsi="Calibri"/>
                <w:b w:val="false"/>
                <w:bCs w:val="false"/>
                <w:color w:val="555555"/>
                <w:sz w:val="18"/>
                <w:szCs w:val="18"/>
              </w:rPr>
              <w:t xml:space="preserve">Defense supplemental; drone &amp; hypersonics tailwinds.</w:t>
            </w:r>
          </w:p>
        </w:tc>
      </w:tr>
      <w:tr>
        <w:tc>
          <w:tcPr>
            <w:tcW w:type="dxa" w:w="17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bCs/>
                <w:color w:val="1A2B47"/>
                <w:sz w:val="18"/>
                <w:szCs w:val="18"/>
              </w:rPr>
              <w:t xml:space="preserve">Wells Fargo</w:t>
            </w:r>
          </w:p>
        </w:tc>
        <w:tc>
          <w:tcPr>
            <w:tcW w:type="dxa" w:w="13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bCs/>
                <w:color w:val="222222"/>
                <w:sz w:val="18"/>
                <w:szCs w:val="18"/>
              </w:rPr>
              <w:t xml:space="preserve">OLN</w:t>
            </w:r>
          </w:p>
        </w:tc>
        <w:tc>
          <w:tcPr>
            <w:tcW w:type="dxa" w:w="1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bCs/>
                <w:color w:val="2E7D32"/>
                <w:sz w:val="18"/>
                <w:szCs w:val="18"/>
              </w:rPr>
              <w:t xml:space="preserve">Up. Overweight</w:t>
            </w:r>
          </w:p>
        </w:tc>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center"/>
            </w:pPr>
            <w:r>
              <w:rPr>
                <w:rFonts w:ascii="Calibri" w:cs="Calibri" w:eastAsia="Calibri" w:hAnsi="Calibri"/>
                <w:b w:val="false"/>
                <w:bCs w:val="false"/>
                <w:color w:val="222222"/>
                <w:sz w:val="18"/>
                <w:szCs w:val="18"/>
              </w:rPr>
              <w:t xml:space="preserve">$35 (from $25)</w:t>
            </w:r>
          </w:p>
        </w:tc>
        <w:tc>
          <w:tcPr>
            <w:tcW w:type="dxa" w:w="29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val="false"/>
                <w:bCs w:val="false"/>
                <w:color w:val="555555"/>
                <w:sz w:val="18"/>
                <w:szCs w:val="18"/>
              </w:rPr>
              <w:t xml:space="preserve">Caustic soda upcycle; chlor-alkali pricing power.</w:t>
            </w:r>
          </w:p>
        </w:tc>
      </w:tr>
      <w:tr>
        <w:tc>
          <w:tcPr>
            <w:tcW w:type="dxa" w:w="17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left"/>
            </w:pPr>
            <w:r>
              <w:rPr>
                <w:rFonts w:ascii="Calibri" w:cs="Calibri" w:eastAsia="Calibri" w:hAnsi="Calibri"/>
                <w:b/>
                <w:bCs/>
                <w:color w:val="1A2B47"/>
                <w:sz w:val="18"/>
                <w:szCs w:val="18"/>
              </w:rPr>
              <w:t xml:space="preserve">Stifel</w:t>
            </w:r>
          </w:p>
        </w:tc>
        <w:tc>
          <w:tcPr>
            <w:tcW w:type="dxa" w:w="13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left"/>
            </w:pPr>
            <w:r>
              <w:rPr>
                <w:rFonts w:ascii="Calibri" w:cs="Calibri" w:eastAsia="Calibri" w:hAnsi="Calibri"/>
                <w:b/>
                <w:bCs/>
                <w:color w:val="222222"/>
                <w:sz w:val="18"/>
                <w:szCs w:val="18"/>
              </w:rPr>
              <w:t xml:space="preserve">BKR</w:t>
            </w:r>
          </w:p>
        </w:tc>
        <w:tc>
          <w:tcPr>
            <w:tcW w:type="dxa" w:w="19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left"/>
            </w:pPr>
            <w:r>
              <w:rPr>
                <w:rFonts w:ascii="Calibri" w:cs="Calibri" w:eastAsia="Calibri" w:hAnsi="Calibri"/>
                <w:b/>
                <w:bCs/>
                <w:color w:val="2E7D32"/>
                <w:sz w:val="18"/>
                <w:szCs w:val="18"/>
              </w:rPr>
              <w:t xml:space="preserve">Reit. Buy</w:t>
            </w:r>
          </w:p>
        </w:tc>
        <w:tc>
          <w:tcPr>
            <w:tcW w:type="dxa" w:w="15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222222"/>
                <w:sz w:val="18"/>
                <w:szCs w:val="18"/>
              </w:rPr>
              <w:t xml:space="preserve">$74 (from $63)</w:t>
            </w:r>
          </w:p>
        </w:tc>
        <w:tc>
          <w:tcPr>
            <w:tcW w:type="dxa" w:w="296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left"/>
            </w:pPr>
            <w:r>
              <w:rPr>
                <w:rFonts w:ascii="Calibri" w:cs="Calibri" w:eastAsia="Calibri" w:hAnsi="Calibri"/>
                <w:b w:val="false"/>
                <w:bCs w:val="false"/>
                <w:color w:val="555555"/>
                <w:sz w:val="18"/>
                <w:szCs w:val="18"/>
              </w:rPr>
              <w:t xml:space="preserve">LNG capex wave; Hormuz adds urgency.</w:t>
            </w:r>
          </w:p>
        </w:tc>
      </w:tr>
      <w:tr>
        <w:tc>
          <w:tcPr>
            <w:tcW w:type="dxa" w:w="17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bCs/>
                <w:color w:val="1A2B47"/>
                <w:sz w:val="18"/>
                <w:szCs w:val="18"/>
              </w:rPr>
              <w:t xml:space="preserve">Citigroup</w:t>
            </w:r>
          </w:p>
        </w:tc>
        <w:tc>
          <w:tcPr>
            <w:tcW w:type="dxa" w:w="13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bCs/>
                <w:color w:val="222222"/>
                <w:sz w:val="18"/>
                <w:szCs w:val="18"/>
              </w:rPr>
              <w:t xml:space="preserve">DOCU</w:t>
            </w:r>
          </w:p>
        </w:tc>
        <w:tc>
          <w:tcPr>
            <w:tcW w:type="dxa" w:w="1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bCs/>
                <w:color w:val="C62828"/>
                <w:sz w:val="18"/>
                <w:szCs w:val="18"/>
              </w:rPr>
              <w:t xml:space="preserve">Downgrade Neutral</w:t>
            </w:r>
          </w:p>
        </w:tc>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center"/>
            </w:pPr>
            <w:r>
              <w:rPr>
                <w:rFonts w:ascii="Calibri" w:cs="Calibri" w:eastAsia="Calibri" w:hAnsi="Calibri"/>
                <w:b w:val="false"/>
                <w:bCs w:val="false"/>
                <w:color w:val="222222"/>
                <w:sz w:val="18"/>
                <w:szCs w:val="18"/>
              </w:rPr>
              <w:t xml:space="preserve">$50 (from $99)</w:t>
            </w:r>
          </w:p>
        </w:tc>
        <w:tc>
          <w:tcPr>
            <w:tcW w:type="dxa" w:w="29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val="false"/>
                <w:bCs w:val="false"/>
                <w:color w:val="555555"/>
                <w:sz w:val="18"/>
                <w:szCs w:val="18"/>
              </w:rPr>
              <w:t xml:space="preserve">Slower IAM/contract attach; comp pressure.</w:t>
            </w:r>
          </w:p>
        </w:tc>
      </w:tr>
      <w:tr>
        <w:tc>
          <w:tcPr>
            <w:tcW w:type="dxa" w:w="17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left"/>
            </w:pPr>
            <w:r>
              <w:rPr>
                <w:rFonts w:ascii="Calibri" w:cs="Calibri" w:eastAsia="Calibri" w:hAnsi="Calibri"/>
                <w:b/>
                <w:bCs/>
                <w:color w:val="1A2B47"/>
                <w:sz w:val="18"/>
                <w:szCs w:val="18"/>
              </w:rPr>
              <w:t xml:space="preserve">Citigroup</w:t>
            </w:r>
          </w:p>
        </w:tc>
        <w:tc>
          <w:tcPr>
            <w:tcW w:type="dxa" w:w="13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left"/>
            </w:pPr>
            <w:r>
              <w:rPr>
                <w:rFonts w:ascii="Calibri" w:cs="Calibri" w:eastAsia="Calibri" w:hAnsi="Calibri"/>
                <w:b/>
                <w:bCs/>
                <w:color w:val="222222"/>
                <w:sz w:val="18"/>
                <w:szCs w:val="18"/>
              </w:rPr>
              <w:t xml:space="preserve">MSGS</w:t>
            </w:r>
          </w:p>
        </w:tc>
        <w:tc>
          <w:tcPr>
            <w:tcW w:type="dxa" w:w="19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left"/>
            </w:pPr>
            <w:r>
              <w:rPr>
                <w:rFonts w:ascii="Calibri" w:cs="Calibri" w:eastAsia="Calibri" w:hAnsi="Calibri"/>
                <w:b/>
                <w:bCs/>
                <w:color w:val="C62828"/>
                <w:sz w:val="18"/>
                <w:szCs w:val="18"/>
              </w:rPr>
              <w:t xml:space="preserve">Downgrade Neutral</w:t>
            </w:r>
          </w:p>
        </w:tc>
        <w:tc>
          <w:tcPr>
            <w:tcW w:type="dxa" w:w="15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222222"/>
                <w:sz w:val="18"/>
                <w:szCs w:val="18"/>
              </w:rPr>
              <w:t xml:space="preserve">$355</w:t>
            </w:r>
          </w:p>
        </w:tc>
        <w:tc>
          <w:tcPr>
            <w:tcW w:type="dxa" w:w="296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left"/>
            </w:pPr>
            <w:r>
              <w:rPr>
                <w:rFonts w:ascii="Calibri" w:cs="Calibri" w:eastAsia="Calibri" w:hAnsi="Calibri"/>
                <w:b w:val="false"/>
                <w:bCs w:val="false"/>
                <w:color w:val="555555"/>
                <w:sz w:val="18"/>
                <w:szCs w:val="18"/>
              </w:rPr>
              <w:t xml:space="preserve">RSN rights uncertainty; Knicks/Rangers premium full.</w:t>
            </w:r>
          </w:p>
        </w:tc>
      </w:tr>
      <w:tr>
        <w:tc>
          <w:tcPr>
            <w:tcW w:type="dxa" w:w="17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bCs/>
                <w:color w:val="1A2B47"/>
                <w:sz w:val="18"/>
                <w:szCs w:val="18"/>
              </w:rPr>
              <w:t xml:space="preserve">Wells Fargo</w:t>
            </w:r>
          </w:p>
        </w:tc>
        <w:tc>
          <w:tcPr>
            <w:tcW w:type="dxa" w:w="13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bCs/>
                <w:color w:val="222222"/>
                <w:sz w:val="18"/>
                <w:szCs w:val="18"/>
              </w:rPr>
              <w:t xml:space="preserve">BSX</w:t>
            </w:r>
          </w:p>
        </w:tc>
        <w:tc>
          <w:tcPr>
            <w:tcW w:type="dxa" w:w="1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bCs/>
                <w:color w:val="2E7D32"/>
                <w:sz w:val="18"/>
                <w:szCs w:val="18"/>
              </w:rPr>
              <w:t xml:space="preserve">Reit. Overweight</w:t>
            </w:r>
          </w:p>
        </w:tc>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center"/>
            </w:pPr>
            <w:r>
              <w:rPr>
                <w:rFonts w:ascii="Calibri" w:cs="Calibri" w:eastAsia="Calibri" w:hAnsi="Calibri"/>
                <w:b w:val="false"/>
                <w:bCs w:val="false"/>
                <w:color w:val="222222"/>
                <w:sz w:val="18"/>
                <w:szCs w:val="18"/>
              </w:rPr>
              <w:t xml:space="preserve">$75 (from $94)</w:t>
            </w:r>
          </w:p>
        </w:tc>
        <w:tc>
          <w:tcPr>
            <w:tcW w:type="dxa" w:w="29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val="false"/>
                <w:bCs w:val="false"/>
                <w:color w:val="555555"/>
                <w:sz w:val="18"/>
                <w:szCs w:val="18"/>
              </w:rPr>
              <w:t xml:space="preserve">Multiple compression on med-tech rerate.</w:t>
            </w:r>
          </w:p>
        </w:tc>
      </w:tr>
      <w:tr>
        <w:tc>
          <w:tcPr>
            <w:tcW w:type="dxa" w:w="17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left"/>
            </w:pPr>
            <w:r>
              <w:rPr>
                <w:rFonts w:ascii="Calibri" w:cs="Calibri" w:eastAsia="Calibri" w:hAnsi="Calibri"/>
                <w:b/>
                <w:bCs/>
                <w:color w:val="1A2B47"/>
                <w:sz w:val="18"/>
                <w:szCs w:val="18"/>
              </w:rPr>
              <w:t xml:space="preserve">Morgan Stanley</w:t>
            </w:r>
          </w:p>
        </w:tc>
        <w:tc>
          <w:tcPr>
            <w:tcW w:type="dxa" w:w="13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left"/>
            </w:pPr>
            <w:r>
              <w:rPr>
                <w:rFonts w:ascii="Calibri" w:cs="Calibri" w:eastAsia="Calibri" w:hAnsi="Calibri"/>
                <w:b/>
                <w:bCs/>
                <w:color w:val="222222"/>
                <w:sz w:val="18"/>
                <w:szCs w:val="18"/>
              </w:rPr>
              <w:t xml:space="preserve">ORCL</w:t>
            </w:r>
          </w:p>
        </w:tc>
        <w:tc>
          <w:tcPr>
            <w:tcW w:type="dxa" w:w="19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left"/>
            </w:pPr>
            <w:r>
              <w:rPr>
                <w:rFonts w:ascii="Calibri" w:cs="Calibri" w:eastAsia="Calibri" w:hAnsi="Calibri"/>
                <w:b/>
                <w:bCs/>
                <w:color w:val="1A2B47"/>
                <w:sz w:val="18"/>
                <w:szCs w:val="18"/>
              </w:rPr>
              <w:t xml:space="preserve">Equal-Weight</w:t>
            </w:r>
          </w:p>
        </w:tc>
        <w:tc>
          <w:tcPr>
            <w:tcW w:type="dxa" w:w="150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center"/>
            </w:pPr>
            <w:r>
              <w:rPr>
                <w:rFonts w:ascii="Calibri" w:cs="Calibri" w:eastAsia="Calibri" w:hAnsi="Calibri"/>
                <w:b w:val="false"/>
                <w:bCs w:val="false"/>
                <w:color w:val="222222"/>
                <w:sz w:val="18"/>
                <w:szCs w:val="18"/>
              </w:rPr>
              <w:t xml:space="preserve">$207 (from $213)</w:t>
            </w:r>
          </w:p>
        </w:tc>
        <w:tc>
          <w:tcPr>
            <w:tcW w:type="dxa" w:w="2960"/>
            <w:tcBorders>
              <w:top w:val="single" w:color="CCCCCC" w:sz="4"/>
              <w:left w:val="single" w:color="CCCCCC" w:sz="4"/>
              <w:bottom w:val="single" w:color="CCCCCC" w:sz="4"/>
              <w:right w:val="single" w:color="CCCCCC" w:sz="4"/>
            </w:tcBorders>
            <w:shd w:fill="F5F7FA" w:color="auto" w:val="clear"/>
            <w:tcMar>
              <w:top w:type="dxa" w:w="60"/>
              <w:left w:type="dxa" w:w="100"/>
              <w:bottom w:type="dxa" w:w="60"/>
              <w:right w:type="dxa" w:w="100"/>
            </w:tcMar>
          </w:tcPr>
          <w:p>
            <w:pPr>
              <w:spacing w:after="30" w:before="30"/>
              <w:jc w:val="left"/>
            </w:pPr>
            <w:r>
              <w:rPr>
                <w:rFonts w:ascii="Calibri" w:cs="Calibri" w:eastAsia="Calibri" w:hAnsi="Calibri"/>
                <w:b w:val="false"/>
                <w:bCs w:val="false"/>
                <w:color w:val="555555"/>
                <w:sz w:val="18"/>
                <w:szCs w:val="18"/>
              </w:rPr>
              <w:t xml:space="preserve">Stargate/OpenAI exposure rerated post-WSJ.</w:t>
            </w:r>
          </w:p>
        </w:tc>
      </w:tr>
      <w:tr>
        <w:tc>
          <w:tcPr>
            <w:tcW w:type="dxa" w:w="17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bCs/>
                <w:color w:val="1A2B47"/>
                <w:sz w:val="18"/>
                <w:szCs w:val="18"/>
              </w:rPr>
              <w:t xml:space="preserve">Jefferies</w:t>
            </w:r>
          </w:p>
        </w:tc>
        <w:tc>
          <w:tcPr>
            <w:tcW w:type="dxa" w:w="13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bCs/>
                <w:color w:val="222222"/>
                <w:sz w:val="18"/>
                <w:szCs w:val="18"/>
              </w:rPr>
              <w:t xml:space="preserve">LVS</w:t>
            </w:r>
          </w:p>
        </w:tc>
        <w:tc>
          <w:tcPr>
            <w:tcW w:type="dxa" w:w="1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bCs/>
                <w:color w:val="C62828"/>
                <w:sz w:val="18"/>
                <w:szCs w:val="18"/>
              </w:rPr>
              <w:t xml:space="preserve">Downgrade Hold</w:t>
            </w:r>
          </w:p>
        </w:tc>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center"/>
            </w:pPr>
            <w:r>
              <w:rPr>
                <w:rFonts w:ascii="Calibri" w:cs="Calibri" w:eastAsia="Calibri" w:hAnsi="Calibri"/>
                <w:b w:val="false"/>
                <w:bCs w:val="false"/>
                <w:color w:val="222222"/>
                <w:sz w:val="18"/>
                <w:szCs w:val="18"/>
              </w:rPr>
              <w:t xml:space="preserve">$61 (from $72)</w:t>
            </w:r>
          </w:p>
        </w:tc>
        <w:tc>
          <w:tcPr>
            <w:tcW w:type="dxa" w:w="29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30" w:before="30"/>
              <w:jc w:val="left"/>
            </w:pPr>
            <w:r>
              <w:rPr>
                <w:rFonts w:ascii="Calibri" w:cs="Calibri" w:eastAsia="Calibri" w:hAnsi="Calibri"/>
                <w:b w:val="false"/>
                <w:bCs w:val="false"/>
                <w:color w:val="555555"/>
                <w:sz w:val="18"/>
                <w:szCs w:val="18"/>
              </w:rPr>
              <w:t xml:space="preserve">Macao mass-market deceleration; VIP softer.</w:t>
            </w:r>
          </w:p>
        </w:tc>
      </w:tr>
    </w:tbl>
    <w:p>
      <w:pPr>
        <w:spacing w:after="80" w:before="60"/>
      </w:pPr>
      <w:r>
        <w:rPr>
          <w:rFonts w:ascii="Calibri" w:cs="Calibri" w:eastAsia="Calibri" w:hAnsi="Calibri"/>
          <w:b/>
          <w:bCs/>
          <w:caps/>
          <w:color w:val="B8860B"/>
          <w:sz w:val="18"/>
          <w:szCs w:val="18"/>
        </w:rPr>
        <w:t xml:space="preserve">§ 9 — Stocks to Watch</w:t>
      </w:r>
    </w:p>
    <w:p>
      <w:pPr>
        <w:pStyle w:val="Heading1"/>
        <w:spacing w:after="160" w:before="320"/>
      </w:pPr>
      <w:r>
        <w:rPr>
          <w:rFonts w:ascii="Calibri" w:cs="Calibri" w:eastAsia="Calibri" w:hAnsi="Calibri"/>
          <w:b/>
          <w:bCs/>
          <w:color w:val="1A2B47"/>
          <w:sz w:val="32"/>
          <w:szCs w:val="32"/>
        </w:rPr>
        <w:t xml:space="preserve">Stocks to Watch</w:t>
      </w:r>
    </w:p>
    <w:p>
      <w:pPr>
        <w:spacing w:after="80" w:before="160"/>
      </w:pPr>
      <w:r>
        <w:rPr>
          <w:rFonts w:ascii="Calibri" w:cs="Calibri" w:eastAsia="Calibri" w:hAnsi="Calibri"/>
          <w:b/>
          <w:bCs/>
          <w:color w:val="1A2B47"/>
          <w:sz w:val="24"/>
          <w:szCs w:val="24"/>
        </w:rPr>
        <w:t xml:space="preserve">Nvidia (NVDA) — The OpenAI Read-Through</w:t>
      </w:r>
    </w:p>
    <w:p>
      <w:pPr>
        <w:spacing w:after="100" w:before="100" w:line="300"/>
        <w:jc w:val="both"/>
      </w:pPr>
      <w:r>
        <w:rPr>
          <w:rFonts w:ascii="Calibri" w:cs="Calibri" w:eastAsia="Calibri" w:hAnsi="Calibri"/>
          <w:sz w:val="22"/>
          <w:szCs w:val="22"/>
        </w:rPr>
        <w:t xml:space="preserve">NVDA closed Monday at $148.20, down 3.1% on the OpenAI WSJ headline, and futures point to another 1.5–2% leg lower at the open. The stock is now ~9% off its all-time high of $163, and the technical picture is at a critical juncture: the 50-day moving average sits at $146.40, with the 200-day at $134.80. A close below $146 invites mean-reversion to the 200-day — a further 8% downside. Implied vol on the May expiry is at 41% (vs. 32% one month ago), and the put/call ratio has flipped above 1.0 for the first time in three months. The decisive moment comes Wednesday night with hyperscaler capex guidance from Microsoft and Alphabet.</w:t>
      </w:r>
    </w:p>
    <w:p>
      <w:pPr>
        <w:spacing w:after="80" w:before="160"/>
      </w:pPr>
      <w:r>
        <w:rPr>
          <w:rFonts w:ascii="Calibri" w:cs="Calibri" w:eastAsia="Calibri" w:hAnsi="Calibri"/>
          <w:b/>
          <w:bCs/>
          <w:color w:val="1A2B47"/>
          <w:sz w:val="24"/>
          <w:szCs w:val="24"/>
        </w:rPr>
        <w:t xml:space="preserve">Visa (V) — Tonight's Tape Test for Payments</w:t>
      </w:r>
    </w:p>
    <w:p>
      <w:pPr>
        <w:spacing w:after="100" w:before="100" w:line="300"/>
        <w:jc w:val="both"/>
      </w:pPr>
      <w:r>
        <w:rPr>
          <w:rFonts w:ascii="Calibri" w:cs="Calibri" w:eastAsia="Calibri" w:hAnsi="Calibri"/>
          <w:sz w:val="22"/>
          <w:szCs w:val="22"/>
        </w:rPr>
        <w:t xml:space="preserve">Visa reports after the close at 5pm ET, and the print matters well beyond the company itself. Cross-border volume is the cleanest leading indicator of global discretionary travel, which has been cited (in opposing directions) by credit-card issuers, hotel REITs, and online travel platforms over the past two weeks. Consensus is +14% constant-currency cross-border and +9.5% total payments volume. Options imply a 3.4% move; the stock has averaged a 1.1% absolute move on the last four prints, so a positioning unwind is set up either way. Key levels: support at $295, resistance at $320. A clean beat with cross-border above 15% likely sends financials to a fresh relative high.</w:t>
      </w:r>
    </w:p>
    <w:p>
      <w:pPr>
        <w:spacing w:after="80" w:before="160"/>
      </w:pPr>
      <w:r>
        <w:rPr>
          <w:rFonts w:ascii="Calibri" w:cs="Calibri" w:eastAsia="Calibri" w:hAnsi="Calibri"/>
          <w:b/>
          <w:bCs/>
          <w:color w:val="1A2B47"/>
          <w:sz w:val="24"/>
          <w:szCs w:val="24"/>
        </w:rPr>
        <w:t xml:space="preserve">Exxon Mobil (XOM) — The UAE/Hormuz Beneficiary</w:t>
      </w:r>
    </w:p>
    <w:p>
      <w:pPr>
        <w:spacing w:after="100" w:before="100" w:line="300"/>
        <w:jc w:val="both"/>
      </w:pPr>
      <w:r>
        <w:rPr>
          <w:rFonts w:ascii="Calibri" w:cs="Calibri" w:eastAsia="Calibri" w:hAnsi="Calibri"/>
          <w:sz w:val="22"/>
          <w:szCs w:val="22"/>
        </w:rPr>
        <w:t xml:space="preserve">With Brent at $111 and the UAE leaving OPEC effective May 1, integrated majors look attractively positioned for the next 4–6 weeks. Exxon trades at $128 with a 3.4% dividend yield, $42 of estimated free cash flow per share at $100 oil and a clean balance sheet. The Friday earnings print is expected to show $2.42 EPS on $94B revenue. The upstream-downstream balance of XOM's portfolio means even if oil eventually corrects, refining margins benefit from sustained Hormuz disruption. Technical setup: stock has broken out above $125 resistance, with $135 as the next visible level. Positioning is clean — short interest is just 1.2% of float.</w:t>
      </w:r>
    </w:p>
    <w:p>
      <w:pPr>
        <w:spacing w:after="80" w:before="160"/>
      </w:pPr>
      <w:r>
        <w:rPr>
          <w:rFonts w:ascii="Calibri" w:cs="Calibri" w:eastAsia="Calibri" w:hAnsi="Calibri"/>
          <w:b/>
          <w:bCs/>
          <w:color w:val="1A2B47"/>
          <w:sz w:val="24"/>
          <w:szCs w:val="24"/>
        </w:rPr>
        <w:t xml:space="preserve">Tesla (TSLA) — Already Reported, Now All About Capex</w:t>
      </w:r>
    </w:p>
    <w:p>
      <w:pPr>
        <w:spacing w:after="100" w:before="100" w:line="300"/>
        <w:jc w:val="both"/>
      </w:pPr>
      <w:r>
        <w:rPr>
          <w:rFonts w:ascii="Calibri" w:cs="Calibri" w:eastAsia="Calibri" w:hAnsi="Calibri"/>
          <w:sz w:val="22"/>
          <w:szCs w:val="22"/>
        </w:rPr>
        <w:t xml:space="preserve">Tesla reported Q1 last week — beat on EPS at 41 cents (vs. 37 expected) but missed revenue at $22.39B (vs. $22.64B). The stock has been stuck in a $245–$265 range for the past two weeks, and Wednesday's hyperscaler capex prints matter for Tesla too: Dojo and the broader 'AI factory' narrative have become a bigger share of the bull case than vehicle deliveries. Watch $245 as the technical line in the sand; a break invites the 200-day at $232. On the upside, $268 gets the stock back to its 50-day. Robotaxi commentary at next month's analyst day is now a more important catalyst than Q2 deliveries.</w:t>
      </w:r>
    </w:p>
    <w:p>
      <w:pPr>
        <w:spacing w:after="80" w:before="60"/>
      </w:pPr>
      <w:r>
        <w:rPr>
          <w:rFonts w:ascii="Calibri" w:cs="Calibri" w:eastAsia="Calibri" w:hAnsi="Calibri"/>
          <w:b/>
          <w:bCs/>
          <w:caps/>
          <w:color w:val="B8860B"/>
          <w:sz w:val="18"/>
          <w:szCs w:val="18"/>
        </w:rPr>
        <w:t xml:space="preserve">§ 10 — Global Macro Snapshot</w:t>
      </w:r>
    </w:p>
    <w:p>
      <w:pPr>
        <w:pStyle w:val="Heading1"/>
        <w:spacing w:after="160" w:before="320"/>
      </w:pPr>
      <w:r>
        <w:rPr>
          <w:rFonts w:ascii="Calibri" w:cs="Calibri" w:eastAsia="Calibri" w:hAnsi="Calibri"/>
          <w:b/>
          <w:bCs/>
          <w:color w:val="1A2B47"/>
          <w:sz w:val="32"/>
          <w:szCs w:val="32"/>
        </w:rPr>
        <w:t xml:space="preserve">Global Macro Snapshot</w:t>
      </w:r>
    </w:p>
    <w:p>
      <w:pPr>
        <w:spacing w:after="100" w:before="100" w:line="300"/>
        <w:jc w:val="both"/>
      </w:pPr>
      <w:r>
        <w:rPr>
          <w:rFonts w:ascii="Calibri" w:cs="Calibri" w:eastAsia="Calibri" w:hAnsi="Calibri"/>
          <w:b/>
          <w:bCs/>
          <w:sz w:val="22"/>
          <w:szCs w:val="22"/>
        </w:rPr>
        <w:t xml:space="preserve">China: </w:t>
      </w:r>
      <w:r>
        <w:rPr>
          <w:rFonts w:ascii="Calibri" w:cs="Calibri" w:eastAsia="Calibri" w:hAnsi="Calibri"/>
          <w:sz w:val="22"/>
          <w:szCs w:val="22"/>
        </w:rPr>
        <w:t xml:space="preserve">Industrial profits jumped 15.8% year-over-year in March, the strongest reading in eighteen months, but the composition was dominated by upstream energy and metals — i.e., a price-driven beat, not a volume-driven one. Property remains a drag, with new home prices in 70 cities still negative on a year-over-year basis, and the PBoC continues to manage the offshore yuan in a tight 7.18 band. Watch the May Politburo meeting for any incremental fiscal pivot. </w:t>
      </w:r>
      <w:r>
        <w:rPr>
          <w:rFonts w:ascii="Calibri" w:cs="Calibri" w:eastAsia="Calibri" w:hAnsi="Calibri"/>
          <w:b/>
          <w:bCs/>
          <w:sz w:val="22"/>
          <w:szCs w:val="22"/>
        </w:rPr>
        <w:t xml:space="preserve">Europe: </w:t>
      </w:r>
      <w:r>
        <w:rPr>
          <w:rFonts w:ascii="Calibri" w:cs="Calibri" w:eastAsia="Calibri" w:hAnsi="Calibri"/>
          <w:sz w:val="22"/>
          <w:szCs w:val="22"/>
        </w:rPr>
        <w:t xml:space="preserve">The ECB meets Thursday with consensus calling for a hold at 2.50%, but Lagarde's commentary on the Iran-driven energy shock could be hawkish at the margin. Eurozone March CPI flash printed +2.4% headline, +2.6% core. Barclays beat this morning (£2.81B Q1 pretax profit, £500M buyback) — a useful read on UK consumer credit health. </w:t>
      </w:r>
      <w:r>
        <w:rPr>
          <w:rFonts w:ascii="Calibri" w:cs="Calibri" w:eastAsia="Calibri" w:hAnsi="Calibri"/>
          <w:b/>
          <w:bCs/>
          <w:sz w:val="22"/>
          <w:szCs w:val="22"/>
        </w:rPr>
        <w:t xml:space="preserve">EM: </w:t>
      </w:r>
      <w:r>
        <w:rPr>
          <w:rFonts w:ascii="Calibri" w:cs="Calibri" w:eastAsia="Calibri" w:hAnsi="Calibri"/>
          <w:sz w:val="22"/>
          <w:szCs w:val="22"/>
        </w:rPr>
        <w:t xml:space="preserve">Brazil's CDS has tightened 35 basis points this week as fiscal headlines moderate; the real has rallied to 5.65/USD. India's nifty made another all-time high overnight on financials strength. Turkey's lira is stable around 38.50 ahead of Friday's CPI. The clean EM trade for the next month: long INR/JPY, short ZAR/USD, given the relative carry profile.</w:t>
      </w:r>
    </w:p>
    <w:p>
      <w:pPr>
        <w:spacing w:after="80" w:before="60"/>
      </w:pPr>
      <w:r>
        <w:rPr>
          <w:rFonts w:ascii="Calibri" w:cs="Calibri" w:eastAsia="Calibri" w:hAnsi="Calibri"/>
          <w:b/>
          <w:bCs/>
          <w:caps/>
          <w:color w:val="B8860B"/>
          <w:sz w:val="18"/>
          <w:szCs w:val="18"/>
        </w:rPr>
        <w:t xml:space="preserve">§ 11 — Week Ahead Preview</w:t>
      </w:r>
    </w:p>
    <w:p>
      <w:pPr>
        <w:pStyle w:val="Heading1"/>
        <w:spacing w:after="160" w:before="320"/>
      </w:pPr>
      <w:r>
        <w:rPr>
          <w:rFonts w:ascii="Calibri" w:cs="Calibri" w:eastAsia="Calibri" w:hAnsi="Calibri"/>
          <w:b/>
          <w:bCs/>
          <w:color w:val="1A2B47"/>
          <w:sz w:val="32"/>
          <w:szCs w:val="32"/>
        </w:rPr>
        <w:t xml:space="preserve">Week Ahead Preview</w:t>
      </w:r>
    </w:p>
    <w:p>
      <w:pPr>
        <w:spacing w:after="100" w:before="100" w:line="300"/>
        <w:jc w:val="both"/>
      </w:pPr>
      <w:r>
        <w:rPr>
          <w:rFonts w:ascii="Calibri" w:cs="Calibri" w:eastAsia="Calibri" w:hAnsi="Calibri"/>
          <w:b/>
          <w:bCs/>
          <w:sz w:val="22"/>
          <w:szCs w:val="22"/>
        </w:rPr>
        <w:t xml:space="preserve">Wednesday, April 29: </w:t>
      </w:r>
      <w:r>
        <w:rPr>
          <w:rFonts w:ascii="Calibri" w:cs="Calibri" w:eastAsia="Calibri" w:hAnsi="Calibri"/>
          <w:sz w:val="22"/>
          <w:szCs w:val="22"/>
        </w:rPr>
        <w:t xml:space="preserve">FOMC decision (2pm) and Powell press conference (2:30pm) — the marquee event. Q1 advance GDP at 8:30am (cons. +1.4%). Earnings tsunami after the close: Microsoft, Alphabet, Meta, Amazon, plus Stryker and SoFi. </w:t>
      </w:r>
    </w:p>
    <w:p>
      <w:pPr>
        <w:spacing w:after="100" w:before="100" w:line="300"/>
        <w:jc w:val="both"/>
      </w:pPr>
      <w:r>
        <w:rPr>
          <w:rFonts w:ascii="Calibri" w:cs="Calibri" w:eastAsia="Calibri" w:hAnsi="Calibri"/>
          <w:b/>
          <w:bCs/>
          <w:sz w:val="22"/>
          <w:szCs w:val="22"/>
        </w:rPr>
        <w:t xml:space="preserve">Thursday, April 30: </w:t>
      </w:r>
      <w:r>
        <w:rPr>
          <w:rFonts w:ascii="Calibri" w:cs="Calibri" w:eastAsia="Calibri" w:hAnsi="Calibri"/>
          <w:sz w:val="22"/>
          <w:szCs w:val="22"/>
        </w:rPr>
        <w:t xml:space="preserve">ECB rate decision (8:15am ET, hold expected). U.S. core PCE for March (8:30am, cons. +2.7%). Initial jobless claims. Apple reports after the close, with iPhone services growth and AI-PC color the focus. Amazon's AWS commentary will already have set the bar. </w:t>
      </w:r>
    </w:p>
    <w:p>
      <w:pPr>
        <w:spacing w:after="100" w:before="100" w:line="300"/>
        <w:jc w:val="both"/>
      </w:pPr>
      <w:r>
        <w:rPr>
          <w:rFonts w:ascii="Calibri" w:cs="Calibri" w:eastAsia="Calibri" w:hAnsi="Calibri"/>
          <w:b/>
          <w:bCs/>
          <w:sz w:val="22"/>
          <w:szCs w:val="22"/>
        </w:rPr>
        <w:t xml:space="preserve">Friday, May 1: </w:t>
      </w:r>
      <w:r>
        <w:rPr>
          <w:rFonts w:ascii="Calibri" w:cs="Calibri" w:eastAsia="Calibri" w:hAnsi="Calibri"/>
          <w:sz w:val="22"/>
          <w:szCs w:val="22"/>
        </w:rPr>
        <w:t xml:space="preserve">Nonfarm payrolls (8:30am, cons. +135k, U-rate 4.4%) — likely the most market-moving print of the week if it surprises in either direction. ISM Manufacturing at 10am (cons. 49.4) provides the manufacturing pulse. Exxon and Chevron report pre-bell. UAE's exit from OPEC technically takes effect today. </w:t>
      </w:r>
    </w:p>
    <w:p>
      <w:pPr>
        <w:spacing w:after="100" w:before="100" w:line="300"/>
        <w:jc w:val="both"/>
      </w:pPr>
      <w:r>
        <w:rPr>
          <w:rFonts w:ascii="Calibri" w:cs="Calibri" w:eastAsia="Calibri" w:hAnsi="Calibri"/>
          <w:b/>
          <w:bCs/>
          <w:sz w:val="22"/>
          <w:szCs w:val="22"/>
        </w:rPr>
        <w:t xml:space="preserve">Geopolitical: </w:t>
      </w:r>
      <w:r>
        <w:rPr>
          <w:rFonts w:ascii="Calibri" w:cs="Calibri" w:eastAsia="Calibri" w:hAnsi="Calibri"/>
          <w:sz w:val="22"/>
          <w:szCs w:val="22"/>
        </w:rPr>
        <w:t xml:space="preserve">Iran's response to Trump's pushback on the Hormuz proposal could come at any point this week; the U.S. naval blockade remains in place, and any incremental deterioration would push Brent toward $120. Iranian foreign minister travel to Pakistan and Russia continues. The Chinese Politburo is reportedly meeting later this week to assess fiscal options.</w:t>
      </w:r>
    </w:p>
    <w:p>
      <w:pPr>
        <w:spacing w:after="80" w:before="60"/>
      </w:pPr>
      <w:r>
        <w:rPr>
          <w:rFonts w:ascii="Calibri" w:cs="Calibri" w:eastAsia="Calibri" w:hAnsi="Calibri"/>
          <w:b/>
          <w:bCs/>
          <w:caps/>
          <w:color w:val="B8860B"/>
          <w:sz w:val="18"/>
          <w:szCs w:val="18"/>
        </w:rPr>
        <w:t xml:space="preserve">§ 12 — Closing Thought</w:t>
      </w:r>
    </w:p>
    <w:p>
      <w:pPr>
        <w:pStyle w:val="Heading1"/>
        <w:spacing w:after="160" w:before="320"/>
      </w:pPr>
      <w:r>
        <w:rPr>
          <w:rFonts w:ascii="Calibri" w:cs="Calibri" w:eastAsia="Calibri" w:hAnsi="Calibri"/>
          <w:b/>
          <w:bCs/>
          <w:color w:val="1A2B47"/>
          <w:sz w:val="32"/>
          <w:szCs w:val="32"/>
        </w:rPr>
        <w:t xml:space="preserve">Closing Thought: The Risk Nobody Is Pricing</w:t>
      </w:r>
    </w:p>
    <w:p>
      <w:pPr>
        <w:spacing w:after="100" w:before="100" w:line="300"/>
        <w:jc w:val="both"/>
      </w:pPr>
      <w:r>
        <w:rPr>
          <w:rFonts w:ascii="Calibri" w:cs="Calibri" w:eastAsia="Calibri" w:hAnsi="Calibri"/>
          <w:sz w:val="22"/>
          <w:szCs w:val="22"/>
        </w:rPr>
        <w:t xml:space="preserve">Here is the contrarian read. With the S&amp;P 500 at 7,174 and trading 22.4× forward earnings, with the VIX at 18 and credit spreads near 25-year tights, the consensus narrative is that AI capex underwrites earnings, the Fed has the patience to hold, and the Iran conflict is contained. Each of those propositions is simultaneously true and conditional. The risk markets are not pricing is the correlation between them: an OpenAI-driven AI capex stumble combined with a Fed that cannot cut because of a $111 oil shock combined with a tariff-driven Q2 inventory drawdown. None of those scenarios alone breaks the tape. All three together get you to a 12–15% drawdown in a hurry.</w:t>
      </w:r>
    </w:p>
    <w:p>
      <w:pPr>
        <w:pBdr>
          <w:left w:val="single" w:color="B8860B" w:sz="18" w:space="12"/>
        </w:pBdr>
        <w:spacing w:after="120" w:before="120" w:line="320"/>
        <w:ind w:left="360" w:right="360"/>
      </w:pPr>
      <w:r>
        <w:rPr>
          <w:rFonts w:ascii="Calibri" w:cs="Calibri" w:eastAsia="Calibri" w:hAnsi="Calibri"/>
          <w:i/>
          <w:iCs/>
          <w:color w:val="555555"/>
          <w:sz w:val="22"/>
          <w:szCs w:val="22"/>
        </w:rPr>
        <w:t xml:space="preserve">"Records are made for breaking. So are narratives. The question this morning is which one breaks first."</w:t>
      </w:r>
    </w:p>
    <w:p>
      <w:pPr>
        <w:spacing w:after="100" w:before="100" w:line="300"/>
        <w:jc w:val="both"/>
      </w:pPr>
      <w:r>
        <w:rPr>
          <w:rFonts w:ascii="Calibri" w:cs="Calibri" w:eastAsia="Calibri" w:hAnsi="Calibri"/>
          <w:sz w:val="22"/>
          <w:szCs w:val="22"/>
        </w:rPr>
        <w:t xml:space="preserve">That's not our base case. The base case is that Powell sounds dovish enough on Wednesday to keep the bull steepener alive, that Microsoft and Alphabet produce capex commentary firm enough to anchor semis, and that Brent eases back toward $95 within four weeks. But the asymmetry of returns at these levels argues for at least some hedges — call spreads on the VIX, a short SOX position against long Energy, or simply moving up the quality curve in equity. The market is priced for a soft landing into a Fed pivot. Reality, as always, will be more textured.</w:t>
      </w:r>
    </w:p>
    <w:p>
      <w:pPr>
        <w:pBdr>
          <w:bottom w:val="single" w:color="B8860B" w:sz="6" w:space="1"/>
        </w:pBdr>
        <w:spacing w:after="40" w:before="40"/>
      </w:pPr>
    </w:p>
    <w:p>
      <w:pPr>
        <w:spacing w:after="80" w:before="200"/>
      </w:pPr>
      <w:r>
        <w:rPr>
          <w:rFonts w:ascii="Calibri" w:cs="Calibri" w:eastAsia="Calibri" w:hAnsi="Calibri"/>
          <w:color w:val="555555"/>
          <w:sz w:val="18"/>
          <w:szCs w:val="18"/>
        </w:rPr>
        <w:t xml:space="preserve">Compiled at 9:30 AM ET, Tuesday, April 28, 2026  ·  </w:t>
      </w:r>
      <w:r>
        <w:rPr>
          <w:rFonts w:ascii="Calibri" w:cs="Calibri" w:eastAsia="Calibri" w:hAnsi="Calibri"/>
          <w:i/>
          <w:iCs/>
          <w:color w:val="555555"/>
          <w:sz w:val="18"/>
          <w:szCs w:val="18"/>
        </w:rPr>
        <w:t xml:space="preserve">Sources: </w:t>
      </w:r>
      <w:r>
        <w:rPr>
          <w:rFonts w:ascii="Calibri" w:cs="Calibri" w:eastAsia="Calibri" w:hAnsi="Calibri"/>
          <w:color w:val="555555"/>
          <w:sz w:val="18"/>
          <w:szCs w:val="18"/>
        </w:rPr>
        <w:t xml:space="preserve">CNBC, Reuters/WSJ, Bloomberg, Yahoo Finance, Conference Board, U.S. Treasury, ICE BofA, FRED, BLS, BEA, Nasdaq, Boeing IR, CME FedWatch, OPEC, S&amp;P CoreLogic.</w:t>
      </w:r>
    </w:p>
    <w:p>
      <w:pPr>
        <w:spacing w:after="60" w:before="60"/>
      </w:pPr>
      <w:r>
        <w:rPr>
          <w:rFonts w:ascii="Calibri" w:cs="Calibri" w:eastAsia="Calibri" w:hAnsi="Calibri"/>
          <w:i/>
          <w:iCs/>
          <w:color w:val="555555"/>
          <w:sz w:val="16"/>
          <w:szCs w:val="16"/>
        </w:rPr>
        <w:t xml:space="preserve">Editorial note: This brief is a synthesis of public reporting and is intended for informational purposes only. It is not investment advice. Forward-looking statements reflect known risks; actual results may differ materially.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6"/>
        <w:szCs w:val="16"/>
      </w:rPr>
      <w:t xml:space="preserve">— Page </w:t>
    </w:r>
    <w:r>
      <w:rPr>
        <w:rFonts w:ascii="Calibri" w:cs="Calibri" w:eastAsia="Calibri" w:hAnsi="Calibri"/>
        <w:color w:val="555555"/>
        <w:sz w:val="16"/>
        <w:szCs w:val="16"/>
      </w:rPr>
      <w:fldChar w:fldCharType="begin"/>
      <w:instrText xml:space="preserve">PAGE</w:instrText>
      <w:fldChar w:fldCharType="separate"/>
      <w:fldChar w:fldCharType="end"/>
    </w:r>
    <w:r>
      <w:rPr>
        <w:rFonts w:ascii="Calibri" w:cs="Calibri" w:eastAsia="Calibri" w:hAnsi="Calibri"/>
        <w:color w:val="555555"/>
        <w:sz w:val="16"/>
        <w:szCs w:val="16"/>
      </w:rPr>
      <w:t xml:space="preserve"> of </w:t>
    </w:r>
    <w:r>
      <w:rPr>
        <w:rFonts w:ascii="Calibri" w:cs="Calibri" w:eastAsia="Calibri" w:hAnsi="Calibri"/>
        <w:color w:val="555555"/>
        <w:sz w:val="16"/>
        <w:szCs w:val="16"/>
      </w:rPr>
      <w:fldChar w:fldCharType="begin"/>
      <w:instrText xml:space="preserve">NUMPAGES</w:instrText>
      <w:fldChar w:fldCharType="separate"/>
      <w:fldChar w:fldCharType="end"/>
    </w:r>
    <w:r>
      <w:rPr>
        <w:rFonts w:ascii="Calibri" w:cs="Calibri" w:eastAsia="Calibri" w:hAnsi="Calibri"/>
        <w:color w:val="555555"/>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55555"/>
        <w:sz w:val="16"/>
        <w:szCs w:val="16"/>
      </w:rPr>
      <w:t xml:space="preserve">The Morning Brief  |  04.28.26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A2B47"/>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A2B4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2026-04-28T16:49:37.202Z</dcterms:created>
  <dcterms:modified xsi:type="dcterms:W3CDTF">2026-04-28T16:49:37.202Z</dcterms:modified>
</cp:coreProperties>
</file>

<file path=docProps/custom.xml><?xml version="1.0" encoding="utf-8"?>
<Properties xmlns="http://schemas.openxmlformats.org/officeDocument/2006/custom-properties" xmlns:vt="http://schemas.openxmlformats.org/officeDocument/2006/docPropsVTypes"/>
</file>