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color w:val="0A2540"/>
          <w:sz w:val="44"/>
          <w:szCs w:val="44"/>
        </w:rPr>
        <w:t xml:space="preserve">DAILY FINANCIAL BRIEF</w:t>
      </w:r>
    </w:p>
    <w:p>
      <w:pPr>
        <w:spacing w:after="40"/>
        <w:jc w:val="center"/>
      </w:pPr>
      <w:r>
        <w:rPr>
          <w:rFonts w:ascii="Calibri" w:cs="Calibri" w:eastAsia="Calibri" w:hAnsi="Calibri"/>
          <w:i/>
          <w:iCs/>
          <w:color w:val="C5A572"/>
          <w:sz w:val="22"/>
          <w:szCs w:val="22"/>
        </w:rPr>
        <w:t xml:space="preserve">Friday, May 1, 2026  |  Markets Edition  |  9:30 AM EST</w:t>
      </w:r>
    </w:p>
    <w:p>
      <w:pPr>
        <w:pBdr>
          <w:bottom w:val="single" w:color="C5A572" w:sz="18" w:space="4"/>
        </w:pBdr>
        <w:spacing w:after="240"/>
      </w:pPr>
    </w:p>
    <w:p>
      <w:pPr>
        <w:pStyle w:val="Heading1"/>
        <w:pBdr>
          <w:bottom w:val="single" w:color="C5A572" w:sz="12" w:space="4"/>
        </w:pBdr>
        <w:spacing w:after="180" w:before="240"/>
      </w:pPr>
      <w:r>
        <w:rPr>
          <w:rFonts w:ascii="Georgia" w:cs="Georgia" w:eastAsia="Georgia" w:hAnsi="Georgia"/>
          <w:b/>
          <w:bCs/>
          <w:color w:val="0A2540"/>
          <w:sz w:val="36"/>
          <w:szCs w:val="36"/>
        </w:rPr>
        <w:t xml:space="preserve">1. The Morning Setup</w:t>
      </w:r>
    </w:p>
    <w:p>
      <w:pPr>
        <w:spacing w:after="120" w:before="0" w:line="300"/>
      </w:pPr>
      <w:r>
        <w:rPr>
          <w:rFonts w:ascii="Calibri" w:cs="Calibri" w:eastAsia="Calibri" w:hAnsi="Calibri"/>
          <w:b w:val="false"/>
          <w:bCs w:val="false"/>
          <w:i w:val="false"/>
          <w:iCs w:val="false"/>
          <w:color w:val="1A1A1A"/>
          <w:sz w:val="22"/>
          <w:szCs w:val="22"/>
        </w:rPr>
        <w:t xml:space="preserve">Wall Street wakes up Friday cautiously optimistic after a month for the record books, even as the war premium in oil and a Fed that just dug in its heels keep the bears within hailing distance. The S&amp;P 500 closed Thursday at 7,209.01 — its first finish above 7,200 — capping a 6% rally for April, the index's strongest month since 2020. The Nasdaq Composite added 0.9% to 24,892.31, the Dow surged 790 points (+1.6%) to 49,652.14, and the Russell 2000 led the tape with a 2.1% pop, brushing 2,800 for the first time this cycle. Apple's after-hours blowout ($111.2 billion in revenue, +17%) is doing the heavy lifting in pre-market: Dow futures are up 130 points, S&amp;P 500 futures are 0.1% higher, and the Nasdaq 100 is hovering near the flatline with AAPL +3%.</w:t>
      </w:r>
    </w:p>
    <w:p>
      <w:pPr>
        <w:spacing w:after="120" w:before="0" w:line="300"/>
      </w:pPr>
      <w:r>
        <w:rPr>
          <w:rFonts w:ascii="Calibri" w:cs="Calibri" w:eastAsia="Calibri" w:hAnsi="Calibri"/>
          <w:b w:val="false"/>
          <w:bCs w:val="false"/>
          <w:i w:val="false"/>
          <w:iCs w:val="false"/>
          <w:color w:val="1A1A1A"/>
          <w:sz w:val="22"/>
          <w:szCs w:val="22"/>
        </w:rPr>
        <w:t xml:space="preserve">But the optimism comes with a heavy asterisk. Brent crude is still trading around $110, the U.S. naval blockade of Iranian ports stretches into a 19th day, and a hawkishly divided FOMC has just told the market in no uncertain terms that the easing cycle markets had penciled in for summer is no sure thing. Three Fed officials publicly objected to inserting an easing bias into Wednesday's statement — the most contentious dissent since 1992. Today brings ISM Manufacturing PMI, the start of a packed earnings flurry from Exxon and Chevron, and the first trading day of May. The question for May: can the rally keep running if oil refuses to come down and the Fed refuses to cut?</w:t>
      </w:r>
    </w:p>
    <w:p>
      <w:pPr>
        <w:pStyle w:val="Heading1"/>
        <w:pBdr>
          <w:bottom w:val="single" w:color="C5A572" w:sz="12" w:space="4"/>
        </w:pBdr>
        <w:spacing w:after="180" w:before="240"/>
      </w:pPr>
      <w:r>
        <w:rPr>
          <w:rFonts w:ascii="Georgia" w:cs="Georgia" w:eastAsia="Georgia" w:hAnsi="Georgia"/>
          <w:b/>
          <w:bCs/>
          <w:color w:val="0A2540"/>
          <w:sz w:val="36"/>
          <w:szCs w:val="36"/>
        </w:rPr>
        <w:t xml:space="preserve">2. Markets at a Glance</w:t>
      </w:r>
    </w:p>
    <w:p>
      <w:pPr>
        <w:spacing w:after="120" w:before="0" w:line="300"/>
      </w:pPr>
      <w:r>
        <w:rPr>
          <w:rFonts w:ascii="Calibri" w:cs="Calibri" w:eastAsia="Calibri" w:hAnsi="Calibri"/>
          <w:i/>
          <w:iCs/>
          <w:color w:val="667085"/>
          <w:sz w:val="18"/>
          <w:szCs w:val="18"/>
        </w:rPr>
        <w:t xml:space="preserve">Levels as of pre-market 8:30 AM ET, 5/1/2026. Prior closes are 4/30/2026.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Asset</w:t>
            </w:r>
          </w:p>
        </w:tc>
        <w:tc>
          <w:tcPr>
            <w:tcW w:type="dxa" w:w="208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Level</w:t>
            </w:r>
          </w:p>
        </w:tc>
        <w:tc>
          <w:tcPr>
            <w:tcW w:type="dxa" w:w="208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Chg</w:t>
            </w:r>
          </w:p>
        </w:tc>
        <w:tc>
          <w:tcPr>
            <w:tcW w:type="dxa" w:w="20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 Chg</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S&amp;P 500 futures (Jun)</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7,253.00</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+9.25</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+0.13%</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Nasdaq 100 futures (Jun)</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27,548.75</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-47.25</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-0.17%</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Dow futures (Jun)</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49,965</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+130</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+0.26%</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Russell 2000 futures (Jun)</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2,805</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+8</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+0.29%</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S&amp;P 500 (4/30 close)</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7,209.01</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+73.06</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+1.02%</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Nasdaq Composite (4/30)</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24,892.31</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+219.07</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+0.89%</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Dow Jones Industrial (4/30)</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49,652.14</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+790.33</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+1.62%</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Russell 2000 (4/30)</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~2,798</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+58</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+2.14%</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VIX (4/30)</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18.92</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-0.72</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-3.7%</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Nikkei 225 (Tokyo)</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59,513.12</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+225</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+0.38%</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Topix (Tokyo)</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3,728.73</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+1.5</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+0.04%</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Hang Seng / CSI 300</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Closed — Labour Day</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667085"/>
                <w:sz w:val="20"/>
                <w:szCs w:val="20"/>
              </w:rPr>
              <w:t xml:space="preserve">—</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667085"/>
                <w:sz w:val="20"/>
                <w:szCs w:val="20"/>
              </w:rPr>
              <w:t xml:space="preserve">—</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Kospi (Seoul)</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Closed — Labour Day</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667085"/>
                <w:sz w:val="20"/>
                <w:szCs w:val="20"/>
              </w:rPr>
              <w:t xml:space="preserve">—</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667085"/>
                <w:sz w:val="20"/>
                <w:szCs w:val="20"/>
              </w:rPr>
              <w:t xml:space="preserve">—</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ASX 200 (Sydney)</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8,612</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+47</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+0.55%</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FTSE 100 (London)</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9,108</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-12</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-0.13%</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DAX / CAC / Stoxx 50</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Closed — Labour Day</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667085"/>
                <w:sz w:val="20"/>
                <w:szCs w:val="20"/>
              </w:rPr>
              <w:t xml:space="preserve">—</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667085"/>
                <w:sz w:val="20"/>
                <w:szCs w:val="20"/>
              </w:rPr>
              <w:t xml:space="preserve">—</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UST 2-yr yield</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3.82%</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+2 bps</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UST 5-yr yield</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4.06%</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+3 bps</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UST 10-yr yield</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4.40%</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+4 bps</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UST 30-yr yield</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4.93%</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+3 bps</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2s10s spread</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+58 bps</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+2 bps</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Steeper</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DXY dollar index</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99.0</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-0.20</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-0.20%</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EUR/USD</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1.0925</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+0.0025</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+0.23%</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GBP/USD</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1.2880</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+0.0040</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+0.31%</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USD/JPY</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152.30</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-0.85</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-0.55%</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USD/CNY (offshore)</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7.245</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-0.010</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-0.14%</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WTI crude (Jun)</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$105.07</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-$1.12</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-1.05%</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Brent crude (Jul)</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$109.95</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-$0.45</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-0.41%</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Natural gas (Jun)</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$4.85</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+$0.06</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+1.25%</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Gold (Jun)</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$4,571</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-$52</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-1.12%</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Silver (Jul)</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$74.89</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-$0.65</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-0.86%</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Copper (Jul)</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$6.30/lb</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+$0.04</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+0.64%</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Bitcoin (BTC)</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$77,377</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+$1,070</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+1.40%</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Ethereum (ETH)</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$2,284</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E8449"/>
                <w:sz w:val="20"/>
                <w:szCs w:val="20"/>
              </w:rPr>
              <w:t xml:space="preserve">+$28</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1E8449"/>
                <w:sz w:val="20"/>
                <w:szCs w:val="20"/>
              </w:rPr>
              <w:t xml:space="preserve">+1.24%</w:t>
            </w:r>
          </w:p>
        </w:tc>
      </w:tr>
      <w:tr>
        <w:tc>
          <w:tcPr>
            <w:tcW w:type="dxa" w:w="3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IG corp OAS</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82 bps</w:t>
            </w:r>
          </w:p>
        </w:tc>
        <w:tc>
          <w:tcPr>
            <w:tcW w:type="dxa" w:w="2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val="false"/>
                <w:bCs w:val="false"/>
                <w:color w:val="667085"/>
                <w:sz w:val="20"/>
                <w:szCs w:val="20"/>
              </w:rPr>
              <w:t xml:space="preserve">+1 bp</w:t>
            </w:r>
          </w:p>
        </w:tc>
        <w:tc>
          <w:tcPr>
            <w:tcW w:type="dxa" w:w="20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right"/>
            </w:pPr>
            <w:r>
              <w:rPr>
                <w:rFonts w:ascii="Calibri" w:cs="Calibri" w:eastAsia="Calibri" w:hAnsi="Calibri"/>
                <w:b/>
                <w:bCs/>
                <w:color w:val="667085"/>
                <w:sz w:val="20"/>
                <w:szCs w:val="20"/>
              </w:rPr>
              <w:t xml:space="preserve">Tight</w:t>
            </w:r>
          </w:p>
        </w:tc>
      </w:tr>
      <w:tr>
        <w:tc>
          <w:tcPr>
            <w:tcW w:type="dxa" w:w="3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HY corp OAS</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1A1A1A"/>
                <w:sz w:val="20"/>
                <w:szCs w:val="20"/>
              </w:rPr>
              <w:t xml:space="preserve">289 bps</w:t>
            </w:r>
          </w:p>
        </w:tc>
        <w:tc>
          <w:tcPr>
            <w:tcW w:type="dxa" w:w="2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val="false"/>
                <w:bCs w:val="false"/>
                <w:color w:val="C0392B"/>
                <w:sz w:val="20"/>
                <w:szCs w:val="20"/>
              </w:rPr>
              <w:t xml:space="preserve">+4 bps</w:t>
            </w:r>
          </w:p>
        </w:tc>
        <w:tc>
          <w:tcPr>
            <w:tcW w:type="dxa" w:w="20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right"/>
            </w:pPr>
            <w:r>
              <w:rPr>
                <w:rFonts w:ascii="Calibri" w:cs="Calibri" w:eastAsia="Calibri" w:hAnsi="Calibri"/>
                <w:b/>
                <w:bCs/>
                <w:color w:val="C0392B"/>
                <w:sz w:val="20"/>
                <w:szCs w:val="20"/>
              </w:rPr>
              <w:t xml:space="preserve">Wider</w:t>
            </w:r>
          </w:p>
        </w:tc>
      </w:tr>
    </w:tbl>
    <w:p>
      <w:pPr>
        <w:pStyle w:val="Heading1"/>
        <w:pBdr>
          <w:bottom w:val="single" w:color="C5A572" w:sz="12" w:space="4"/>
        </w:pBdr>
        <w:spacing w:after="180" w:before="240"/>
      </w:pPr>
      <w:r>
        <w:rPr>
          <w:rFonts w:ascii="Georgia" w:cs="Georgia" w:eastAsia="Georgia" w:hAnsi="Georgia"/>
          <w:b/>
          <w:bCs/>
          <w:color w:val="0A2540"/>
          <w:sz w:val="36"/>
          <w:szCs w:val="36"/>
        </w:rPr>
        <w:t xml:space="preserve">3. Top Stories</w:t>
      </w:r>
    </w:p>
    <w:p>
      <w:pPr>
        <w:spacing w:after="100" w:before="200"/>
      </w:pPr>
      <w:r>
        <w:rPr>
          <w:rFonts w:ascii="Calibri" w:cs="Calibri" w:eastAsia="Calibri" w:hAnsi="Calibri"/>
          <w:b/>
          <w:bCs/>
          <w:color w:val="0A2540"/>
          <w:sz w:val="24"/>
          <w:szCs w:val="24"/>
        </w:rPr>
        <w:t xml:space="preserve">Apple stuns with $111 billion quarter; iPhone 17 lifts second-quarter results</w:t>
      </w:r>
    </w:p>
    <w:p>
      <w:pPr>
        <w:spacing w:after="120" w:before="0" w:line="300"/>
      </w:pPr>
      <w:r>
        <w:rPr>
          <w:rFonts w:ascii="Calibri" w:cs="Calibri" w:eastAsia="Calibri" w:hAnsi="Calibri"/>
          <w:b w:val="false"/>
          <w:bCs w:val="false"/>
          <w:i w:val="false"/>
          <w:iCs w:val="false"/>
          <w:color w:val="1A1A1A"/>
          <w:sz w:val="22"/>
          <w:szCs w:val="22"/>
        </w:rPr>
        <w:t xml:space="preserve">Apple reignited the mega-cap tech trade after the bell Thursday with fiscal-second-quarter revenue of $111.2 billion, up 17% year-over-year, and diluted EPS of $2.01 (+22%). It was Apple's largest March-quarter print ever, with iPhone revenue setting a record on what the company called "extraordinary demand" for the iPhone 17 lineup, while Services revenue hit another all-time high near $30 billion (+16%). Gross margin expanded to 49.3% from 47.1% a year ago — a striking inflection that suggests pricing power, not just unit growth, is doing the work.</w:t>
      </w:r>
    </w:p>
    <w:p>
      <w:pPr>
        <w:spacing w:after="120" w:before="0" w:line="300"/>
      </w:pPr>
      <w:r>
        <w:rPr>
          <w:rFonts w:ascii="Calibri" w:cs="Calibri" w:eastAsia="Calibri" w:hAnsi="Calibri"/>
          <w:b w:val="false"/>
          <w:bCs w:val="false"/>
          <w:i w:val="false"/>
          <w:iCs w:val="false"/>
          <w:color w:val="1A1A1A"/>
          <w:sz w:val="22"/>
          <w:szCs w:val="22"/>
        </w:rPr>
        <w:t xml:space="preserve">The forward guide is what put a charge in the tape: Apple guided June-quarter revenue growth of 14–17%, comfortably above sell-side expectations clustered near 10–12%. That implies an installed-base flywheel that is finally re-accelerating after three flat-ish years, and it lifts the air pocket out of consensus FY26 estimates. Shares jumped 3% in extended trade and pre-market.</w:t>
      </w:r>
    </w:p>
    <w:p>
      <w:pPr>
        <w:spacing w:after="120" w:before="0" w:line="300"/>
      </w:pPr>
      <w:r>
        <w:rPr>
          <w:rFonts w:ascii="Calibri" w:cs="Calibri" w:eastAsia="Calibri" w:hAnsi="Calibri"/>
          <w:b w:val="false"/>
          <w:bCs w:val="false"/>
          <w:i w:val="false"/>
          <w:iCs w:val="false"/>
          <w:color w:val="1A1A1A"/>
          <w:sz w:val="22"/>
          <w:szCs w:val="22"/>
        </w:rPr>
        <w:t xml:space="preserve">Watch for: whether the bid travels to the rest of the Mag 7 — Tesla and Nvidia in particular — and whether AAPL can hold above the $235 level it cleared in extended trading. Options markets had implied a 4% move; the stock is delivering at the lower end, leaving room for follow-through if today's tape keeps the bid.</w:t>
      </w:r>
    </w:p>
    <w:p>
      <w:pPr>
        <w:spacing w:after="100" w:before="200"/>
      </w:pPr>
      <w:r>
        <w:rPr>
          <w:rFonts w:ascii="Calibri" w:cs="Calibri" w:eastAsia="Calibri" w:hAnsi="Calibri"/>
          <w:b/>
          <w:bCs/>
          <w:color w:val="0A2540"/>
          <w:sz w:val="24"/>
          <w:szCs w:val="24"/>
        </w:rPr>
        <w:t xml:space="preserve">Powell's last meeting closes with a four-way dissent — most since 1992</w:t>
      </w:r>
    </w:p>
    <w:p>
      <w:pPr>
        <w:spacing w:after="120" w:before="0" w:line="300"/>
      </w:pPr>
      <w:r>
        <w:rPr>
          <w:rFonts w:ascii="Calibri" w:cs="Calibri" w:eastAsia="Calibri" w:hAnsi="Calibri"/>
          <w:b w:val="false"/>
          <w:bCs w:val="false"/>
          <w:i w:val="false"/>
          <w:iCs w:val="false"/>
          <w:color w:val="1A1A1A"/>
          <w:sz w:val="22"/>
          <w:szCs w:val="22"/>
        </w:rPr>
        <w:t xml:space="preserve">The FOMC voted 8-4 on Wednesday to keep the funds rate range at 3.50–3.75%, the bare bones of the headline. It is the dissents, however, that rewrote the policy narrative: Governor Stephen Miran wanted an immediate quarter-point cut, while Cleveland's Hammack, Minneapolis's Kashkari and Dallas's Logan opposed inserting an easing bias into the statement language. The last time four members dissented was October 1992. The Fed is, in plain terms, badly split.</w:t>
      </w:r>
    </w:p>
    <w:p>
      <w:pPr>
        <w:spacing w:after="120" w:before="0" w:line="300"/>
      </w:pPr>
      <w:r>
        <w:rPr>
          <w:rFonts w:ascii="Calibri" w:cs="Calibri" w:eastAsia="Calibri" w:hAnsi="Calibri"/>
          <w:b w:val="false"/>
          <w:bCs w:val="false"/>
          <w:i w:val="false"/>
          <w:iCs w:val="false"/>
          <w:color w:val="1A1A1A"/>
          <w:sz w:val="22"/>
          <w:szCs w:val="22"/>
        </w:rPr>
        <w:t xml:space="preserve">The signal: do not assume the next move is a cut. Powell, in his final press conference as Chair (his term ends May 15), reiterated the staff's view that the war-driven oil shock is "not transitory enough" to ignore, and that the Committee will be "data-dependent in both directions." Fed funds futures repriced sharply: the implied probability of a June cut fell to roughly 28% from 52% pre-meeting, and the year-end 2026 rate now sits ~30 bps higher.</w:t>
      </w:r>
    </w:p>
    <w:p>
      <w:pPr>
        <w:spacing w:after="120" w:before="0" w:line="300"/>
      </w:pPr>
      <w:r>
        <w:rPr>
          <w:rFonts w:ascii="Calibri" w:cs="Calibri" w:eastAsia="Calibri" w:hAnsi="Calibri"/>
          <w:b w:val="false"/>
          <w:bCs w:val="false"/>
          <w:i w:val="false"/>
          <w:iCs w:val="false"/>
          <w:color w:val="1A1A1A"/>
          <w:sz w:val="22"/>
          <w:szCs w:val="22"/>
        </w:rPr>
        <w:t xml:space="preserve">Watch for: the May 15 transition. Trump has telegraphed Kevin Warsh as the favored successor, though Warsh is on record opposing rate cuts in his recent commentary. The succession noise plus a hawkish dissent bloc means rate volatility is likely to stay elevated into the June 17–18 meeting.</w:t>
      </w:r>
    </w:p>
    <w:p>
      <w:pPr>
        <w:spacing w:after="100" w:before="200"/>
      </w:pPr>
      <w:r>
        <w:rPr>
          <w:rFonts w:ascii="Calibri" w:cs="Calibri" w:eastAsia="Calibri" w:hAnsi="Calibri"/>
          <w:b/>
          <w:bCs/>
          <w:color w:val="0A2540"/>
          <w:sz w:val="24"/>
          <w:szCs w:val="24"/>
        </w:rPr>
        <w:t xml:space="preserve">Oil holds the high ground as Hormuz standoff drags into a third month</w:t>
      </w:r>
    </w:p>
    <w:p>
      <w:pPr>
        <w:spacing w:after="120" w:before="0" w:line="300"/>
      </w:pPr>
      <w:r>
        <w:rPr>
          <w:rFonts w:ascii="Calibri" w:cs="Calibri" w:eastAsia="Calibri" w:hAnsi="Calibri"/>
          <w:b w:val="false"/>
          <w:bCs w:val="false"/>
          <w:i w:val="false"/>
          <w:iCs w:val="false"/>
          <w:color w:val="1A1A1A"/>
          <w:sz w:val="22"/>
          <w:szCs w:val="22"/>
        </w:rPr>
        <w:t xml:space="preserve">WTI settled at $105.07 and Brent at $109.95 Thursday, both roughly 60% higher than where they started 2026. The driver is unchanged: Iran has refused to reopen the Strait of Hormuz until the U.S. lifts its naval blockade of Iranian ports, and the U.S. has refused to lift the blockade until Tehran agrees to a renegotiated nuclear framework. With Iranian seaborne crude exports collapsing from 2.1 million barrels per day to roughly 567,000, the lost barrels are real — and OPEC+ spare capacity remains the only meaningful release valve.</w:t>
      </w:r>
    </w:p>
    <w:p>
      <w:pPr>
        <w:spacing w:after="120" w:before="0" w:line="300"/>
      </w:pPr>
      <w:r>
        <w:rPr>
          <w:rFonts w:ascii="Calibri" w:cs="Calibri" w:eastAsia="Calibri" w:hAnsi="Calibri"/>
          <w:b w:val="false"/>
          <w:bCs w:val="false"/>
          <w:i w:val="false"/>
          <w:iCs w:val="false"/>
          <w:color w:val="1A1A1A"/>
          <w:sz w:val="22"/>
          <w:szCs w:val="22"/>
        </w:rPr>
        <w:t xml:space="preserve">Today's action will turn on whether the Axios-reported Iranian counter-proposal — passed via Pakistani mediators — produces a credible diplomatic opening. Trump told reporters Thursday that the blockade "stays until they sign," but hedged that he would "look at" any new offer. A break above $115 on Brent would re-tighten financial conditions and arguably force the Fed's hand toward an even more hawkish posture; conversely, any concrete de-escalation could trigger a $10+ per barrel air pocket.</w:t>
      </w:r>
    </w:p>
    <w:p>
      <w:pPr>
        <w:spacing w:after="120" w:before="0" w:line="300"/>
      </w:pPr>
      <w:r>
        <w:rPr>
          <w:rFonts w:ascii="Calibri" w:cs="Calibri" w:eastAsia="Calibri" w:hAnsi="Calibri"/>
          <w:b w:val="false"/>
          <w:bCs w:val="false"/>
          <w:i w:val="false"/>
          <w:iCs w:val="false"/>
          <w:color w:val="1A1A1A"/>
          <w:sz w:val="22"/>
          <w:szCs w:val="22"/>
        </w:rPr>
        <w:t xml:space="preserve">Watch for: tanker tracking out of the Persian Gulf (volumes remain near multi-year lows), Saudi production guidance ahead of the next OPEC+ ministerial, and any movement in the Iranian rial, which often front-runs the diplomatic picture.</w:t>
      </w:r>
    </w:p>
    <w:p>
      <w:pPr>
        <w:spacing w:after="100" w:before="200"/>
      </w:pPr>
      <w:r>
        <w:rPr>
          <w:rFonts w:ascii="Calibri" w:cs="Calibri" w:eastAsia="Calibri" w:hAnsi="Calibri"/>
          <w:b/>
          <w:bCs/>
          <w:color w:val="0A2540"/>
          <w:sz w:val="24"/>
          <w:szCs w:val="24"/>
        </w:rPr>
        <w:t xml:space="preserve">Alphabet's $20-billion Cloud quarter rewires the AI capex narrative</w:t>
      </w:r>
    </w:p>
    <w:p>
      <w:pPr>
        <w:spacing w:after="120" w:before="0" w:line="300"/>
      </w:pPr>
      <w:r>
        <w:rPr>
          <w:rFonts w:ascii="Calibri" w:cs="Calibri" w:eastAsia="Calibri" w:hAnsi="Calibri"/>
          <w:b w:val="false"/>
          <w:bCs w:val="false"/>
          <w:i w:val="false"/>
          <w:iCs w:val="false"/>
          <w:color w:val="1A1A1A"/>
          <w:sz w:val="22"/>
          <w:szCs w:val="22"/>
        </w:rPr>
        <w:t xml:space="preserve">Tuesday's Alphabet print is still reverberating. Q1 revenue of $109.9 billion (+20% YoY) was the company's fastest growth quarter since 2022, but the bombshell was Google Cloud at $20.03 billion (+63% YoY), with backlog nearly doubling sequentially to over $460 billion. CEO Sundar Pichai told analysts the company is "compute constrained in the near term" — a striking admission from the company that just raised its 2026 capex range to $190 billion (vs. $185B at year-start, vs. $75B in 2024).</w:t>
      </w:r>
    </w:p>
    <w:p>
      <w:pPr>
        <w:spacing w:after="120" w:before="0" w:line="300"/>
      </w:pPr>
      <w:r>
        <w:rPr>
          <w:rFonts w:ascii="Calibri" w:cs="Calibri" w:eastAsia="Calibri" w:hAnsi="Calibri"/>
          <w:b w:val="false"/>
          <w:bCs w:val="false"/>
          <w:i w:val="false"/>
          <w:iCs w:val="false"/>
          <w:color w:val="1A1A1A"/>
          <w:sz w:val="22"/>
          <w:szCs w:val="22"/>
        </w:rPr>
        <w:t xml:space="preserve">The market read: AI capex is durable, the bottleneck has shifted from chips to power and physical buildouts, and the cloud trio (AWS +28%, Azure +33%, GCP +63%) all beat — proof that this is a demand story, not a share-shift story. Anthropic-related revenue accounted for a non-trivial slice of both Google's and Amazon's AI-attributed cloud growth, per Fortune reporting; that concentration is something investors should watch.</w:t>
      </w:r>
    </w:p>
    <w:p>
      <w:pPr>
        <w:spacing w:after="120" w:before="0" w:line="300"/>
      </w:pPr>
      <w:r>
        <w:rPr>
          <w:rFonts w:ascii="Calibri" w:cs="Calibri" w:eastAsia="Calibri" w:hAnsi="Calibri"/>
          <w:b w:val="false"/>
          <w:bCs w:val="false"/>
          <w:i w:val="false"/>
          <w:iCs w:val="false"/>
          <w:color w:val="1A1A1A"/>
          <w:sz w:val="22"/>
          <w:szCs w:val="22"/>
        </w:rPr>
        <w:t xml:space="preserve">Watch for: power and grid-related plays (Vistra, Constellation, GE Vernova), HVAC and data center construction (EATN, Trane), and the next round of capex pre-announcements as smaller hyperscalers report next week.</w:t>
      </w:r>
    </w:p>
    <w:p>
      <w:pPr>
        <w:spacing w:after="100" w:before="200"/>
      </w:pPr>
      <w:r>
        <w:rPr>
          <w:rFonts w:ascii="Calibri" w:cs="Calibri" w:eastAsia="Calibri" w:hAnsi="Calibri"/>
          <w:b/>
          <w:bCs/>
          <w:color w:val="0A2540"/>
          <w:sz w:val="24"/>
          <w:szCs w:val="24"/>
        </w:rPr>
        <w:t xml:space="preserve">Bond market vigilantes are back: 30-year quietly creeps toward 5%</w:t>
      </w:r>
    </w:p>
    <w:p>
      <w:pPr>
        <w:spacing w:after="120" w:before="0" w:line="300"/>
      </w:pPr>
      <w:r>
        <w:rPr>
          <w:rFonts w:ascii="Calibri" w:cs="Calibri" w:eastAsia="Calibri" w:hAnsi="Calibri"/>
          <w:b w:val="false"/>
          <w:bCs w:val="false"/>
          <w:i w:val="false"/>
          <w:iCs w:val="false"/>
          <w:color w:val="1A1A1A"/>
          <w:sz w:val="22"/>
          <w:szCs w:val="22"/>
        </w:rPr>
        <w:t xml:space="preserve">The story the Fed wants you to focus on is the funds rate; the story the bond market is telling is at the long end. The 30-year Treasury closed Thursday at 4.93%, just seven basis points away from the psychologically charged 5% line that last broke in October 2023. The 10-year sits at 4.40%, the 2s10s spread has steepened to +58 bps from a 2026 low of +12 bps in February, and term premia (per the New York Fed's ACM model) have pushed back to +85 bps — the highest in over a decade.</w:t>
      </w:r>
    </w:p>
    <w:p>
      <w:pPr>
        <w:spacing w:after="120" w:before="0" w:line="300"/>
      </w:pPr>
      <w:r>
        <w:rPr>
          <w:rFonts w:ascii="Calibri" w:cs="Calibri" w:eastAsia="Calibri" w:hAnsi="Calibri"/>
          <w:b w:val="false"/>
          <w:bCs w:val="false"/>
          <w:i w:val="false"/>
          <w:iCs w:val="false"/>
          <w:color w:val="1A1A1A"/>
          <w:sz w:val="22"/>
          <w:szCs w:val="22"/>
        </w:rPr>
        <w:t xml:space="preserve">Three forces are at work: (1) the war-driven oil shock has reset the inflation trajectory higher, (2) a hawkishly divided Fed has reduced the optionality of front-end cuts, and (3) the Treasury's quarterly refunding announcement next week is expected to lift coupon issuance to fund a deficit that the CBO now pegs above 7% of GDP for FY2026.</w:t>
      </w:r>
    </w:p>
    <w:p>
      <w:pPr>
        <w:spacing w:after="120" w:before="0" w:line="300"/>
      </w:pPr>
      <w:r>
        <w:rPr>
          <w:rFonts w:ascii="Calibri" w:cs="Calibri" w:eastAsia="Calibri" w:hAnsi="Calibri"/>
          <w:b w:val="false"/>
          <w:bCs w:val="false"/>
          <w:i w:val="false"/>
          <w:iCs w:val="false"/>
          <w:color w:val="1A1A1A"/>
          <w:sz w:val="22"/>
          <w:szCs w:val="22"/>
        </w:rPr>
        <w:t xml:space="preserve">Watch for: 30-year yields above 5%. That is a level at which equity duration (read: long-duration tech) historically gets repriced, and a level at which mortgage rates, currently at 7.45%, push toward 8% — a ceiling that would meaningfully crimp existing-home sales activity into the spring selling season.</w:t>
      </w:r>
    </w:p>
    <w:p>
      <w:pPr>
        <w:spacing w:after="100" w:before="200"/>
      </w:pPr>
      <w:r>
        <w:rPr>
          <w:rFonts w:ascii="Calibri" w:cs="Calibri" w:eastAsia="Calibri" w:hAnsi="Calibri"/>
          <w:b/>
          <w:bCs/>
          <w:color w:val="0A2540"/>
          <w:sz w:val="24"/>
          <w:szCs w:val="24"/>
        </w:rPr>
        <w:t xml:space="preserve">China's PMI sends a mixed signal: factories steady, services slip</w:t>
      </w:r>
    </w:p>
    <w:p>
      <w:pPr>
        <w:spacing w:after="120" w:before="0" w:line="300"/>
      </w:pPr>
      <w:r>
        <w:rPr>
          <w:rFonts w:ascii="Calibri" w:cs="Calibri" w:eastAsia="Calibri" w:hAnsi="Calibri"/>
          <w:b w:val="false"/>
          <w:bCs w:val="false"/>
          <w:i w:val="false"/>
          <w:iCs w:val="false"/>
          <w:color w:val="1A1A1A"/>
          <w:sz w:val="22"/>
          <w:szCs w:val="22"/>
        </w:rPr>
        <w:t xml:space="preserve">China's official manufacturing PMI came in at 50.3 in April, down 0.1 point from March but holding above the 50 expansion line for a second consecutive month. The privately-compiled Caixin/RatingDog gauge surprised to the upside at 52.2 (vs. 50.8 prior, 51.0 consensus) — a notable divergence that points to large-state-owned enterprises moderating while smaller, more export-oriented manufacturers benefit from a softer yuan and a tariff-truce window. New export orders crossed back above 50 for the first time in 23 months.</w:t>
      </w:r>
    </w:p>
    <w:p>
      <w:pPr>
        <w:spacing w:after="120" w:before="0" w:line="300"/>
      </w:pPr>
      <w:r>
        <w:rPr>
          <w:rFonts w:ascii="Calibri" w:cs="Calibri" w:eastAsia="Calibri" w:hAnsi="Calibri"/>
          <w:b w:val="false"/>
          <w:bCs w:val="false"/>
          <w:i w:val="false"/>
          <w:iCs w:val="false"/>
          <w:color w:val="1A1A1A"/>
          <w:sz w:val="22"/>
          <w:szCs w:val="22"/>
        </w:rPr>
        <w:t xml:space="preserve">Less encouraging: the non-manufacturing PMI fell to 49.4, below the expansion threshold and signaling a soft April for services and consumption. Beijing's policy mix — selective infrastructure stimulus, targeted property easing — appears to be reaching the factory floor faster than the consumer.</w:t>
      </w:r>
    </w:p>
    <w:p>
      <w:pPr>
        <w:spacing w:after="120" w:before="0" w:line="300"/>
      </w:pPr>
      <w:r>
        <w:rPr>
          <w:rFonts w:ascii="Calibri" w:cs="Calibri" w:eastAsia="Calibri" w:hAnsi="Calibri"/>
          <w:b w:val="false"/>
          <w:bCs w:val="false"/>
          <w:i w:val="false"/>
          <w:iCs w:val="false"/>
          <w:color w:val="1A1A1A"/>
          <w:sz w:val="22"/>
          <w:szCs w:val="22"/>
        </w:rPr>
        <w:t xml:space="preserve">Watch for: the Politburo's late-April readout, which historically sets the tone for May–July policy guidance, and the offshore yuan's reaction to any Trump-Xi tariff signal. A break of USD/CNH above 7.30 would re-light the EM-stress trade.</w:t>
      </w:r>
    </w:p>
    <w:p>
      <w:pPr>
        <w:pStyle w:val="Heading1"/>
        <w:pBdr>
          <w:bottom w:val="single" w:color="C5A572" w:sz="12" w:space="4"/>
        </w:pBdr>
        <w:spacing w:after="180" w:before="240"/>
      </w:pPr>
      <w:r>
        <w:rPr>
          <w:rFonts w:ascii="Georgia" w:cs="Georgia" w:eastAsia="Georgia" w:hAnsi="Georgia"/>
          <w:b/>
          <w:bCs/>
          <w:color w:val="0A2540"/>
          <w:sz w:val="36"/>
          <w:szCs w:val="36"/>
        </w:rPr>
        <w:t xml:space="preserve">4. Macro &amp; Fed Watch</w:t>
      </w:r>
    </w:p>
    <w:p>
      <w:pPr>
        <w:spacing w:after="120" w:before="0" w:line="300"/>
      </w:pPr>
      <w:r>
        <w:rPr>
          <w:rFonts w:ascii="Calibri" w:cs="Calibri" w:eastAsia="Calibri" w:hAnsi="Calibri"/>
          <w:b w:val="false"/>
          <w:bCs w:val="false"/>
          <w:i w:val="false"/>
          <w:iCs w:val="false"/>
          <w:color w:val="1A1A1A"/>
          <w:sz w:val="22"/>
          <w:szCs w:val="22"/>
        </w:rPr>
        <w:t xml:space="preserve">Wednesday's FOMC produced more drama than rate action, and that is precisely the point. The Committee held the funds rate at 3.50–3.75% on an 8-4 vote — the most fractious decision in 34 years. Governor Miran wanted a quarter-point cut now; Hammack, Kashkari and Logan opposed even the soft-toned forward guidance language. Powell, in what observers expect to be his final press conference as Chair, offered a notably balanced framing: oil-driven inflation pressure is "watch-worthy," labor markets are "not loosening as expected," and the Committee is "prepared to move in either direction" depending on incoming data.</w:t>
      </w:r>
    </w:p>
    <w:p>
      <w:pPr>
        <w:spacing w:after="120" w:before="0" w:line="300"/>
      </w:pPr>
      <w:r>
        <w:rPr>
          <w:rFonts w:ascii="Calibri" w:cs="Calibri" w:eastAsia="Calibri" w:hAnsi="Calibri"/>
          <w:b w:val="false"/>
          <w:bCs w:val="false"/>
          <w:i w:val="false"/>
          <w:iCs w:val="false"/>
          <w:color w:val="1A1A1A"/>
          <w:sz w:val="22"/>
          <w:szCs w:val="22"/>
        </w:rPr>
        <w:t xml:space="preserve">Translated to rate-market terms: the easing bias the market had been pricing has been at least partially withdrawn. Fed funds futures now imply roughly a 28% probability of a 25-bp cut at the June 17–18 meeting, down from 52% before the FOMC. The implied year-end 2026 rate has migrated higher by ~30 bps to 3.18%. SOFR-OIS curves now show only one full cut priced in over the balance of 2026, versus three at the start of April.</w:t>
      </w:r>
    </w:p>
    <w:p>
      <w:pPr>
        <w:spacing w:after="120" w:before="0" w:line="300"/>
      </w:pPr>
      <w:r>
        <w:rPr>
          <w:rFonts w:ascii="Calibri" w:cs="Calibri" w:eastAsia="Calibri" w:hAnsi="Calibri"/>
          <w:b w:val="false"/>
          <w:bCs w:val="false"/>
          <w:i w:val="false"/>
          <w:iCs w:val="false"/>
          <w:color w:val="1A1A1A"/>
          <w:sz w:val="22"/>
          <w:szCs w:val="22"/>
        </w:rPr>
        <w:t xml:space="preserve">The succession overlay matters. Powell's term as Chair ends May 15, and President Trump has reportedly narrowed the shortlist to former Governor Kevin Warsh and current Governor Christopher Waller. Warsh has been publicly skeptical of cuts; Waller has been notably dovish on growth. The market is, for now, pricing the Warsh outcome — adding to the upward drift in long-end yields. Watch for any official nomination signaling, which could come as early as next Tuesday's Treasury Q2 refunding announcement.</w:t>
      </w:r>
    </w:p>
    <w:p>
      <w:pPr>
        <w:spacing w:after="120" w:before="0" w:line="300"/>
      </w:pPr>
      <w:r>
        <w:rPr>
          <w:rFonts w:ascii="Calibri" w:cs="Calibri" w:eastAsia="Calibri" w:hAnsi="Calibri"/>
          <w:b w:val="false"/>
          <w:bCs w:val="false"/>
          <w:i w:val="false"/>
          <w:iCs w:val="false"/>
          <w:color w:val="1A1A1A"/>
          <w:sz w:val="22"/>
          <w:szCs w:val="22"/>
        </w:rPr>
        <w:t xml:space="preserve">Fed speakers ahead: New York's Williams (Friday afternoon, post-data), Atlanta's Bostic (Monday), and Vice Chair Jefferson on Wednesday. With Powell now in lame-duck mode, regional bank presidents will carry an outsized share of the message-shaping. The hawkish dissent bloc gives those communications more weight than usual — a single Hammack speech could move the front end 5+ bps.</w:t>
      </w:r>
    </w:p>
    <w:p>
      <w:pPr>
        <w:pStyle w:val="Heading1"/>
        <w:pBdr>
          <w:bottom w:val="single" w:color="C5A572" w:sz="12" w:space="4"/>
        </w:pBdr>
        <w:spacing w:after="180" w:before="240"/>
      </w:pPr>
      <w:r>
        <w:rPr>
          <w:rFonts w:ascii="Georgia" w:cs="Georgia" w:eastAsia="Georgia" w:hAnsi="Georgia"/>
          <w:b/>
          <w:bCs/>
          <w:color w:val="0A2540"/>
          <w:sz w:val="36"/>
          <w:szCs w:val="36"/>
        </w:rPr>
        <w:t xml:space="preserve">5. Economic Calendar — Friday, May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500"/>
        <w:gridCol w:w="1500"/>
        <w:gridCol w:w="2760"/>
      </w:tblGrid>
      <w:tr>
        <w:tc>
          <w:tcPr>
            <w:tcW w:type="dxa" w:w="12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Time (ET)</w:t>
            </w:r>
          </w:p>
        </w:tc>
        <w:tc>
          <w:tcPr>
            <w:tcW w:type="dxa" w:w="24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Indicator</w:t>
            </w:r>
          </w:p>
        </w:tc>
        <w:tc>
          <w:tcPr>
            <w:tcW w:type="dxa" w:w="15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Prior</w:t>
            </w:r>
          </w:p>
        </w:tc>
        <w:tc>
          <w:tcPr>
            <w:tcW w:type="dxa" w:w="15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Consensus</w:t>
            </w:r>
          </w:p>
        </w:tc>
        <w:tc>
          <w:tcPr>
            <w:tcW w:type="dxa" w:w="276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Why It Matters</w:t>
            </w:r>
          </w:p>
        </w:tc>
      </w:tr>
      <w:tr>
        <w:tc>
          <w:tcPr>
            <w:tcW w:type="dxa" w:w="1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8:30 AM</w:t>
            </w:r>
          </w:p>
        </w:tc>
        <w:tc>
          <w:tcPr>
            <w:tcW w:type="dxa" w:w="24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Personal Income (Mar)</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+0.3%</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+0.4%</w:t>
            </w:r>
          </w:p>
        </w:tc>
        <w:tc>
          <w:tcPr>
            <w:tcW w:type="dxa" w:w="276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Anchors consumer spending power</w:t>
            </w:r>
          </w:p>
        </w:tc>
      </w:tr>
      <w:tr>
        <w:tc>
          <w:tcPr>
            <w:tcW w:type="dxa" w:w="1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8:30 AM</w:t>
            </w:r>
          </w:p>
        </w:tc>
        <w:tc>
          <w:tcPr>
            <w:tcW w:type="dxa" w:w="24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Personal Spending (Mar)</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+0.4%</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+0.5%</w:t>
            </w:r>
          </w:p>
        </w:tc>
        <w:tc>
          <w:tcPr>
            <w:tcW w:type="dxa" w:w="276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Real-time read on consumption</w:t>
            </w:r>
          </w:p>
        </w:tc>
      </w:tr>
      <w:tr>
        <w:tc>
          <w:tcPr>
            <w:tcW w:type="dxa" w:w="1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8:30 AM</w:t>
            </w:r>
          </w:p>
        </w:tc>
        <w:tc>
          <w:tcPr>
            <w:tcW w:type="dxa" w:w="24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PCE Price Index (Mar)</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+0.30% m/m</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+0.32% m/m</w:t>
            </w:r>
          </w:p>
        </w:tc>
        <w:tc>
          <w:tcPr>
            <w:tcW w:type="dxa" w:w="276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Fed's preferred inflation gauge</w:t>
            </w:r>
          </w:p>
        </w:tc>
      </w:tr>
      <w:tr>
        <w:tc>
          <w:tcPr>
            <w:tcW w:type="dxa" w:w="1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8:30 AM</w:t>
            </w:r>
          </w:p>
        </w:tc>
        <w:tc>
          <w:tcPr>
            <w:tcW w:type="dxa" w:w="24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Core PCE (Mar)</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2.71% y/y</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2.78% y/y</w:t>
            </w:r>
          </w:p>
        </w:tc>
        <w:tc>
          <w:tcPr>
            <w:tcW w:type="dxa" w:w="276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Re-acceleration risk amid oil shock</w:t>
            </w:r>
          </w:p>
        </w:tc>
      </w:tr>
      <w:tr>
        <w:tc>
          <w:tcPr>
            <w:tcW w:type="dxa" w:w="1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9:45 AM</w:t>
            </w:r>
          </w:p>
        </w:tc>
        <w:tc>
          <w:tcPr>
            <w:tcW w:type="dxa" w:w="24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S&amp;P US Manufacturing PMI (Apr F)</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54.0</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54.0</w:t>
            </w:r>
          </w:p>
        </w:tc>
        <w:tc>
          <w:tcPr>
            <w:tcW w:type="dxa" w:w="276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Final Apr read; first global PMI gauge</w:t>
            </w:r>
          </w:p>
        </w:tc>
      </w:tr>
      <w:tr>
        <w:tc>
          <w:tcPr>
            <w:tcW w:type="dxa" w:w="1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10:00 AM</w:t>
            </w:r>
          </w:p>
        </w:tc>
        <w:tc>
          <w:tcPr>
            <w:tcW w:type="dxa" w:w="24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ISM Manufacturing PMI (Apr)</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52.7</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53.1</w:t>
            </w:r>
          </w:p>
        </w:tc>
        <w:tc>
          <w:tcPr>
            <w:tcW w:type="dxa" w:w="276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Headline US factory sentiment — most-watched data of the day</w:t>
            </w:r>
          </w:p>
        </w:tc>
      </w:tr>
      <w:tr>
        <w:tc>
          <w:tcPr>
            <w:tcW w:type="dxa" w:w="1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10:00 AM</w:t>
            </w:r>
          </w:p>
        </w:tc>
        <w:tc>
          <w:tcPr>
            <w:tcW w:type="dxa" w:w="24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ISM Manufacturing Prices Paid (Apr)</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61.8</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62.5</w:t>
            </w:r>
          </w:p>
        </w:tc>
        <w:tc>
          <w:tcPr>
            <w:tcW w:type="dxa" w:w="276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Inflation pipeline pressure gauge</w:t>
            </w:r>
          </w:p>
        </w:tc>
      </w:tr>
      <w:tr>
        <w:tc>
          <w:tcPr>
            <w:tcW w:type="dxa" w:w="1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10:00 AM</w:t>
            </w:r>
          </w:p>
        </w:tc>
        <w:tc>
          <w:tcPr>
            <w:tcW w:type="dxa" w:w="24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ISM Manufacturing Employment (Apr)</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49.5</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50.0</w:t>
            </w:r>
          </w:p>
        </w:tc>
        <w:tc>
          <w:tcPr>
            <w:tcW w:type="dxa" w:w="276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Cross-checks NFP next Friday</w:t>
            </w:r>
          </w:p>
        </w:tc>
      </w:tr>
      <w:tr>
        <w:tc>
          <w:tcPr>
            <w:tcW w:type="dxa" w:w="1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10:00 AM</w:t>
            </w:r>
          </w:p>
        </w:tc>
        <w:tc>
          <w:tcPr>
            <w:tcW w:type="dxa" w:w="24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Construction Spending (Mar)</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+0.5% m/m</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+0.3% m/m</w:t>
            </w:r>
          </w:p>
        </w:tc>
        <w:tc>
          <w:tcPr>
            <w:tcW w:type="dxa" w:w="276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Q1 GDP revision input</w:t>
            </w:r>
          </w:p>
        </w:tc>
      </w:tr>
      <w:tr>
        <w:tc>
          <w:tcPr>
            <w:tcW w:type="dxa" w:w="12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3:00 PM</w:t>
            </w:r>
          </w:p>
        </w:tc>
        <w:tc>
          <w:tcPr>
            <w:tcW w:type="dxa" w:w="24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Light Vehicle Sales (Apr)</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16.4M SAAR</w:t>
            </w:r>
          </w:p>
        </w:tc>
        <w:tc>
          <w:tcPr>
            <w:tcW w:type="dxa" w:w="15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16.0M SAAR</w:t>
            </w:r>
          </w:p>
        </w:tc>
        <w:tc>
          <w:tcPr>
            <w:tcW w:type="dxa" w:w="276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Big-ticket consumer demand check</w:t>
            </w:r>
          </w:p>
        </w:tc>
      </w:tr>
      <w:tr>
        <w:tc>
          <w:tcPr>
            <w:tcW w:type="dxa" w:w="12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12:30 PM</w:t>
            </w:r>
          </w:p>
        </w:tc>
        <w:tc>
          <w:tcPr>
            <w:tcW w:type="dxa" w:w="24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Fed's Williams (NY) speaks</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w:t>
            </w:r>
          </w:p>
        </w:tc>
        <w:tc>
          <w:tcPr>
            <w:tcW w:type="dxa" w:w="15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center"/>
            </w:pPr>
            <w:r>
              <w:rPr>
                <w:rFonts w:ascii="Calibri" w:cs="Calibri" w:eastAsia="Calibri" w:hAnsi="Calibri"/>
                <w:b w:val="false"/>
                <w:bCs w:val="false"/>
                <w:color w:val="1A1A1A"/>
                <w:sz w:val="20"/>
                <w:szCs w:val="20"/>
              </w:rPr>
              <w:t xml:space="preserve">—</w:t>
            </w:r>
          </w:p>
        </w:tc>
        <w:tc>
          <w:tcPr>
            <w:tcW w:type="dxa" w:w="276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Post-FOMC color from a key voter</w:t>
            </w:r>
          </w:p>
        </w:tc>
      </w:tr>
    </w:tbl>
    <w:p>
      <w:pPr>
        <w:pStyle w:val="Heading1"/>
        <w:pBdr>
          <w:bottom w:val="single" w:color="C5A572" w:sz="12" w:space="4"/>
        </w:pBdr>
        <w:spacing w:after="180" w:before="240"/>
      </w:pPr>
      <w:r>
        <w:rPr>
          <w:rFonts w:ascii="Georgia" w:cs="Georgia" w:eastAsia="Georgia" w:hAnsi="Georgia"/>
          <w:b/>
          <w:bCs/>
          <w:color w:val="0A2540"/>
          <w:sz w:val="36"/>
          <w:szCs w:val="36"/>
        </w:rPr>
        <w:t xml:space="preserve">6. Earnings Watch</w:t>
      </w:r>
    </w:p>
    <w:p>
      <w:pPr>
        <w:spacing w:after="120" w:before="0" w:line="300"/>
      </w:pPr>
      <w:r>
        <w:rPr>
          <w:rFonts w:ascii="Calibri" w:cs="Calibri" w:eastAsia="Calibri" w:hAnsi="Calibri"/>
          <w:b w:val="false"/>
          <w:bCs w:val="false"/>
          <w:i w:val="false"/>
          <w:iCs w:val="false"/>
          <w:color w:val="1A1A1A"/>
          <w:sz w:val="22"/>
          <w:szCs w:val="22"/>
        </w:rPr>
        <w:t xml:space="preserve">Today's earnings tape is dominated by the energy super-majors. ExxonMobil (pre-market) and Chevron (pre-market) both posted Q1 results that beat lowered Wall Street bars. Exxon reported $4.2 billion in net income ($1.00/share GAAP, $2.09/share adjusted) — down sharply from $7.7 billion a year ago as downstream margin compression and a heavy capex quarter weighed, but $0.18 above consensus on an adjusted basis. Chevron's $2.2 billion print ($1.11 GAAP, $1.41 adjusted) topped the $0.95 consensus. Both stocks are trading flat-to-slightly-higher pre-market; the read is that the energy-sector beat-miss bar has reset low enough to absorb the YoY profit declines without selling pressure.</w:t>
      </w:r>
    </w:p>
    <w:p>
      <w:pPr>
        <w:spacing w:after="120" w:before="0" w:line="300"/>
      </w:pPr>
      <w:r>
        <w:rPr>
          <w:rFonts w:ascii="Calibri" w:cs="Calibri" w:eastAsia="Calibri" w:hAnsi="Calibri"/>
          <w:b w:val="false"/>
          <w:bCs w:val="false"/>
          <w:i w:val="false"/>
          <w:iCs w:val="false"/>
          <w:color w:val="1A1A1A"/>
          <w:sz w:val="22"/>
          <w:szCs w:val="22"/>
        </w:rPr>
        <w:t xml:space="preserve">Other notable Friday-morning prints include Linde (industrial gas, EPS estimate $4.18), Imperial Oil (Canadian heavy, C$1.85 est), and Cigna ($6.40 est) on the health-insurance side. Pre-market focus also on Coterra Energy and Cabot — small-cap E&amp;P that benefits more leveraged from Brent strength than the supermajors do. After the close: Block (XYZ, $0.62 est), DraftKings ($0.07 est) and Booking Holdings ($24.20 est).</w:t>
      </w:r>
    </w:p>
    <w:p>
      <w:pPr>
        <w:spacing w:after="120" w:before="0" w:line="300"/>
      </w:pPr>
      <w:r>
        <w:rPr>
          <w:rFonts w:ascii="Calibri" w:cs="Calibri" w:eastAsia="Calibri" w:hAnsi="Calibri"/>
          <w:b w:val="false"/>
          <w:bCs w:val="false"/>
          <w:i w:val="false"/>
          <w:iCs w:val="false"/>
          <w:color w:val="1A1A1A"/>
          <w:sz w:val="22"/>
          <w:szCs w:val="22"/>
        </w:rPr>
        <w:t xml:space="preserve">Stepping back, Q1 2026 earnings season is now ~70% reported with S&amp;P 500 EPS growth tracking +13.4% YoY (vs. +9.1% expected entering the season) — the third consecutive quarter of double-digit growth. Revenue beats are running at 76%, EPS beats at 81%, both above 5-year averages. Forward 12-month EPS estimates have moved up roughly 2% since the season began, an unusually positive revision dynamic. The 2026 S&amp;P EPS consensus now sits at $295, putting the index on 24.4x forward — rich, but supported by an earnings trajectory that has not yet broken.</w:t>
      </w:r>
    </w:p>
    <w:p>
      <w:pPr>
        <w:spacing w:after="120" w:before="0" w:line="300"/>
      </w:pPr>
      <w:r>
        <w:rPr>
          <w:rFonts w:ascii="Calibri" w:cs="Calibri" w:eastAsia="Calibri" w:hAnsi="Calibri"/>
          <w:b w:val="false"/>
          <w:bCs w:val="false"/>
          <w:i w:val="false"/>
          <w:iCs w:val="false"/>
          <w:color w:val="1A1A1A"/>
          <w:sz w:val="22"/>
          <w:szCs w:val="22"/>
        </w:rPr>
        <w:t xml:space="preserve">Sector tilt: Technology and Communication Services have produced the largest beats by magnitude (Alphabet, Amazon, Meta), while Energy and Materials have produced the largest negative surprises in revenue (commodity-pricing math) but positive surprises on cost discipline. Consumer Discretionary remains the wild card: Amazon's beat was company-specific, while Lululemon, Target and a raft of mid-tier retailers have warned on Q2 guidance citing tariff drag and softening lower-income consumer.</w:t>
      </w:r>
    </w:p>
    <w:p>
      <w:pPr>
        <w:pStyle w:val="Heading1"/>
        <w:pBdr>
          <w:bottom w:val="single" w:color="C5A572" w:sz="12" w:space="4"/>
        </w:pBdr>
        <w:spacing w:after="180" w:before="240"/>
      </w:pPr>
      <w:r>
        <w:rPr>
          <w:rFonts w:ascii="Georgia" w:cs="Georgia" w:eastAsia="Georgia" w:hAnsi="Georgia"/>
          <w:b/>
          <w:bCs/>
          <w:color w:val="0A2540"/>
          <w:sz w:val="36"/>
          <w:szCs w:val="36"/>
        </w:rPr>
        <w:t xml:space="preserve">7. Sector Spotlight</w:t>
      </w:r>
    </w:p>
    <w:p>
      <w:pPr>
        <w:spacing w:after="120" w:before="0" w:line="300"/>
      </w:pPr>
      <w:r>
        <w:rPr>
          <w:rFonts w:ascii="Calibri" w:cs="Calibri" w:eastAsia="Calibri" w:hAnsi="Calibri"/>
          <w:b w:val="false"/>
          <w:bCs w:val="false"/>
          <w:i w:val="false"/>
          <w:iCs w:val="false"/>
          <w:color w:val="1A1A1A"/>
          <w:sz w:val="22"/>
          <w:szCs w:val="22"/>
        </w:rPr>
        <w:t xml:space="preserve">Yesterday's tape was a textbook risk-on day with quality leadership. Communication Services led at +2.1%, lifted entirely by Alphabet's post-print follow-through. Consumer Discretionary added +1.8% on Amazon. Industrials (+1.6%) and Financials (+1.5%) provided the broadening — and the Russell 2000's +2.1% confirmed the message: market participation has widened beyond the AI infrastructure trade for the first time since February.</w:t>
      </w:r>
    </w:p>
    <w:p>
      <w:pPr>
        <w:spacing w:after="120" w:before="0" w:line="300"/>
      </w:pPr>
      <w:r>
        <w:rPr>
          <w:rFonts w:ascii="Calibri" w:cs="Calibri" w:eastAsia="Calibri" w:hAnsi="Calibri"/>
          <w:b w:val="false"/>
          <w:bCs w:val="false"/>
          <w:i w:val="false"/>
          <w:iCs w:val="false"/>
          <w:color w:val="1A1A1A"/>
          <w:sz w:val="22"/>
          <w:szCs w:val="22"/>
        </w:rPr>
        <w:t xml:space="preserve">The notable laggard was Health Care (+0.3%), where biotech remained pressured by ongoing political noise around drug pricing and Eli Lilly traded lower on weight-loss-drug pipeline concerns from a competitor's Q1 trial readout. Utilities (+0.2%) and Consumer Staples (+0.4%) also lagged — classic late-cycle defensives selling off when risk appetite returns. Today's spotlight is on Energy: with WTI down 1% pre-market on the Iranian counter-proposal headlines, energy stocks are trading flat-to-slightly-down despite the supermajor earnings beats. The XLE ETF closed Thursday +14.3% YTD vs. the S&amp;P at +6.1% — the rotation thesis is intact, but the entry point matters.</w:t>
      </w:r>
    </w:p>
    <w:p>
      <w:pPr>
        <w:pStyle w:val="Heading1"/>
        <w:pBdr>
          <w:bottom w:val="single" w:color="C5A572" w:sz="12" w:space="4"/>
        </w:pBdr>
        <w:spacing w:after="180" w:before="240"/>
      </w:pPr>
      <w:r>
        <w:rPr>
          <w:rFonts w:ascii="Georgia" w:cs="Georgia" w:eastAsia="Georgia" w:hAnsi="Georgia"/>
          <w:b/>
          <w:bCs/>
          <w:color w:val="0A2540"/>
          <w:sz w:val="36"/>
          <w:szCs w:val="36"/>
        </w:rPr>
        <w:t xml:space="preserve">8. Analyst Calls — Last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080"/>
        <w:gridCol w:w="1900"/>
        <w:gridCol w:w="1700"/>
        <w:gridCol w:w="2980"/>
      </w:tblGrid>
      <w:tr>
        <w:tc>
          <w:tcPr>
            <w:tcW w:type="dxa" w:w="17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Firm</w:t>
            </w:r>
          </w:p>
        </w:tc>
        <w:tc>
          <w:tcPr>
            <w:tcW w:type="dxa" w:w="108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Stock</w:t>
            </w:r>
          </w:p>
        </w:tc>
        <w:tc>
          <w:tcPr>
            <w:tcW w:type="dxa" w:w="19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Action</w:t>
            </w:r>
          </w:p>
        </w:tc>
        <w:tc>
          <w:tcPr>
            <w:tcW w:type="dxa" w:w="170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PT</w:t>
            </w:r>
          </w:p>
        </w:tc>
        <w:tc>
          <w:tcPr>
            <w:tcW w:type="dxa" w:w="2980"/>
            <w:tcBorders>
              <w:top w:val="single" w:color="D0D5DD" w:sz="4"/>
              <w:left w:val="single" w:color="D0D5DD" w:sz="4"/>
              <w:bottom w:val="single" w:color="D0D5DD" w:sz="4"/>
              <w:right w:val="single" w:color="D0D5DD" w:sz="4"/>
            </w:tcBorders>
            <w:shd w:fill="0A2540" w:val="clear"/>
            <w:tcMar>
              <w:top w:type="dxa" w:w="90"/>
              <w:left w:type="dxa" w:w="130"/>
              <w:bottom w:type="dxa" w:w="90"/>
              <w:right w:type="dxa" w:w="130"/>
            </w:tcMar>
          </w:tcPr>
          <w:p>
            <w:pPr>
              <w:spacing w:after="0" w:line="260"/>
              <w:jc w:val="center"/>
            </w:pPr>
            <w:r>
              <w:rPr>
                <w:rFonts w:ascii="Calibri" w:cs="Calibri" w:eastAsia="Calibri" w:hAnsi="Calibri"/>
                <w:b/>
                <w:bCs/>
                <w:color w:val="FFFFFF"/>
                <w:sz w:val="20"/>
                <w:szCs w:val="20"/>
              </w:rPr>
              <w:t xml:space="preserve">Thesis</w:t>
            </w:r>
          </w:p>
        </w:tc>
      </w:tr>
      <w:tr>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Morgan Stanley</w:t>
            </w:r>
          </w:p>
        </w:tc>
        <w:tc>
          <w:tcPr>
            <w:tcW w:type="dxa" w:w="1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AAPL</w:t>
            </w:r>
          </w:p>
        </w:tc>
        <w:tc>
          <w:tcPr>
            <w:tcW w:type="dxa" w:w="19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Reiterate Overweight</w:t>
            </w:r>
          </w:p>
        </w:tc>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$265 (from $245)</w:t>
            </w:r>
          </w:p>
        </w:tc>
        <w:tc>
          <w:tcPr>
            <w:tcW w:type="dxa" w:w="29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Services flywheel + iPhone 17 super-cycle</w:t>
            </w:r>
          </w:p>
        </w:tc>
      </w:tr>
      <w:tr>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Bernstein</w:t>
            </w:r>
          </w:p>
        </w:tc>
        <w:tc>
          <w:tcPr>
            <w:tcW w:type="dxa" w:w="1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GOOGL</w:t>
            </w:r>
          </w:p>
        </w:tc>
        <w:tc>
          <w:tcPr>
            <w:tcW w:type="dxa" w:w="19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Outperform</w:t>
            </w:r>
          </w:p>
        </w:tc>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$230 (from $210)</w:t>
            </w:r>
          </w:p>
        </w:tc>
        <w:tc>
          <w:tcPr>
            <w:tcW w:type="dxa" w:w="29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Cloud +63%; AI capex monetization clearer</w:t>
            </w:r>
          </w:p>
        </w:tc>
      </w:tr>
      <w:tr>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JPMorgan</w:t>
            </w:r>
          </w:p>
        </w:tc>
        <w:tc>
          <w:tcPr>
            <w:tcW w:type="dxa" w:w="1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AMZN</w:t>
            </w:r>
          </w:p>
        </w:tc>
        <w:tc>
          <w:tcPr>
            <w:tcW w:type="dxa" w:w="19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Overweight</w:t>
            </w:r>
          </w:p>
        </w:tc>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$255 (from $240)</w:t>
            </w:r>
          </w:p>
        </w:tc>
        <w:tc>
          <w:tcPr>
            <w:tcW w:type="dxa" w:w="29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AWS re-acceleration + retail margin</w:t>
            </w:r>
          </w:p>
        </w:tc>
      </w:tr>
      <w:tr>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Wells Fargo</w:t>
            </w:r>
          </w:p>
        </w:tc>
        <w:tc>
          <w:tcPr>
            <w:tcW w:type="dxa" w:w="1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META</w:t>
            </w:r>
          </w:p>
        </w:tc>
        <w:tc>
          <w:tcPr>
            <w:tcW w:type="dxa" w:w="19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Overweight (raise)</w:t>
            </w:r>
          </w:p>
        </w:tc>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$770 (from $710)</w:t>
            </w:r>
          </w:p>
        </w:tc>
        <w:tc>
          <w:tcPr>
            <w:tcW w:type="dxa" w:w="29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Reels monetization at parity with Feed</w:t>
            </w:r>
          </w:p>
        </w:tc>
      </w:tr>
      <w:tr>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Goldman</w:t>
            </w:r>
          </w:p>
        </w:tc>
        <w:tc>
          <w:tcPr>
            <w:tcW w:type="dxa" w:w="1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XOM</w:t>
            </w:r>
          </w:p>
        </w:tc>
        <w:tc>
          <w:tcPr>
            <w:tcW w:type="dxa" w:w="19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Buy</w:t>
            </w:r>
          </w:p>
        </w:tc>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$135 (unchanged)</w:t>
            </w:r>
          </w:p>
        </w:tc>
        <w:tc>
          <w:tcPr>
            <w:tcW w:type="dxa" w:w="29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Beat masks downstream weakness; cap-disc</w:t>
            </w:r>
          </w:p>
        </w:tc>
      </w:tr>
      <w:tr>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Citi</w:t>
            </w:r>
          </w:p>
        </w:tc>
        <w:tc>
          <w:tcPr>
            <w:tcW w:type="dxa" w:w="1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TSLA</w:t>
            </w:r>
          </w:p>
        </w:tc>
        <w:tc>
          <w:tcPr>
            <w:tcW w:type="dxa" w:w="19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Neutral → Sell</w:t>
            </w:r>
          </w:p>
        </w:tc>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$240 (from $290)</w:t>
            </w:r>
          </w:p>
        </w:tc>
        <w:tc>
          <w:tcPr>
            <w:tcW w:type="dxa" w:w="29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Robotaxi delivery slip; demand softening</w:t>
            </w:r>
          </w:p>
        </w:tc>
      </w:tr>
      <w:tr>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TD Cowen</w:t>
            </w:r>
          </w:p>
        </w:tc>
        <w:tc>
          <w:tcPr>
            <w:tcW w:type="dxa" w:w="1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CLS (Celestica)</w:t>
            </w:r>
          </w:p>
        </w:tc>
        <w:tc>
          <w:tcPr>
            <w:tcW w:type="dxa" w:w="19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Buy (upgrade)</w:t>
            </w:r>
          </w:p>
        </w:tc>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$430 (from $350)</w:t>
            </w:r>
          </w:p>
        </w:tc>
        <w:tc>
          <w:tcPr>
            <w:tcW w:type="dxa" w:w="29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FY26 visibility + capacity expansion</w:t>
            </w:r>
          </w:p>
        </w:tc>
      </w:tr>
      <w:tr>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Barclays</w:t>
            </w:r>
          </w:p>
        </w:tc>
        <w:tc>
          <w:tcPr>
            <w:tcW w:type="dxa" w:w="1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SHOP</w:t>
            </w:r>
          </w:p>
        </w:tc>
        <w:tc>
          <w:tcPr>
            <w:tcW w:type="dxa" w:w="19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Equalweight → Overweight</w:t>
            </w:r>
          </w:p>
        </w:tc>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$130 (from $105)</w:t>
            </w:r>
          </w:p>
        </w:tc>
        <w:tc>
          <w:tcPr>
            <w:tcW w:type="dxa" w:w="29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Plus enterprise traction; AI agent take</w:t>
            </w:r>
          </w:p>
        </w:tc>
      </w:tr>
      <w:tr>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Bank of America</w:t>
            </w:r>
          </w:p>
        </w:tc>
        <w:tc>
          <w:tcPr>
            <w:tcW w:type="dxa" w:w="10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NEE (NextEra)</w:t>
            </w:r>
          </w:p>
        </w:tc>
        <w:tc>
          <w:tcPr>
            <w:tcW w:type="dxa" w:w="19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Buy (initiate)</w:t>
            </w:r>
          </w:p>
        </w:tc>
        <w:tc>
          <w:tcPr>
            <w:tcW w:type="dxa" w:w="170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$92</w:t>
            </w:r>
          </w:p>
        </w:tc>
        <w:tc>
          <w:tcPr>
            <w:tcW w:type="dxa" w:w="2980"/>
            <w:tcBorders>
              <w:top w:val="single" w:color="D0D5DD" w:sz="4"/>
              <w:left w:val="single" w:color="D0D5DD" w:sz="4"/>
              <w:bottom w:val="single" w:color="D0D5DD" w:sz="4"/>
              <w:right w:val="single" w:color="D0D5DD" w:sz="4"/>
            </w:tcBorders>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Power-grid inflation; data-center demand</w:t>
            </w:r>
          </w:p>
        </w:tc>
      </w:tr>
      <w:tr>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UBS</w:t>
            </w:r>
          </w:p>
        </w:tc>
        <w:tc>
          <w:tcPr>
            <w:tcW w:type="dxa" w:w="10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LLY</w:t>
            </w:r>
          </w:p>
        </w:tc>
        <w:tc>
          <w:tcPr>
            <w:tcW w:type="dxa" w:w="19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Buy → Neutral</w:t>
            </w:r>
          </w:p>
        </w:tc>
        <w:tc>
          <w:tcPr>
            <w:tcW w:type="dxa" w:w="170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$870 (from $1,050)</w:t>
            </w:r>
          </w:p>
        </w:tc>
        <w:tc>
          <w:tcPr>
            <w:tcW w:type="dxa" w:w="2980"/>
            <w:tcBorders>
              <w:top w:val="single" w:color="D0D5DD" w:sz="4"/>
              <w:left w:val="single" w:color="D0D5DD" w:sz="4"/>
              <w:bottom w:val="single" w:color="D0D5DD" w:sz="4"/>
              <w:right w:val="single" w:color="D0D5DD" w:sz="4"/>
            </w:tcBorders>
            <w:shd w:fill="F2F4F7" w:val="clear"/>
            <w:tcMar>
              <w:top w:type="dxa" w:w="90"/>
              <w:left w:type="dxa" w:w="130"/>
              <w:bottom w:type="dxa" w:w="90"/>
              <w:right w:type="dxa" w:w="130"/>
            </w:tcMar>
          </w:tcPr>
          <w:p>
            <w:pPr>
              <w:spacing w:after="0" w:line="260"/>
              <w:jc w:val="left"/>
            </w:pPr>
            <w:r>
              <w:rPr>
                <w:rFonts w:ascii="Calibri" w:cs="Calibri" w:eastAsia="Calibri" w:hAnsi="Calibri"/>
                <w:b w:val="false"/>
                <w:bCs w:val="false"/>
                <w:color w:val="1A1A1A"/>
                <w:sz w:val="20"/>
                <w:szCs w:val="20"/>
              </w:rPr>
              <w:t xml:space="preserve">GLP-1 share loss risk in second half</w:t>
            </w:r>
          </w:p>
        </w:tc>
      </w:tr>
    </w:tbl>
    <w:p>
      <w:pPr>
        <w:pStyle w:val="Heading1"/>
        <w:pBdr>
          <w:bottom w:val="single" w:color="C5A572" w:sz="12" w:space="4"/>
        </w:pBdr>
        <w:spacing w:after="180" w:before="240"/>
      </w:pPr>
      <w:r>
        <w:rPr>
          <w:rFonts w:ascii="Georgia" w:cs="Georgia" w:eastAsia="Georgia" w:hAnsi="Georgia"/>
          <w:b/>
          <w:bCs/>
          <w:color w:val="0A2540"/>
          <w:sz w:val="36"/>
          <w:szCs w:val="36"/>
        </w:rPr>
        <w:t xml:space="preserve">9. Stocks to Watch</w:t>
      </w:r>
    </w:p>
    <w:p>
      <w:pPr>
        <w:spacing w:after="60" w:before="0" w:line="300"/>
      </w:pPr>
      <w:r>
        <w:rPr>
          <w:rFonts w:ascii="Calibri" w:cs="Calibri" w:eastAsia="Calibri" w:hAnsi="Calibri"/>
          <w:b/>
          <w:bCs/>
          <w:color w:val="0A2540"/>
          <w:sz w:val="22"/>
          <w:szCs w:val="22"/>
        </w:rPr>
        <w:t xml:space="preserve">Apple (AAPL) — pre-market $235.40, +3.2%. </w:t>
      </w:r>
    </w:p>
    <w:p>
      <w:pPr>
        <w:spacing w:after="120" w:before="0" w:line="300"/>
      </w:pPr>
      <w:r>
        <w:rPr>
          <w:rFonts w:ascii="Calibri" w:cs="Calibri" w:eastAsia="Calibri" w:hAnsi="Calibri"/>
          <w:b w:val="false"/>
          <w:bCs w:val="false"/>
          <w:i w:val="false"/>
          <w:iCs w:val="false"/>
          <w:color w:val="1A1A1A"/>
          <w:sz w:val="22"/>
          <w:szCs w:val="22"/>
        </w:rPr>
        <w:t xml:space="preserve">The blowout print is the obvious catalyst, but the level to watch is $238 — the prior all-time high from January. A daily close above $238 with volume confirms the breakout and opens a path to the $250–$255 zone Morgan Stanley flagged. Options are pricing a +/- 4% post-earnings move; the actual 3.2% pre-market suggests the move could extend rather than fade. Risk: a sour ISM print in the cycle's first reading post-Hormuz blockade could reignite hard-landing concerns and undo the bid.</w:t>
      </w:r>
    </w:p>
    <w:p>
      <w:pPr>
        <w:spacing w:after="60" w:before="0" w:line="300"/>
      </w:pPr>
      <w:r>
        <w:rPr>
          <w:rFonts w:ascii="Calibri" w:cs="Calibri" w:eastAsia="Calibri" w:hAnsi="Calibri"/>
          <w:b/>
          <w:bCs/>
          <w:color w:val="0A2540"/>
          <w:sz w:val="22"/>
          <w:szCs w:val="22"/>
        </w:rPr>
        <w:t xml:space="preserve">ExxonMobil (XOM) — pre-market $128.15, +0.3%. </w:t>
      </w:r>
    </w:p>
    <w:p>
      <w:pPr>
        <w:spacing w:after="120" w:before="0" w:line="300"/>
      </w:pPr>
      <w:r>
        <w:rPr>
          <w:rFonts w:ascii="Calibri" w:cs="Calibri" w:eastAsia="Calibri" w:hAnsi="Calibri"/>
          <w:b w:val="false"/>
          <w:bCs w:val="false"/>
          <w:i w:val="false"/>
          <w:iCs w:val="false"/>
          <w:color w:val="1A1A1A"/>
          <w:sz w:val="22"/>
          <w:szCs w:val="22"/>
        </w:rPr>
        <w:t xml:space="preserve">The print is fine; the chart is what matters. XOM has been consolidating between $122 and $130 since mid-March. A daily close above $130.50 confirms a textbook bull-flag breakout off the war-premium base, with measured target near $148. The 14% YTD outperformance of the XLE ETF tells you institutions are not yet positioned for a sustained energy regime — that asymmetry is the trade. Risk: a credible Iran-deal headline cracks Brent through $100.</w:t>
      </w:r>
    </w:p>
    <w:p>
      <w:pPr>
        <w:spacing w:after="60" w:before="0" w:line="300"/>
      </w:pPr>
      <w:r>
        <w:rPr>
          <w:rFonts w:ascii="Calibri" w:cs="Calibri" w:eastAsia="Calibri" w:hAnsi="Calibri"/>
          <w:b/>
          <w:bCs/>
          <w:color w:val="0A2540"/>
          <w:sz w:val="22"/>
          <w:szCs w:val="22"/>
        </w:rPr>
        <w:t xml:space="preserve">Tesla (TSLA) — pre-market $264.20, -2.1%. </w:t>
      </w:r>
    </w:p>
    <w:p>
      <w:pPr>
        <w:spacing w:after="120" w:before="0" w:line="300"/>
      </w:pPr>
      <w:r>
        <w:rPr>
          <w:rFonts w:ascii="Calibri" w:cs="Calibri" w:eastAsia="Calibri" w:hAnsi="Calibri"/>
          <w:b w:val="false"/>
          <w:bCs w:val="false"/>
          <w:i w:val="false"/>
          <w:iCs w:val="false"/>
          <w:color w:val="1A1A1A"/>
          <w:sz w:val="22"/>
          <w:szCs w:val="22"/>
        </w:rPr>
        <w:t xml:space="preserve">Citi's downgrade to Sell with a $240 target is the catalyst, but the operating news is worse: the Robotaxi launch in Austin has been pushed from June to "late Q3," the second slip this year. Q1 deliveries already disappointed at 351,000 units. The $260 level is critical; a daily close below opens the door to the $235 January-low retest. Implied vol is back above 60, the highest since November — the tape is set up for a binary move on the next product update.</w:t>
      </w:r>
    </w:p>
    <w:p>
      <w:pPr>
        <w:spacing w:after="60" w:before="0" w:line="300"/>
      </w:pPr>
      <w:r>
        <w:rPr>
          <w:rFonts w:ascii="Calibri" w:cs="Calibri" w:eastAsia="Calibri" w:hAnsi="Calibri"/>
          <w:b/>
          <w:bCs/>
          <w:color w:val="0A2540"/>
          <w:sz w:val="22"/>
          <w:szCs w:val="22"/>
        </w:rPr>
        <w:t xml:space="preserve">NVIDIA (NVDA) — pre-market $145.80, +0.8%. </w:t>
      </w:r>
    </w:p>
    <w:p>
      <w:pPr>
        <w:spacing w:after="120" w:before="0" w:line="300"/>
      </w:pPr>
      <w:r>
        <w:rPr>
          <w:rFonts w:ascii="Calibri" w:cs="Calibri" w:eastAsia="Calibri" w:hAnsi="Calibri"/>
          <w:b w:val="false"/>
          <w:bCs w:val="false"/>
          <w:i w:val="false"/>
          <w:iCs w:val="false"/>
          <w:color w:val="1A1A1A"/>
          <w:sz w:val="22"/>
          <w:szCs w:val="22"/>
        </w:rPr>
        <w:t xml:space="preserve">Not reporting today, but the read-through from Alphabet, Amazon, and Microsoft cloud capex is unambiguously positive. NVDA has consolidated since its February all-time high of $158 and traded sideways on the war news. The setup heading into the May 21 earnings print mirrors the late-2024 base that preceded the ramp into Blackwell — same multiple, same growth, but with a more compressed valuation. Watch the $148 level: a clean break opens the path to $158-plus.</w:t>
      </w:r>
    </w:p>
    <w:p>
      <w:pPr>
        <w:pStyle w:val="Heading1"/>
        <w:pBdr>
          <w:bottom w:val="single" w:color="C5A572" w:sz="12" w:space="4"/>
        </w:pBdr>
        <w:spacing w:after="180" w:before="240"/>
      </w:pPr>
      <w:r>
        <w:rPr>
          <w:rFonts w:ascii="Georgia" w:cs="Georgia" w:eastAsia="Georgia" w:hAnsi="Georgia"/>
          <w:b/>
          <w:bCs/>
          <w:color w:val="0A2540"/>
          <w:sz w:val="36"/>
          <w:szCs w:val="36"/>
        </w:rPr>
        <w:t xml:space="preserve">10. Global Macro Snapshot</w:t>
      </w:r>
    </w:p>
    <w:p>
      <w:pPr>
        <w:spacing w:after="120" w:before="0" w:line="300"/>
      </w:pPr>
      <w:r>
        <w:rPr>
          <w:rFonts w:ascii="Calibri" w:cs="Calibri" w:eastAsia="Calibri" w:hAnsi="Calibri"/>
          <w:b w:val="false"/>
          <w:bCs w:val="false"/>
          <w:i w:val="false"/>
          <w:iCs w:val="false"/>
          <w:color w:val="1A1A1A"/>
          <w:sz w:val="22"/>
          <w:szCs w:val="22"/>
        </w:rPr>
        <w:t xml:space="preserve">Beyond the headline U.S. tape, the global picture is uneven. China's manufacturing PMI dichotomy (official 50.3, Caixin 52.2) leaves observers split on whether the Q1 export surge was front-loading ahead of tariff risk or genuine momentum; the offshore yuan firmed slightly to 7.245, a move that argues for the latter. Watch the Politburo readout, due imminently.</w:t>
      </w:r>
    </w:p>
    <w:p>
      <w:pPr>
        <w:spacing w:after="120" w:before="0" w:line="300"/>
      </w:pPr>
      <w:r>
        <w:rPr>
          <w:rFonts w:ascii="Calibri" w:cs="Calibri" w:eastAsia="Calibri" w:hAnsi="Calibri"/>
          <w:b w:val="false"/>
          <w:bCs w:val="false"/>
          <w:i w:val="false"/>
          <w:iCs w:val="false"/>
          <w:color w:val="1A1A1A"/>
          <w:sz w:val="22"/>
          <w:szCs w:val="22"/>
        </w:rPr>
        <w:t xml:space="preserve">Europe is largely closed today for Labour Day, with only the FTSE 100 trading. Yesterday's late session saw the Stoxx 600 close +1.4%, with both the ECB and BoE holding rates as expected and signaling that the bar for cuts has risen given the imported oil-shock inflation pulse. EUR/USD is hovering at 1.0925, and EU-priced Brent has climbed to €105 — a level that, if sustained, will start showing in May CPI prints from Germany and France.</w:t>
      </w:r>
    </w:p>
    <w:p>
      <w:pPr>
        <w:spacing w:after="120" w:before="0" w:line="300"/>
      </w:pPr>
      <w:r>
        <w:rPr>
          <w:rFonts w:ascii="Calibri" w:cs="Calibri" w:eastAsia="Calibri" w:hAnsi="Calibri"/>
          <w:b w:val="false"/>
          <w:bCs w:val="false"/>
          <w:i w:val="false"/>
          <w:iCs w:val="false"/>
          <w:color w:val="1A1A1A"/>
          <w:sz w:val="22"/>
          <w:szCs w:val="22"/>
        </w:rPr>
        <w:t xml:space="preserve">Japan is the standout in Asia today, with the Nikkei +0.4% to 59,513.12 — a fresh all-time high. The yen, however, strengthened nearly 3% earlier this week amid suspected MOF intervention, and USD/JPY now sits near 152.30 (vs. 158 last week). The yen-funded carry trade has unwound aggressively over the past 72 hours; cross-asset vol watchers should monitor this as a potential margin-call accelerant if it continues. EM stress is contained: the JPMorgan EMBI spread sits at 280 bps, near YTD tights.</w:t>
      </w:r>
    </w:p>
    <w:p>
      <w:pPr>
        <w:pStyle w:val="Heading1"/>
        <w:pBdr>
          <w:bottom w:val="single" w:color="C5A572" w:sz="12" w:space="4"/>
        </w:pBdr>
        <w:spacing w:after="180" w:before="240"/>
      </w:pPr>
      <w:r>
        <w:rPr>
          <w:rFonts w:ascii="Georgia" w:cs="Georgia" w:eastAsia="Georgia" w:hAnsi="Georgia"/>
          <w:b/>
          <w:bCs/>
          <w:color w:val="0A2540"/>
          <w:sz w:val="36"/>
          <w:szCs w:val="36"/>
        </w:rPr>
        <w:t xml:space="preserve">11. Week Ahead — May 4–8</w:t>
      </w:r>
    </w:p>
    <w:p>
      <w:pPr>
        <w:spacing w:after="120" w:before="0" w:line="300"/>
      </w:pPr>
      <w:r>
        <w:rPr>
          <w:rFonts w:ascii="Calibri" w:cs="Calibri" w:eastAsia="Calibri" w:hAnsi="Calibri"/>
          <w:b w:val="false"/>
          <w:bCs w:val="false"/>
          <w:i w:val="false"/>
          <w:iCs w:val="false"/>
          <w:color w:val="1A1A1A"/>
          <w:sz w:val="22"/>
          <w:szCs w:val="22"/>
        </w:rPr>
        <w:t xml:space="preserve">Monday brings the first taste of next week: ISM Services PMI (consensus 53.5 vs. 52.8 prior), Atlanta Fed's Bostic speech, and pre-market earnings from Berkshire Hathaway (post-AGM, much-watched), Tyson Foods, Realty Income, and Vertex Pharma. Tuesday is the Treasury's quarterly refunding announcement — a critical event for the long end given recent yield pressure; consensus expects $48 billion in new 10-year issuance and a possible bump to 30-year sizes.</w:t>
      </w:r>
    </w:p>
    <w:p>
      <w:pPr>
        <w:spacing w:after="120" w:before="0" w:line="300"/>
      </w:pPr>
      <w:r>
        <w:rPr>
          <w:rFonts w:ascii="Calibri" w:cs="Calibri" w:eastAsia="Calibri" w:hAnsi="Calibri"/>
          <w:b w:val="false"/>
          <w:bCs w:val="false"/>
          <w:i w:val="false"/>
          <w:iCs w:val="false"/>
          <w:color w:val="1A1A1A"/>
          <w:sz w:val="22"/>
          <w:szCs w:val="22"/>
        </w:rPr>
        <w:t xml:space="preserve">Wednesday's calendar features ADP private payrolls (consensus +135K vs. +147K prior), trade balance data, Vice Chair Jefferson speech, and earnings from Disney, Uber, AMD, Shopify, and Coupang. Thursday delivers initial jobless claims, productivity &amp; unit labor costs, plus earnings from Pinterest, Sanofi, Datadog and Cloudflare.</w:t>
      </w:r>
    </w:p>
    <w:p>
      <w:pPr>
        <w:spacing w:after="120" w:before="0" w:line="300"/>
      </w:pPr>
      <w:r>
        <w:rPr>
          <w:rFonts w:ascii="Calibri" w:cs="Calibri" w:eastAsia="Calibri" w:hAnsi="Calibri"/>
          <w:b w:val="false"/>
          <w:bCs w:val="false"/>
          <w:i w:val="false"/>
          <w:iCs w:val="false"/>
          <w:color w:val="1A1A1A"/>
          <w:sz w:val="22"/>
          <w:szCs w:val="22"/>
        </w:rPr>
        <w:t xml:space="preserve">Friday is the data marquee: April Nonfarm Payrolls release (preliminary consensus +170K, unemployment 4.2%, AHE +0.3% m/m). With March having delivered a +178K beat against a +59K expectation, the bar for an upside surprise is much higher. Geopolitically, watch for any movement on the Iranian counter-proposal — markets will reprice oil first, equities second, on any concrete diplomatic step. House Speaker is also expected to release the May supplemental funding bill that includes Ukraine and Israel-aid components.</w:t>
      </w:r>
    </w:p>
    <w:p>
      <w:pPr>
        <w:pStyle w:val="Heading1"/>
        <w:pBdr>
          <w:bottom w:val="single" w:color="C5A572" w:sz="12" w:space="4"/>
        </w:pBdr>
        <w:spacing w:after="180" w:before="240"/>
      </w:pPr>
      <w:r>
        <w:rPr>
          <w:rFonts w:ascii="Georgia" w:cs="Georgia" w:eastAsia="Georgia" w:hAnsi="Georgia"/>
          <w:b/>
          <w:bCs/>
          <w:color w:val="0A2540"/>
          <w:sz w:val="36"/>
          <w:szCs w:val="36"/>
        </w:rPr>
        <w:t xml:space="preserve">12. Closing Thought</w:t>
      </w:r>
    </w:p>
    <w:p>
      <w:pPr>
        <w:spacing w:after="120" w:before="0" w:line="300"/>
      </w:pPr>
      <w:r>
        <w:rPr>
          <w:rFonts w:ascii="Calibri" w:cs="Calibri" w:eastAsia="Calibri" w:hAnsi="Calibri"/>
          <w:b w:val="false"/>
          <w:bCs w:val="false"/>
          <w:i w:val="false"/>
          <w:iCs w:val="false"/>
          <w:color w:val="1A1A1A"/>
          <w:sz w:val="22"/>
          <w:szCs w:val="22"/>
        </w:rPr>
        <w:t xml:space="preserve">A worthwhile lens for May: the four-way Fed dissent is a higher-order signal than the rate hold itself. Markets have spent the past 18 months trained that the Fed is the buyer of last resort whenever financial conditions wobble. A divided Committee — three governors actively opposing dovish language — quietly removes that backstop in exactly the moment when an oil-price shock is testing the inflation regime. The market is, in our view, still pricing the old reaction function.</w:t>
      </w:r>
    </w:p>
    <w:p>
      <w:pPr>
        <w:spacing w:after="120" w:before="0" w:line="300"/>
      </w:pPr>
      <w:r>
        <w:rPr>
          <w:rFonts w:ascii="Calibri" w:cs="Calibri" w:eastAsia="Calibri" w:hAnsi="Calibri"/>
          <w:b w:val="false"/>
          <w:bCs w:val="false"/>
          <w:i w:val="false"/>
          <w:iCs w:val="false"/>
          <w:color w:val="1A1A1A"/>
          <w:sz w:val="22"/>
          <w:szCs w:val="22"/>
        </w:rPr>
        <w:t xml:space="preserve">If long-end yields keep grinding higher and the 30-year cracks 5%, the equity duration trade — which is mathematically about 70% of the YTD S&amp;P 500 return — gets repriced regardless of the earnings tape. Q1 earnings have been excellent. They have also delivered the strongest April since 2020. Both can be true and the market can still face a more challenging summer than the consensus assumes.</w:t>
      </w:r>
    </w:p>
    <w:p>
      <w:pPr>
        <w:spacing w:after="120" w:before="0" w:line="300"/>
      </w:pPr>
      <w:r>
        <w:rPr>
          <w:rFonts w:ascii="Calibri" w:cs="Calibri" w:eastAsia="Calibri" w:hAnsi="Calibri"/>
          <w:b w:val="false"/>
          <w:bCs w:val="false"/>
          <w:i w:val="false"/>
          <w:iCs w:val="false"/>
          <w:color w:val="1A1A1A"/>
          <w:sz w:val="22"/>
          <w:szCs w:val="22"/>
        </w:rPr>
        <w:t xml:space="preserve">The bull case requires three things to hold: an Iran-deal break that releases oil pressure, a clean ISM print today that confirms growth without re-igniting inflation fears, and a nominee for Fed Chair who signals continuity. None of those are guaranteed. Position accordingly. As Druckenmiller likes to say: focus on what's discounted, not what's true. Have a great weekend.</w:t>
      </w:r>
    </w:p>
    <w:p>
      <w:pPr>
        <w:spacing w:after="120" w:before="240" w:line="300"/>
        <w:jc w:val="center"/>
      </w:pPr>
      <w:r>
        <w:rPr>
          <w:rFonts w:ascii="Georgia" w:cs="Georgia" w:eastAsia="Georgia" w:hAnsi="Georgia"/>
          <w:i/>
          <w:iCs/>
          <w:color w:val="C5A572"/>
          <w:sz w:val="22"/>
          <w:szCs w:val="22"/>
        </w:rPr>
        <w:t xml:space="preserve">—  End of Brief  —</w:t>
      </w:r>
    </w:p>
    <w:p>
      <w:pPr>
        <w:spacing w:after="120" w:before="0" w:line="300"/>
        <w:jc w:val="center"/>
      </w:pPr>
      <w:r>
        <w:rPr>
          <w:rFonts w:ascii="Calibri" w:cs="Calibri" w:eastAsia="Calibri" w:hAnsi="Calibri"/>
          <w:i/>
          <w:iCs/>
          <w:color w:val="667085"/>
          <w:sz w:val="16"/>
          <w:szCs w:val="16"/>
        </w:rPr>
        <w:t xml:space="preserve">Daily Financial Brief is provided for informational purposes only. Not investment advice. Sources: CNBC, Reuters, Bloomberg, FRED, S&amp;P Global, ISM, U.S. Treasury, company earnings releases.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6"/>
        <w:szCs w:val="16"/>
      </w:rPr>
      <w:t xml:space="preserve">Page </w:t>
    </w:r>
    <w:r>
      <w:rPr>
        <w:rFonts w:ascii="Calibri" w:cs="Calibri" w:eastAsia="Calibri" w:hAnsi="Calibri"/>
        <w:color w:val="667085"/>
        <w:sz w:val="16"/>
        <w:szCs w:val="16"/>
      </w:rPr>
      <w:fldChar w:fldCharType="begin"/>
      <w:instrText xml:space="preserve">PAGE</w:instrText>
      <w:fldChar w:fldCharType="separate"/>
      <w:fldChar w:fldCharType="end"/>
    </w:r>
    <w:r>
      <w:rPr>
        <w:rFonts w:ascii="Calibri" w:cs="Calibri" w:eastAsia="Calibri" w:hAnsi="Calibri"/>
        <w:color w:val="667085"/>
        <w:sz w:val="16"/>
        <w:szCs w:val="16"/>
      </w:rPr>
      <w:t xml:space="preserve"> of </w:t>
    </w:r>
    <w:r>
      <w:rPr>
        <w:rFonts w:ascii="Calibri" w:cs="Calibri" w:eastAsia="Calibri" w:hAnsi="Calibri"/>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7085"/>
        <w:sz w:val="16"/>
        <w:szCs w:val="16"/>
      </w:rPr>
      <w:t xml:space="preserve">Daily Financial Brief — May 1,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Financial Brief — May 1, 2026</dc:title>
  <dc:creator>James Flanagan</dc:creator>
  <cp:lastModifiedBy>Un-named</cp:lastModifiedBy>
  <cp:revision>1</cp:revision>
  <dcterms:created xsi:type="dcterms:W3CDTF">2026-05-01T13:19:41.114Z</dcterms:created>
  <dcterms:modified xsi:type="dcterms:W3CDTF">2026-05-01T13:19:41.115Z</dcterms:modified>
</cp:coreProperties>
</file>

<file path=docProps/custom.xml><?xml version="1.0" encoding="utf-8"?>
<Properties xmlns="http://schemas.openxmlformats.org/officeDocument/2006/custom-properties" xmlns:vt="http://schemas.openxmlformats.org/officeDocument/2006/docPropsVTypes"/>
</file>