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A2342"/>
          <w:sz w:val="44"/>
          <w:szCs w:val="44"/>
        </w:rPr>
        <w:t xml:space="preserve">DAILY FINANCIAL BRIEF</w:t>
      </w:r>
    </w:p>
    <w:p>
      <w:pPr>
        <w:spacing w:after="80"/>
      </w:pPr>
      <w:r>
        <w:rPr>
          <w:rFonts w:ascii="Calibri" w:cs="Calibri" w:eastAsia="Calibri" w:hAnsi="Calibri"/>
          <w:b/>
          <w:bCs/>
          <w:color w:val="C9A227"/>
          <w:sz w:val="26"/>
          <w:szCs w:val="26"/>
        </w:rPr>
        <w:t xml:space="preserve">Weekend Edition  •  Saturday, May 2, 2026</w:t>
      </w:r>
    </w:p>
    <w:p>
      <w:pPr>
        <w:pBdr>
          <w:bottom w:val="single" w:color="C9A227" w:sz="18" w:space="6"/>
        </w:pBdr>
        <w:spacing w:after="320"/>
      </w:pPr>
      <w:r>
        <w:rPr>
          <w:rFonts w:ascii="Calibri" w:cs="Calibri" w:eastAsia="Calibri" w:hAnsi="Calibri"/>
          <w:i/>
          <w:iCs/>
          <w:color w:val="555555"/>
          <w:sz w:val="22"/>
          <w:szCs w:val="22"/>
        </w:rPr>
        <w:t xml:space="preserve">Records on Wall Street, intervention in Tokyo, a peace bid from Tehran — and a jobs report Friday.</w:t>
      </w:r>
    </w:p>
    <w:p>
      <w:pPr>
        <w:pBdr>
          <w:bottom w:val="single" w:color="C9A227" w:sz="18" w:space="6"/>
        </w:pBdr>
        <w:spacing w:after="200" w:before="360"/>
      </w:pPr>
      <w:r>
        <w:rPr>
          <w:rFonts w:ascii="Calibri" w:cs="Calibri" w:eastAsia="Calibri" w:hAnsi="Calibri"/>
          <w:b/>
          <w:bCs/>
          <w:color w:val="C9A227"/>
          <w:sz w:val="28"/>
          <w:szCs w:val="28"/>
        </w:rPr>
        <w:t xml:space="preserve">1.  </w:t>
      </w:r>
      <w:r>
        <w:rPr>
          <w:rFonts w:ascii="Calibri" w:cs="Calibri" w:eastAsia="Calibri" w:hAnsi="Calibri"/>
          <w:b/>
          <w:bCs/>
          <w:color w:val="0A2342"/>
          <w:sz w:val="28"/>
          <w:szCs w:val="28"/>
        </w:rPr>
        <w:t xml:space="preserve">The Morning Setup</w:t>
      </w:r>
    </w:p>
    <w:p>
      <w:pPr>
        <w:spacing w:after="160" w:line="300"/>
        <w:jc w:val="both"/>
      </w:pPr>
      <w:r>
        <w:rPr>
          <w:rFonts w:ascii="Calibri" w:cs="Calibri" w:eastAsia="Calibri" w:hAnsi="Calibri"/>
          <w:color w:val="1A1A1A"/>
          <w:sz w:val="22"/>
          <w:szCs w:val="22"/>
        </w:rPr>
        <w:t xml:space="preserve">It is the rarest of moments in modern markets — the S&amp;P 500 and Nasdaq both closed at all-time highs on Friday even as U.S. crude oil hovers above $100 a barrel, the dollar has its weakest stretch of 2026, and a foreign central bank just torched roughly $35 billion of reserves to defend its currency. Friday's tape was a quiet record: the S&amp;P 500 added 0.29% to 7,230.12, the Nasdaq Composite tacked on 0.89% to 25,114.44, and the Russell 2000 closed within shouting distance of its own 52-week high. Apple's blowout quarter — $111.2 billion in revenue, a March-quarter record for iPhone, and a guide that humiliated the Street's June-quarter estimate — papered over a more complicated picture beneath the index level.</w:t>
      </w:r>
    </w:p>
    <w:p>
      <w:pPr>
        <w:spacing w:after="160" w:line="300"/>
        <w:jc w:val="both"/>
      </w:pPr>
      <w:r>
        <w:rPr>
          <w:rFonts w:ascii="Calibri" w:cs="Calibri" w:eastAsia="Calibri" w:hAnsi="Calibri"/>
          <w:color w:val="1A1A1A"/>
          <w:sz w:val="22"/>
          <w:szCs w:val="22"/>
        </w:rPr>
        <w:t xml:space="preserve">That picture: the Iran war is now seven weeks old, oil traders are toggling between $100 and $126 on every diplomatic rumor out of Islamabad, the Bank of Japan has formally re-entered the FX wars to defend the 160 line in dollar-yen, and the Federal Open Market Committee just delivered Jerome Powell's final decision as chair with the most dissents in 34 years. Into that, James, Friday brings the April nonfarm payrolls — the cleanest read yet on whether the Iran shock has broken the U.S. labor market or merely bent it. The week ahead is when narrative meets data.</w:t>
      </w:r>
    </w:p>
    <w:p>
      <w:pPr>
        <w:pBdr>
          <w:bottom w:val="single" w:color="C9A227" w:sz="18" w:space="6"/>
        </w:pBdr>
        <w:spacing w:after="200" w:before="360"/>
      </w:pPr>
      <w:r>
        <w:rPr>
          <w:rFonts w:ascii="Calibri" w:cs="Calibri" w:eastAsia="Calibri" w:hAnsi="Calibri"/>
          <w:b/>
          <w:bCs/>
          <w:color w:val="C9A227"/>
          <w:sz w:val="28"/>
          <w:szCs w:val="28"/>
        </w:rPr>
        <w:t xml:space="preserve">2.  </w:t>
      </w:r>
      <w:r>
        <w:rPr>
          <w:rFonts w:ascii="Calibri" w:cs="Calibri" w:eastAsia="Calibri" w:hAnsi="Calibri"/>
          <w:b/>
          <w:bCs/>
          <w:color w:val="0A2342"/>
          <w:sz w:val="28"/>
          <w:szCs w:val="28"/>
        </w:rPr>
        <w:t xml:space="preserve">Markets at a Glance</w:t>
      </w:r>
    </w:p>
    <w:p>
      <w:pPr>
        <w:spacing w:after="120"/>
      </w:pPr>
      <w:r>
        <w:rPr>
          <w:rFonts w:ascii="Calibri" w:cs="Calibri" w:eastAsia="Calibri" w:hAnsi="Calibri"/>
          <w:i/>
          <w:iCs/>
          <w:color w:val="555555"/>
          <w:sz w:val="20"/>
          <w:szCs w:val="20"/>
        </w:rPr>
        <w:t xml:space="preserve">Levels reflect Friday, May 1 close (US, Europe) and most recent print (FX, crypto, Asia open). Color coding: green = positive, red = negative.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860"/>
      </w:tblGrid>
      <w:tr>
        <w:trPr>
          <w:tblHeader/>
        </w:trPr>
        <w:tc>
          <w:tcPr>
            <w:tcW w:type="dxa" w:w="2400"/>
            <w:tcBorders>
              <w:top w:val="single" w:color="BBBBBB" w:sz="4"/>
              <w:left w:val="single" w:color="BBBBBB" w:sz="4"/>
              <w:bottom w:val="single" w:color="BBBBBB" w:sz="4"/>
              <w:right w:val="single" w:color="BBBBBB" w:sz="4"/>
            </w:tcBorders>
            <w:shd w:fill="0A2342"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Asset</w:t>
            </w:r>
          </w:p>
        </w:tc>
        <w:tc>
          <w:tcPr>
            <w:tcW w:type="dxa" w:w="1700"/>
            <w:tcBorders>
              <w:top w:val="single" w:color="BBBBBB" w:sz="4"/>
              <w:left w:val="single" w:color="BBBBBB" w:sz="4"/>
              <w:bottom w:val="single" w:color="BBBBBB" w:sz="4"/>
              <w:right w:val="single" w:color="BBBBBB" w:sz="4"/>
            </w:tcBorders>
            <w:shd w:fill="0A2342"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Level</w:t>
            </w:r>
          </w:p>
        </w:tc>
        <w:tc>
          <w:tcPr>
            <w:tcW w:type="dxa" w:w="1700"/>
            <w:tcBorders>
              <w:top w:val="single" w:color="BBBBBB" w:sz="4"/>
              <w:left w:val="single" w:color="BBBBBB" w:sz="4"/>
              <w:bottom w:val="single" w:color="BBBBBB" w:sz="4"/>
              <w:right w:val="single" w:color="BBBBBB" w:sz="4"/>
            </w:tcBorders>
            <w:shd w:fill="0A2342"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Change</w:t>
            </w:r>
          </w:p>
        </w:tc>
        <w:tc>
          <w:tcPr>
            <w:tcW w:type="dxa" w:w="1700"/>
            <w:tcBorders>
              <w:top w:val="single" w:color="BBBBBB" w:sz="4"/>
              <w:left w:val="single" w:color="BBBBBB" w:sz="4"/>
              <w:bottom w:val="single" w:color="BBBBBB" w:sz="4"/>
              <w:right w:val="single" w:color="BBBBBB" w:sz="4"/>
            </w:tcBorders>
            <w:shd w:fill="0A2342"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 Change</w:t>
            </w:r>
          </w:p>
        </w:tc>
        <w:tc>
          <w:tcPr>
            <w:tcW w:type="dxa" w:w="1860"/>
            <w:tcBorders>
              <w:top w:val="single" w:color="BBBBBB" w:sz="4"/>
              <w:left w:val="single" w:color="BBBBBB" w:sz="4"/>
              <w:bottom w:val="single" w:color="BBBBBB" w:sz="4"/>
              <w:right w:val="single" w:color="BBBBBB" w:sz="4"/>
            </w:tcBorders>
            <w:shd w:fill="0A2342"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Note</w:t>
            </w:r>
          </w:p>
        </w:tc>
      </w:tr>
      <w:tr>
        <w:tc>
          <w:tcPr>
            <w:tcW w:type="dxa" w:w="9360"/>
            <w:gridSpan w:val="5"/>
            <w:tcBorders>
              <w:top w:val="single" w:color="BBBBBB" w:sz="4"/>
              <w:left w:val="single" w:color="BBBBBB" w:sz="4"/>
              <w:bottom w:val="single" w:color="BBBBBB" w:sz="4"/>
              <w:right w:val="single" w:color="BBBBBB" w:sz="4"/>
            </w:tcBorders>
            <w:shd w:fill="C9A227" w:val="clear"/>
            <w:tcMar>
              <w:top w:type="dxa" w:w="60"/>
              <w:left w:type="dxa" w:w="120"/>
              <w:bottom w:type="dxa" w:w="60"/>
              <w:right w:type="dxa" w:w="120"/>
            </w:tcMar>
          </w:tcPr>
          <w:p>
            <w:r>
              <w:rPr>
                <w:rFonts w:ascii="Calibri" w:cs="Calibri" w:eastAsia="Calibri" w:hAnsi="Calibri"/>
                <w:b/>
                <w:bCs/>
                <w:color w:val="FFFFFF"/>
                <w:sz w:val="20"/>
                <w:szCs w:val="20"/>
              </w:rPr>
              <w:t xml:space="preserve">US INDEXES — FRIDAY CLOSE</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S&amp;P 500</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7,230.12</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0B6E2E"/>
                <w:sz w:val="20"/>
                <w:szCs w:val="20"/>
              </w:rPr>
              <w:t xml:space="preserve">+20.92</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0B6E2E"/>
                <w:sz w:val="20"/>
                <w:szCs w:val="20"/>
              </w:rPr>
              <w:t xml:space="preserve">+0.29%</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Record close</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Nasdaq Composite</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25,114.44</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0B6E2E"/>
                <w:sz w:val="20"/>
                <w:szCs w:val="20"/>
              </w:rPr>
              <w:t xml:space="preserve">+221.4</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0B6E2E"/>
                <w:sz w:val="20"/>
                <w:szCs w:val="20"/>
              </w:rPr>
              <w:t xml:space="preserve">+0.89%</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Record close</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Dow Jones</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49,499.27</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B22222"/>
                <w:sz w:val="20"/>
                <w:szCs w:val="20"/>
              </w:rPr>
              <w:t xml:space="preserve">-153.65</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B22222"/>
                <w:sz w:val="20"/>
                <w:szCs w:val="20"/>
              </w:rPr>
              <w:t xml:space="preserve">-0.31%</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Energy drag</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Russell 2000</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2,812.82</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0B6E2E"/>
                <w:sz w:val="20"/>
                <w:szCs w:val="20"/>
              </w:rPr>
              <w:t xml:space="preserve">+12.85</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0B6E2E"/>
                <w:sz w:val="20"/>
                <w:szCs w:val="20"/>
              </w:rPr>
              <w:t xml:space="preserve">+0.46%</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Near 52-wk high</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VIX</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16.89</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B22222"/>
                <w:sz w:val="20"/>
                <w:szCs w:val="20"/>
              </w:rPr>
              <w:t xml:space="preserve">-0.35</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B22222"/>
                <w:sz w:val="20"/>
                <w:szCs w:val="20"/>
              </w:rPr>
              <w:t xml:space="preserve">-2.03%</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Calm regime</w:t>
            </w:r>
          </w:p>
        </w:tc>
      </w:tr>
      <w:tr>
        <w:tc>
          <w:tcPr>
            <w:tcW w:type="dxa" w:w="9360"/>
            <w:gridSpan w:val="5"/>
            <w:tcBorders>
              <w:top w:val="single" w:color="BBBBBB" w:sz="4"/>
              <w:left w:val="single" w:color="BBBBBB" w:sz="4"/>
              <w:bottom w:val="single" w:color="BBBBBB" w:sz="4"/>
              <w:right w:val="single" w:color="BBBBBB" w:sz="4"/>
            </w:tcBorders>
            <w:shd w:fill="C9A227" w:val="clear"/>
            <w:tcMar>
              <w:top w:type="dxa" w:w="60"/>
              <w:left w:type="dxa" w:w="120"/>
              <w:bottom w:type="dxa" w:w="60"/>
              <w:right w:type="dxa" w:w="120"/>
            </w:tcMar>
          </w:tcPr>
          <w:p>
            <w:r>
              <w:rPr>
                <w:rFonts w:ascii="Calibri" w:cs="Calibri" w:eastAsia="Calibri" w:hAnsi="Calibri"/>
                <w:b/>
                <w:bCs/>
                <w:color w:val="FFFFFF"/>
                <w:sz w:val="20"/>
                <w:szCs w:val="20"/>
              </w:rPr>
              <w:t xml:space="preserve">GLOBAL — FRIDAY</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FTSE 100 (UK)</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10,378.82</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0B6E2E"/>
                <w:sz w:val="20"/>
                <w:szCs w:val="20"/>
              </w:rPr>
              <w:t xml:space="preserve">+18.55</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0B6E2E"/>
                <w:sz w:val="20"/>
                <w:szCs w:val="20"/>
              </w:rPr>
              <w:t xml:space="preserve">+0.18%</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Miners led</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DAX (Germany)</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24,292.38</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0B6E2E"/>
                <w:sz w:val="20"/>
                <w:szCs w:val="20"/>
              </w:rPr>
              <w:t xml:space="preserve">+38.10</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0B6E2E"/>
                <w:sz w:val="20"/>
                <w:szCs w:val="20"/>
              </w:rPr>
              <w:t xml:space="preserve">+0.16%</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Defense bid</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CAC 40 (France)</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8,114.84</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B22222"/>
                <w:sz w:val="20"/>
                <w:szCs w:val="20"/>
              </w:rPr>
              <w:t xml:space="preserve">-12.20</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B22222"/>
                <w:sz w:val="20"/>
                <w:szCs w:val="20"/>
              </w:rPr>
              <w:t xml:space="preserve">-0.15%</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LVMH soft</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Nikkei 225 (Japan)</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Closed</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1A1A1A"/>
                <w:sz w:val="20"/>
                <w:szCs w:val="20"/>
              </w:rPr>
              <w:t xml:space="preserve">Holiday</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Golden Week</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Hang Seng (HK)</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23,187.42</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0B6E2E"/>
                <w:sz w:val="20"/>
                <w:szCs w:val="20"/>
              </w:rPr>
              <w:t xml:space="preserve">+278.10</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0B6E2E"/>
                <w:sz w:val="20"/>
                <w:szCs w:val="20"/>
              </w:rPr>
              <w:t xml:space="preserve">+1.21%</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Tech rebound</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Shanghai Comp.</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Closed</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1A1A1A"/>
                <w:sz w:val="20"/>
                <w:szCs w:val="20"/>
              </w:rPr>
              <w:t xml:space="preserve">Holiday</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Labour Day</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Kospi (Korea)</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Closed</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1A1A1A"/>
                <w:sz w:val="20"/>
                <w:szCs w:val="20"/>
              </w:rPr>
              <w:t xml:space="preserve">Holiday</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Children's Day eve</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ASX 200 (Aus)</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8,431.20</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0B6E2E"/>
                <w:sz w:val="20"/>
                <w:szCs w:val="20"/>
              </w:rPr>
              <w:t xml:space="preserve">+24.05</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0B6E2E"/>
                <w:sz w:val="20"/>
                <w:szCs w:val="20"/>
              </w:rPr>
              <w:t xml:space="preserve">+0.29%</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Iron ore firm</w:t>
            </w:r>
          </w:p>
        </w:tc>
      </w:tr>
      <w:tr>
        <w:tc>
          <w:tcPr>
            <w:tcW w:type="dxa" w:w="9360"/>
            <w:gridSpan w:val="5"/>
            <w:tcBorders>
              <w:top w:val="single" w:color="BBBBBB" w:sz="4"/>
              <w:left w:val="single" w:color="BBBBBB" w:sz="4"/>
              <w:bottom w:val="single" w:color="BBBBBB" w:sz="4"/>
              <w:right w:val="single" w:color="BBBBBB" w:sz="4"/>
            </w:tcBorders>
            <w:shd w:fill="C9A227" w:val="clear"/>
            <w:tcMar>
              <w:top w:type="dxa" w:w="60"/>
              <w:left w:type="dxa" w:w="120"/>
              <w:bottom w:type="dxa" w:w="60"/>
              <w:right w:type="dxa" w:w="120"/>
            </w:tcMar>
          </w:tcPr>
          <w:p>
            <w:r>
              <w:rPr>
                <w:rFonts w:ascii="Calibri" w:cs="Calibri" w:eastAsia="Calibri" w:hAnsi="Calibri"/>
                <w:b/>
                <w:bCs/>
                <w:color w:val="FFFFFF"/>
                <w:sz w:val="20"/>
                <w:szCs w:val="20"/>
              </w:rPr>
              <w:t xml:space="preserve">RATES, FX &amp; CREDIT</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US 2Y Treasury</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3.88%</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B22222"/>
                <w:sz w:val="20"/>
                <w:szCs w:val="20"/>
              </w:rPr>
              <w:t xml:space="preserve">-3 bp</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1A1A1A"/>
                <w:sz w:val="20"/>
                <w:szCs w:val="20"/>
              </w:rPr>
              <w:t xml:space="preserve">—</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Cuts repriced in</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US 5Y Treasury</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4.07%</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B22222"/>
                <w:sz w:val="20"/>
                <w:szCs w:val="20"/>
              </w:rPr>
              <w:t xml:space="preserve">-2 bp</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1A1A1A"/>
                <w:sz w:val="20"/>
                <w:szCs w:val="20"/>
              </w:rPr>
              <w:t xml:space="preserve">—</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Belly anchored</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US 10Y Treasury</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4.39%</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0B6E2E"/>
                <w:sz w:val="20"/>
                <w:szCs w:val="20"/>
              </w:rPr>
              <w:t xml:space="preserve">+1 bp</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1A1A1A"/>
                <w:sz w:val="20"/>
                <w:szCs w:val="20"/>
              </w:rPr>
              <w:t xml:space="preserve">—</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Term premium</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US 30Y Treasury</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4.97%</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0B6E2E"/>
                <w:sz w:val="20"/>
                <w:szCs w:val="20"/>
              </w:rPr>
              <w:t xml:space="preserve">+2 bp</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1A1A1A"/>
                <w:sz w:val="20"/>
                <w:szCs w:val="20"/>
              </w:rPr>
              <w:t xml:space="preserve">—</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Long end heavy</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2s/10s Spread</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+51 bp</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0B6E2E"/>
                <w:sz w:val="20"/>
                <w:szCs w:val="20"/>
              </w:rPr>
              <w:t xml:space="preserve">+4 bp</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1A1A1A"/>
                <w:sz w:val="20"/>
                <w:szCs w:val="20"/>
              </w:rPr>
              <w:t xml:space="preserve">—</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Steepening</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DXY (Dollar)</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98.22</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0B6E2E"/>
                <w:sz w:val="20"/>
                <w:szCs w:val="20"/>
              </w:rPr>
              <w:t xml:space="preserve">+0.17</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0B6E2E"/>
                <w:sz w:val="20"/>
                <w:szCs w:val="20"/>
              </w:rPr>
              <w:t xml:space="preserve">+0.17%</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Bouncing off lows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EUR/USD</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1.1392</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B22222"/>
                <w:sz w:val="20"/>
                <w:szCs w:val="20"/>
              </w:rPr>
              <w:t xml:space="preserve">-0.0021</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B22222"/>
                <w:sz w:val="20"/>
                <w:szCs w:val="20"/>
              </w:rPr>
              <w:t xml:space="preserve">-0.18%</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ECB on hold</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GBP/USD</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1.3408</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0B6E2E"/>
                <w:sz w:val="20"/>
                <w:szCs w:val="20"/>
              </w:rPr>
              <w:t xml:space="preserve">+0.0014</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0B6E2E"/>
                <w:sz w:val="20"/>
                <w:szCs w:val="20"/>
              </w:rPr>
              <w:t xml:space="preserve">+0.10%</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Gilts firmer</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USD/JPY</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156.54</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B22222"/>
                <w:sz w:val="20"/>
                <w:szCs w:val="20"/>
              </w:rPr>
              <w:t xml:space="preserve">-1.85</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B22222"/>
                <w:sz w:val="20"/>
                <w:szCs w:val="20"/>
              </w:rPr>
              <w:t xml:space="preserve">-1.17%</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BOJ intervention</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USD/CNY</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7.2640</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B22222"/>
                <w:sz w:val="20"/>
                <w:szCs w:val="20"/>
              </w:rPr>
              <w:t xml:space="preserve">-0.0040</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B22222"/>
                <w:sz w:val="20"/>
                <w:szCs w:val="20"/>
              </w:rPr>
              <w:t xml:space="preserve">-0.06%</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PBOC fix steady</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IG Credit (CDX)</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62 bp</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B22222"/>
                <w:sz w:val="20"/>
                <w:szCs w:val="20"/>
              </w:rPr>
              <w:t xml:space="preserve">-1 bp</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1A1A1A"/>
                <w:sz w:val="20"/>
                <w:szCs w:val="20"/>
              </w:rPr>
              <w:t xml:space="preserve">—</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Tight, complacent</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HY Credit (CDX)</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342 bp</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B22222"/>
                <w:sz w:val="20"/>
                <w:szCs w:val="20"/>
              </w:rPr>
              <w:t xml:space="preserve">-5 bp</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1A1A1A"/>
                <w:sz w:val="20"/>
                <w:szCs w:val="20"/>
              </w:rPr>
              <w:t xml:space="preserve">—</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Risk-on tone</w:t>
            </w:r>
          </w:p>
        </w:tc>
      </w:tr>
      <w:tr>
        <w:tc>
          <w:tcPr>
            <w:tcW w:type="dxa" w:w="9360"/>
            <w:gridSpan w:val="5"/>
            <w:tcBorders>
              <w:top w:val="single" w:color="BBBBBB" w:sz="4"/>
              <w:left w:val="single" w:color="BBBBBB" w:sz="4"/>
              <w:bottom w:val="single" w:color="BBBBBB" w:sz="4"/>
              <w:right w:val="single" w:color="BBBBBB" w:sz="4"/>
            </w:tcBorders>
            <w:shd w:fill="C9A227" w:val="clear"/>
            <w:tcMar>
              <w:top w:type="dxa" w:w="60"/>
              <w:left w:type="dxa" w:w="120"/>
              <w:bottom w:type="dxa" w:w="60"/>
              <w:right w:type="dxa" w:w="120"/>
            </w:tcMar>
          </w:tcPr>
          <w:p>
            <w:r>
              <w:rPr>
                <w:rFonts w:ascii="Calibri" w:cs="Calibri" w:eastAsia="Calibri" w:hAnsi="Calibri"/>
                <w:b/>
                <w:bCs/>
                <w:color w:val="FFFFFF"/>
                <w:sz w:val="20"/>
                <w:szCs w:val="20"/>
              </w:rPr>
              <w:t xml:space="preserve">COMMODITIES</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WTI Crude ($/bbl)</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101.94</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B22222"/>
                <w:sz w:val="20"/>
                <w:szCs w:val="20"/>
              </w:rPr>
              <w:t xml:space="preserve">-3.15</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B22222"/>
                <w:sz w:val="20"/>
                <w:szCs w:val="20"/>
              </w:rPr>
              <w:t xml:space="preserve">-3.00%</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Iran proposal</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Brent Crude ($/bbl)</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108.17</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B22222"/>
                <w:sz w:val="20"/>
                <w:szCs w:val="20"/>
              </w:rPr>
              <w:t xml:space="preserve">-2.10</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B22222"/>
                <w:sz w:val="20"/>
                <w:szCs w:val="20"/>
              </w:rPr>
              <w:t xml:space="preserve">-1.90%</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Hormuz tension</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Nat Gas ($/MMBtu)</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2.79</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0B6E2E"/>
                <w:sz w:val="20"/>
                <w:szCs w:val="20"/>
              </w:rPr>
              <w:t xml:space="preserve">+0.022</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0B6E2E"/>
                <w:sz w:val="20"/>
                <w:szCs w:val="20"/>
              </w:rPr>
              <w:t xml:space="preserve">+0.80%</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3-wk high</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Gold ($/oz)</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4,612.50</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B22222"/>
                <w:sz w:val="20"/>
                <w:szCs w:val="20"/>
              </w:rPr>
              <w:t xml:space="preserve">-10.20</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B22222"/>
                <w:sz w:val="20"/>
                <w:szCs w:val="20"/>
              </w:rPr>
              <w:t xml:space="preserve">-0.22%</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Above $4,600</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Silver ($/oz)</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74.18</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0B6E2E"/>
                <w:sz w:val="20"/>
                <w:szCs w:val="20"/>
              </w:rPr>
              <w:t xml:space="preserve">+1.05</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0B6E2E"/>
                <w:sz w:val="20"/>
                <w:szCs w:val="20"/>
              </w:rPr>
              <w:t xml:space="preserve">+1.44%</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Squeeze risk</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Copper ($/lb)</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6.30</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0B6E2E"/>
                <w:sz w:val="20"/>
                <w:szCs w:val="20"/>
              </w:rPr>
              <w:t xml:space="preserve">+0.12</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0B6E2E"/>
                <w:sz w:val="20"/>
                <w:szCs w:val="20"/>
              </w:rPr>
              <w:t xml:space="preserve">+1.94%</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Supply 'fracture'</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Wheat (¢/bu)</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678.50</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0B6E2E"/>
                <w:sz w:val="20"/>
                <w:szCs w:val="20"/>
              </w:rPr>
              <w:t xml:space="preserve">+4.25</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0B6E2E"/>
                <w:sz w:val="20"/>
                <w:szCs w:val="20"/>
              </w:rPr>
              <w:t xml:space="preserve">+0.63%</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Black Sea risk</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Corn (¢/bu)</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498.75</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B22222"/>
                <w:sz w:val="20"/>
                <w:szCs w:val="20"/>
              </w:rPr>
              <w:t xml:space="preserve">-2.50</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B22222"/>
                <w:sz w:val="20"/>
                <w:szCs w:val="20"/>
              </w:rPr>
              <w:t xml:space="preserve">-0.50%</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US planting pace</w:t>
            </w:r>
          </w:p>
        </w:tc>
      </w:tr>
      <w:tr>
        <w:tc>
          <w:tcPr>
            <w:tcW w:type="dxa" w:w="9360"/>
            <w:gridSpan w:val="5"/>
            <w:tcBorders>
              <w:top w:val="single" w:color="BBBBBB" w:sz="4"/>
              <w:left w:val="single" w:color="BBBBBB" w:sz="4"/>
              <w:bottom w:val="single" w:color="BBBBBB" w:sz="4"/>
              <w:right w:val="single" w:color="BBBBBB" w:sz="4"/>
            </w:tcBorders>
            <w:shd w:fill="C9A227" w:val="clear"/>
            <w:tcMar>
              <w:top w:type="dxa" w:w="60"/>
              <w:left w:type="dxa" w:w="120"/>
              <w:bottom w:type="dxa" w:w="60"/>
              <w:right w:type="dxa" w:w="120"/>
            </w:tcMar>
          </w:tcPr>
          <w:p>
            <w:r>
              <w:rPr>
                <w:rFonts w:ascii="Calibri" w:cs="Calibri" w:eastAsia="Calibri" w:hAnsi="Calibri"/>
                <w:b/>
                <w:bCs/>
                <w:color w:val="FFFFFF"/>
                <w:sz w:val="20"/>
                <w:szCs w:val="20"/>
              </w:rPr>
              <w:t xml:space="preserve">CRYPTO (24h)</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Bitcoin (BTC)</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77,376.65</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0B6E2E"/>
                <w:sz w:val="20"/>
                <w:szCs w:val="20"/>
              </w:rPr>
              <w:t xml:space="preserve">+1,070</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0B6E2E"/>
                <w:sz w:val="20"/>
                <w:szCs w:val="20"/>
              </w:rPr>
              <w:t xml:space="preserve">+1.42%</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MCap $1.53T</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Ethereum (ETH)</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2,284.34</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0B6E2E"/>
                <w:sz w:val="20"/>
                <w:szCs w:val="20"/>
              </w:rPr>
              <w:t xml:space="preserve">+27.95</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0B6E2E"/>
                <w:sz w:val="20"/>
                <w:szCs w:val="20"/>
              </w:rPr>
              <w:t xml:space="preserve">+1.24%</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MCap $275B</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Total Crypto MCap</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$2.59T</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0B6E2E"/>
                <w:sz w:val="20"/>
                <w:szCs w:val="20"/>
              </w:rPr>
              <w:t xml:space="preserve">+$21B</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bCs/>
                <w:color w:val="0B6E2E"/>
                <w:sz w:val="20"/>
                <w:szCs w:val="20"/>
              </w:rPr>
              <w:t xml:space="preserve">+0.82%</w:t>
            </w:r>
          </w:p>
        </w:tc>
        <w:tc>
          <w:tcPr>
            <w:tcW w:type="dxa" w:w="1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BTC dom. 60.3%</w:t>
            </w:r>
          </w:p>
        </w:tc>
      </w:tr>
    </w:tbl>
    <w:p>
      <w:pPr>
        <w:spacing w:after="120"/>
      </w:pPr>
      <w:r>
        <w:rPr>
          <w:rFonts w:ascii="Calibri" w:cs="Calibri" w:eastAsia="Calibri" w:hAnsi="Calibri"/>
          <w:color w:val="1A1A1A"/>
          <w:sz w:val="22"/>
          <w:szCs w:val="22"/>
        </w:rPr>
        <w:t xml:space="preserve"> </w:t>
      </w:r>
    </w:p>
    <w:p>
      <w:pPr>
        <w:spacing w:after="120"/>
      </w:pPr>
      <w:r>
        <w:rPr>
          <w:rFonts w:ascii="Calibri" w:cs="Calibri" w:eastAsia="Calibri" w:hAnsi="Calibri"/>
          <w:i/>
          <w:iCs/>
          <w:color w:val="555555"/>
          <w:sz w:val="18"/>
          <w:szCs w:val="18"/>
        </w:rPr>
        <w:t xml:space="preserve">Source data: Apple Q2 results, CNBC, FactSet, FRED, Trading Economics, U.S. Treasury, Reuters, CME Group. Asia indexes flagged 'Closed' reflect Golden Week / Labour Day market holidays in Japan, mainland China, and Korea.</w:t>
      </w:r>
    </w:p>
    <w:p>
      <w:pPr>
        <w:pBdr>
          <w:bottom w:val="single" w:color="C9A227" w:sz="18" w:space="6"/>
        </w:pBdr>
        <w:spacing w:after="200" w:before="360"/>
      </w:pPr>
      <w:r>
        <w:rPr>
          <w:rFonts w:ascii="Calibri" w:cs="Calibri" w:eastAsia="Calibri" w:hAnsi="Calibri"/>
          <w:b/>
          <w:bCs/>
          <w:color w:val="C9A227"/>
          <w:sz w:val="28"/>
          <w:szCs w:val="28"/>
        </w:rPr>
        <w:t xml:space="preserve">3.  </w:t>
      </w:r>
      <w:r>
        <w:rPr>
          <w:rFonts w:ascii="Calibri" w:cs="Calibri" w:eastAsia="Calibri" w:hAnsi="Calibri"/>
          <w:b/>
          <w:bCs/>
          <w:color w:val="0A2342"/>
          <w:sz w:val="28"/>
          <w:szCs w:val="28"/>
        </w:rPr>
        <w:t xml:space="preserve">Top Stories</w:t>
      </w:r>
    </w:p>
    <w:p>
      <w:pPr>
        <w:spacing w:after="80" w:before="240"/>
      </w:pPr>
      <w:r>
        <w:rPr>
          <w:rFonts w:ascii="Calibri" w:cs="Calibri" w:eastAsia="Calibri" w:hAnsi="Calibri"/>
          <w:b/>
          <w:bCs/>
          <w:color w:val="0A2342"/>
          <w:sz w:val="26"/>
          <w:szCs w:val="26"/>
        </w:rPr>
        <w:t xml:space="preserve">Apple smashes Q2 estimates, guides June quarter to crush the Street</w:t>
      </w:r>
    </w:p>
    <w:p>
      <w:pPr>
        <w:spacing w:after="160" w:line="300"/>
        <w:jc w:val="both"/>
      </w:pPr>
      <w:r>
        <w:rPr>
          <w:rFonts w:ascii="Calibri" w:cs="Calibri" w:eastAsia="Calibri" w:hAnsi="Calibri"/>
          <w:color w:val="1A1A1A"/>
          <w:sz w:val="22"/>
          <w:szCs w:val="22"/>
        </w:rPr>
        <w:t xml:space="preserve">Apple delivered the print of the earnings season Thursday after the bell: $111.2 billion in revenue (+17% y/y), $2.01 in diluted EPS (+22% y/y), and an iPhone segment that ripped 22% higher to $57.99 billion — a record for the March quarter. The iPhone 17 family, which Tim Cook described as 'the most popular line-up in Apple's history,' drove the upside, with China revenue accelerating after a two-year slog. Services hit $30.98 billion, beating Wall Street's $30.4 billion bogey, and gross margin expanded 80 basis points to 47.1%.</w:t>
      </w:r>
    </w:p>
    <w:p>
      <w:pPr>
        <w:spacing w:after="160" w:line="300"/>
        <w:jc w:val="both"/>
      </w:pPr>
      <w:r>
        <w:rPr>
          <w:rFonts w:ascii="Calibri" w:cs="Calibri" w:eastAsia="Calibri" w:hAnsi="Calibri"/>
          <w:color w:val="1A1A1A"/>
          <w:sz w:val="22"/>
          <w:szCs w:val="22"/>
        </w:rPr>
        <w:t xml:space="preserve">More important than the backward look was the forward one: Apple guided June-quarter revenue growth of 14% to 17%, against consensus of just 9.5%. A guide that wide above consensus is unusual for Apple — the company typically sandbags. The mechanics: pulled-forward iPhone 17 demand, a Services business now compounding at mid-teens, and a tailwind from yen weakness on Japan-sourced components even after Thursday's intervention.</w:t>
      </w:r>
    </w:p>
    <w:p>
      <w:pPr>
        <w:spacing w:after="160" w:line="300"/>
        <w:jc w:val="both"/>
      </w:pPr>
      <w:r>
        <w:rPr>
          <w:rFonts w:ascii="Calibri" w:cs="Calibri" w:eastAsia="Calibri" w:hAnsi="Calibri"/>
          <w:color w:val="1A1A1A"/>
          <w:sz w:val="22"/>
          <w:szCs w:val="22"/>
        </w:rPr>
        <w:t xml:space="preserve">Market implication: Apple's $3.4 trillion market cap means a 4% gap-up after-hours dragged the entire Nasdaq with it on Friday. Watch next: how the rest of mega-cap tech digests the read-through. If Apple's services strength translates to a Microsoft Azure beat, an Amazon AWS reacceleration, or a Google Cloud surprise, the AI capex narrative gets re-blessed.</w:t>
      </w:r>
    </w:p>
    <w:p>
      <w:pPr>
        <w:spacing w:after="80" w:before="240"/>
      </w:pPr>
      <w:r>
        <w:rPr>
          <w:rFonts w:ascii="Calibri" w:cs="Calibri" w:eastAsia="Calibri" w:hAnsi="Calibri"/>
          <w:b/>
          <w:bCs/>
          <w:color w:val="0A2342"/>
          <w:sz w:val="26"/>
          <w:szCs w:val="26"/>
        </w:rPr>
        <w:t xml:space="preserve">BOJ torches $35 billion to defend the yen as oil shock blows up dollar-yen</w:t>
      </w:r>
    </w:p>
    <w:p>
      <w:pPr>
        <w:spacing w:after="160" w:line="300"/>
        <w:jc w:val="both"/>
      </w:pPr>
      <w:r>
        <w:rPr>
          <w:rFonts w:ascii="Calibri" w:cs="Calibri" w:eastAsia="Calibri" w:hAnsi="Calibri"/>
          <w:color w:val="1A1A1A"/>
          <w:sz w:val="22"/>
          <w:szCs w:val="22"/>
        </w:rPr>
        <w:t xml:space="preserve">The Bank of Japan and Ministry of Finance executed their first FX intervention in nearly two years Thursday afternoon Tokyo time, spending roughly ¥5.48 trillion ($35 billion) to drag dollar-yen from above 160 — the politically explosive 'red line' — back to 155.49 in a matter of hours. By Friday's New York close, USD/JPY had settled at 156.54, with vice finance minister Atsushi Mimura warning that 'speculative positions remain' and putting traders on notice for a second wave.</w:t>
      </w:r>
    </w:p>
    <w:p>
      <w:pPr>
        <w:spacing w:after="160" w:line="300"/>
        <w:jc w:val="both"/>
      </w:pPr>
      <w:r>
        <w:rPr>
          <w:rFonts w:ascii="Calibri" w:cs="Calibri" w:eastAsia="Calibri" w:hAnsi="Calibri"/>
          <w:color w:val="1A1A1A"/>
          <w:sz w:val="22"/>
          <w:szCs w:val="22"/>
        </w:rPr>
        <w:t xml:space="preserve">The trigger was structural: Japan imports nearly all of its energy, and Brent at $108 has blown out the trade deficit to a 30-year worst. Pair that with a Fed-BOJ rate gap that is still 175+ basis points wide and you get a one-way trade in dollar-yen that the carry crowd had been pressing relentlessly. Tokyo broke that pattern — for now — but the durability hinges entirely on whether oil can re-rate lower, which leads us straight into the next story.</w:t>
      </w:r>
    </w:p>
    <w:p>
      <w:pPr>
        <w:spacing w:after="160" w:line="300"/>
        <w:jc w:val="both"/>
      </w:pPr>
      <w:r>
        <w:rPr>
          <w:rFonts w:ascii="Calibri" w:cs="Calibri" w:eastAsia="Calibri" w:hAnsi="Calibri"/>
          <w:color w:val="1A1A1A"/>
          <w:sz w:val="22"/>
          <w:szCs w:val="22"/>
        </w:rPr>
        <w:t xml:space="preserve">Market implication: a surprise yen rally is a global liquidity event, because it forces Japanese institutional investors who had been funding offshore equity and Treasury purchases via cheap yen to repatriate. Watch USD/JPY 157.00 as the line in the sand; if it breaks back above, the market will start front-running the next intervention.</w:t>
      </w:r>
    </w:p>
    <w:p>
      <w:pPr>
        <w:spacing w:after="80" w:before="240"/>
      </w:pPr>
      <w:r>
        <w:rPr>
          <w:rFonts w:ascii="Calibri" w:cs="Calibri" w:eastAsia="Calibri" w:hAnsi="Calibri"/>
          <w:b/>
          <w:bCs/>
          <w:color w:val="0A2342"/>
          <w:sz w:val="26"/>
          <w:szCs w:val="26"/>
        </w:rPr>
        <w:t xml:space="preserve">Iran sends fresh peace proposal to mediators in Pakistan; oil drops 3%</w:t>
      </w:r>
    </w:p>
    <w:p>
      <w:pPr>
        <w:spacing w:after="160" w:line="300"/>
        <w:jc w:val="both"/>
      </w:pPr>
      <w:r>
        <w:rPr>
          <w:rFonts w:ascii="Calibri" w:cs="Calibri" w:eastAsia="Calibri" w:hAnsi="Calibri"/>
          <w:color w:val="1A1A1A"/>
          <w:sz w:val="22"/>
          <w:szCs w:val="22"/>
        </w:rPr>
        <w:t xml:space="preserve">WTI tumbled 3% to $101.94 and Brent slipped to $108.17 on Friday after Pakistani officials confirmed receipt of an updated Iranian peace proposal addressing four pillars: freedom of navigation through the Strait of Hormuz, Tehran's nuclear and ballistic-missile programs, post-conflict reconstruction and sanctions relief, and a long-term security framework. The Trump administration argued that the original April 7 ceasefire 'terminated' active hostilities, providing legal cover to extend the U.S. naval blockade indefinitely under existing war-powers authority.</w:t>
      </w:r>
    </w:p>
    <w:p>
      <w:pPr>
        <w:spacing w:after="160" w:line="300"/>
        <w:jc w:val="both"/>
      </w:pPr>
      <w:r>
        <w:rPr>
          <w:rFonts w:ascii="Calibri" w:cs="Calibri" w:eastAsia="Calibri" w:hAnsi="Calibri"/>
          <w:color w:val="1A1A1A"/>
          <w:sz w:val="22"/>
          <w:szCs w:val="22"/>
        </w:rPr>
        <w:t xml:space="preserve">But the move is delicate. Brent traded as high as $126 on April 30 when Trump threatened to widen the blockade until Tehran agrees to a verifiable nuclear deal, and Iran's supreme leader Mojtaba Khamenei — who succeeded his father in late 2025 — has refused to surrender the country's enrichment program. The Strait remains technically open but commercial transit volume is down 28% from pre-war levels, with insurers charging war-risk premiums of $4–6 per barrel.</w:t>
      </w:r>
    </w:p>
    <w:p>
      <w:pPr>
        <w:spacing w:after="160" w:line="300"/>
        <w:jc w:val="both"/>
      </w:pPr>
      <w:r>
        <w:rPr>
          <w:rFonts w:ascii="Calibri" w:cs="Calibri" w:eastAsia="Calibri" w:hAnsi="Calibri"/>
          <w:color w:val="1A1A1A"/>
          <w:sz w:val="22"/>
          <w:szCs w:val="22"/>
        </w:rPr>
        <w:t xml:space="preserve">Market implication: every $10 move in Brent is roughly 0.3 percentage points off U.S. CPI four months out and 0.15 points off real GDP. That is why the energy complex has functioned as the de-facto Fed put for two months. Watch next: any Pakistani statement on a date for in-person talks. If a venue is set, expect Brent to trade with a $90 handle within a week. If talks collapse again — as they did April 28 — $120 returns immediately.</w:t>
      </w:r>
    </w:p>
    <w:p>
      <w:pPr>
        <w:spacing w:after="80" w:before="240"/>
      </w:pPr>
      <w:r>
        <w:rPr>
          <w:rFonts w:ascii="Calibri" w:cs="Calibri" w:eastAsia="Calibri" w:hAnsi="Calibri"/>
          <w:b/>
          <w:bCs/>
          <w:color w:val="0A2342"/>
          <w:sz w:val="26"/>
          <w:szCs w:val="26"/>
        </w:rPr>
        <w:t xml:space="preserve">Powell exits with a dissent storm; Warsh nomination heads to Senate floor</w:t>
      </w:r>
    </w:p>
    <w:p>
      <w:pPr>
        <w:spacing w:after="160" w:line="300"/>
        <w:jc w:val="both"/>
      </w:pPr>
      <w:r>
        <w:rPr>
          <w:rFonts w:ascii="Calibri" w:cs="Calibri" w:eastAsia="Calibri" w:hAnsi="Calibri"/>
          <w:color w:val="1A1A1A"/>
          <w:sz w:val="22"/>
          <w:szCs w:val="22"/>
        </w:rPr>
        <w:t xml:space="preserve">Wednesday's FOMC meeting — Jerome Powell's last as chair before his term expires May 15 — held the federal funds rate at 3.50–3.75% for the third consecutive meeting and produced an 8-4 vote, the most dissents at a single meeting in 34 years. Stephen Miran wanted a 25 basis-point cut. Beth Hammack, Neel Kashkari, and Lorie Logan supported holding but objected to language inserting an explicit 'easing bias.' Powell will remain on the Board of Governors as a voting member through early 2028 — a first for a former chair in the modern era.</w:t>
      </w:r>
    </w:p>
    <w:p>
      <w:pPr>
        <w:spacing w:after="160" w:line="300"/>
        <w:jc w:val="both"/>
      </w:pPr>
      <w:r>
        <w:rPr>
          <w:rFonts w:ascii="Calibri" w:cs="Calibri" w:eastAsia="Calibri" w:hAnsi="Calibri"/>
          <w:color w:val="1A1A1A"/>
          <w:sz w:val="22"/>
          <w:szCs w:val="22"/>
        </w:rPr>
        <w:t xml:space="preserve">Kevin Warsh, Trump's nominee, faces a full Senate vote the week of May 11 and is widely expected to confirm in time to chair the June 16–17 meeting. Warsh has made no secret of his preference for faster cuts — he gave a March speech arguing the Fed is '100 basis points too tight' relative to the equilibrium rate — but he will inherit an FOMC where the median dot still pencils only one cut for all of 2026.</w:t>
      </w:r>
    </w:p>
    <w:p>
      <w:pPr>
        <w:spacing w:after="160" w:line="300"/>
        <w:jc w:val="both"/>
      </w:pPr>
      <w:r>
        <w:rPr>
          <w:rFonts w:ascii="Calibri" w:cs="Calibri" w:eastAsia="Calibri" w:hAnsi="Calibri"/>
          <w:color w:val="1A1A1A"/>
          <w:sz w:val="22"/>
          <w:szCs w:val="22"/>
        </w:rPr>
        <w:t xml:space="preserve">Market implication: the dissents are doing the dovish work for him. Fed funds futures now price in 62 basis points of cuts by year-end, with the first move fully priced for the September 16 meeting. Watch next: how the front-end of the curve — the 2-year at 3.88% — responds to Friday's payrolls. A sub-100k print would re-price September to a 50bp cut probability.</w:t>
      </w:r>
    </w:p>
    <w:p>
      <w:pPr>
        <w:spacing w:after="80" w:before="240"/>
      </w:pPr>
      <w:r>
        <w:rPr>
          <w:rFonts w:ascii="Calibri" w:cs="Calibri" w:eastAsia="Calibri" w:hAnsi="Calibri"/>
          <w:b/>
          <w:bCs/>
          <w:color w:val="0A2342"/>
          <w:sz w:val="26"/>
          <w:szCs w:val="26"/>
        </w:rPr>
        <w:t xml:space="preserve">Industrial commodities flash a real-economy 'all-clear'; copper, silver squeeze</w:t>
      </w:r>
    </w:p>
    <w:p>
      <w:pPr>
        <w:spacing w:after="160" w:line="300"/>
        <w:jc w:val="both"/>
      </w:pPr>
      <w:r>
        <w:rPr>
          <w:rFonts w:ascii="Calibri" w:cs="Calibri" w:eastAsia="Calibri" w:hAnsi="Calibri"/>
          <w:color w:val="1A1A1A"/>
          <w:sz w:val="22"/>
          <w:szCs w:val="22"/>
        </w:rPr>
        <w:t xml:space="preserve">Underneath the geopolitics, base metals are screaming growth. Copper at $6.30 a pound is up 48% year-over-year and broke a multi-year resistance Friday on confirmation that Chinese refined-copper inventories at SHFE warehouses fell to a six-year low of 78,000 tons. Silver pierced $74 an ounce — its highest level since 1980 in nominal terms — with the gold/silver ratio compressing toward 62, a level historically associated with cyclical re-acceleration.</w:t>
      </w:r>
    </w:p>
    <w:p>
      <w:pPr>
        <w:spacing w:after="160" w:line="300"/>
        <w:jc w:val="both"/>
      </w:pPr>
      <w:r>
        <w:rPr>
          <w:rFonts w:ascii="Calibri" w:cs="Calibri" w:eastAsia="Calibri" w:hAnsi="Calibri"/>
          <w:color w:val="1A1A1A"/>
          <w:sz w:val="22"/>
          <w:szCs w:val="22"/>
        </w:rPr>
        <w:t xml:space="preserve">The 'fracture' narrative is real: Chile's Codelco cut full-year guidance again last month, Indonesia's nickel-and-copper export licensing remains unpredictable, and Glencore's Mt. Isa wind-down has pulled an additional 80,000 tons of annual mine supply offline. Demand is the inverse: Chinese grid capex is running 24% above 2025, U.S. data-center buildouts are pulling 18% more copper per gigawatt than two years ago, and the EV grid-storage cycle is still accelerating.</w:t>
      </w:r>
    </w:p>
    <w:p>
      <w:pPr>
        <w:spacing w:after="160" w:line="300"/>
        <w:jc w:val="both"/>
      </w:pPr>
      <w:r>
        <w:rPr>
          <w:rFonts w:ascii="Calibri" w:cs="Calibri" w:eastAsia="Calibri" w:hAnsi="Calibri"/>
          <w:color w:val="1A1A1A"/>
          <w:sz w:val="22"/>
          <w:szCs w:val="22"/>
        </w:rPr>
        <w:t xml:space="preserve">Market implication: this is the bullish global growth read that the bond market is not yet ratifying — 10-year Treasuries at 4.39% are pricing a much sleepier economy than copper at $6.30. Something has to give. Watch the Caterpillar / Freeport-McMoRan / Rio Tinto trio next week as a barometer; if all three break to fresh highs, the cyclical-growth trade re-asserts its leadership.</w:t>
      </w:r>
    </w:p>
    <w:p>
      <w:pPr>
        <w:spacing w:after="80" w:before="240"/>
      </w:pPr>
      <w:r>
        <w:rPr>
          <w:rFonts w:ascii="Calibri" w:cs="Calibri" w:eastAsia="Calibri" w:hAnsi="Calibri"/>
          <w:b/>
          <w:bCs/>
          <w:color w:val="0A2342"/>
          <w:sz w:val="26"/>
          <w:szCs w:val="26"/>
        </w:rPr>
        <w:t xml:space="preserve">Crypto creeps back into the conversation as BTC reclaims $77k</w:t>
      </w:r>
    </w:p>
    <w:p>
      <w:pPr>
        <w:spacing w:after="160" w:line="300"/>
        <w:jc w:val="both"/>
      </w:pPr>
      <w:r>
        <w:rPr>
          <w:rFonts w:ascii="Calibri" w:cs="Calibri" w:eastAsia="Calibri" w:hAnsi="Calibri"/>
          <w:color w:val="1A1A1A"/>
          <w:sz w:val="22"/>
          <w:szCs w:val="22"/>
        </w:rPr>
        <w:t xml:space="preserve">Bitcoin closed Friday at $77,376.65, up 1.42% on the session and back above the 200-day moving average for the first time since the late-March correction that followed the SEC's surprise enforcement action against three offshore exchanges. Ethereum at $2,284 is grinding higher but underperforming BTC, with the ETH/BTC ratio at 0.0295 — the lowest of the cycle. Total crypto market cap is back to $2.59 trillion.</w:t>
      </w:r>
    </w:p>
    <w:p>
      <w:pPr>
        <w:spacing w:after="160" w:line="300"/>
        <w:jc w:val="both"/>
      </w:pPr>
      <w:r>
        <w:rPr>
          <w:rFonts w:ascii="Calibri" w:cs="Calibri" w:eastAsia="Calibri" w:hAnsi="Calibri"/>
          <w:color w:val="1A1A1A"/>
          <w:sz w:val="22"/>
          <w:szCs w:val="22"/>
        </w:rPr>
        <w:t xml:space="preserve">The most interesting development is structural: spot Bitcoin ETF net inflows turned positive again last week ($840 million on the five-day) after a six-week stretch of outflows, and BlackRock's IBIT crossed $80 billion in AUM. The on-chain story has cooled — exchange-held supply is at a five-year low and stablecoin supply has plateaued — but the institutional bid is reasserting itself.</w:t>
      </w:r>
    </w:p>
    <w:p>
      <w:pPr>
        <w:spacing w:after="160" w:line="300"/>
        <w:jc w:val="both"/>
      </w:pPr>
      <w:r>
        <w:rPr>
          <w:rFonts w:ascii="Calibri" w:cs="Calibri" w:eastAsia="Calibri" w:hAnsi="Calibri"/>
          <w:color w:val="1A1A1A"/>
          <w:sz w:val="22"/>
          <w:szCs w:val="22"/>
        </w:rPr>
        <w:t xml:space="preserve">Market implication: Bitcoin's correlation to the Nasdaq has crept back to 0.62 from 0.31 a quarter ago, meaning if mega-cap tech breaks higher next week on AMD/PLTR earnings, BTC mechanically gets dragged with it. Watch $80,000 as the next overhead supply zone.</w:t>
      </w:r>
    </w:p>
    <w:p>
      <w:pPr>
        <w:pBdr>
          <w:bottom w:val="single" w:color="C9A227" w:sz="18" w:space="6"/>
        </w:pBdr>
        <w:spacing w:after="200" w:before="360"/>
      </w:pPr>
      <w:r>
        <w:rPr>
          <w:rFonts w:ascii="Calibri" w:cs="Calibri" w:eastAsia="Calibri" w:hAnsi="Calibri"/>
          <w:b/>
          <w:bCs/>
          <w:color w:val="C9A227"/>
          <w:sz w:val="28"/>
          <w:szCs w:val="28"/>
        </w:rPr>
        <w:t xml:space="preserve">4.  </w:t>
      </w:r>
      <w:r>
        <w:rPr>
          <w:rFonts w:ascii="Calibri" w:cs="Calibri" w:eastAsia="Calibri" w:hAnsi="Calibri"/>
          <w:b/>
          <w:bCs/>
          <w:color w:val="0A2342"/>
          <w:sz w:val="28"/>
          <w:szCs w:val="28"/>
        </w:rPr>
        <w:t xml:space="preserve">Macro &amp; Fed Watch</w:t>
      </w:r>
    </w:p>
    <w:p>
      <w:pPr>
        <w:spacing w:after="160" w:line="300"/>
        <w:jc w:val="both"/>
      </w:pPr>
      <w:r>
        <w:rPr>
          <w:rFonts w:ascii="Calibri" w:cs="Calibri" w:eastAsia="Calibri" w:hAnsi="Calibri"/>
          <w:color w:val="1A1A1A"/>
          <w:sz w:val="22"/>
          <w:szCs w:val="22"/>
        </w:rPr>
        <w:t xml:space="preserve">The Fed cycle has entered a peculiar limbo. Headline CPI at 2.9% y/y is sticky but trending the right way; core PCE — the Fed's preferred gauge — printed 2.7% in March, the lowest since early 2024. Yet Wednesday's FOMC statement struck a notably more cautious tone than the March meeting, citing 'elevated uncertainty around the inflationary impact of the energy-supply disruption' as the reason for adding the easing bias the four hawkish dissenters refused to sign. Translation: the committee is split on whether the Iran-driven oil shock is a one-off price-level adjustment that the Fed should look through, or a more durable second-round impulse via wages and services that demands continued restriction.</w:t>
      </w:r>
    </w:p>
    <w:p>
      <w:pPr>
        <w:spacing w:after="160" w:line="300"/>
        <w:jc w:val="both"/>
      </w:pPr>
      <w:r>
        <w:rPr>
          <w:rFonts w:ascii="Calibri" w:cs="Calibri" w:eastAsia="Calibri" w:hAnsi="Calibri"/>
          <w:color w:val="1A1A1A"/>
          <w:sz w:val="22"/>
          <w:szCs w:val="22"/>
        </w:rPr>
        <w:t xml:space="preserve">The bond market has voted decisively for the dovish camp. The 2-year at 3.88% is now 38 basis points below the lower bound of the funds-rate corridor — a yield-curve configuration that historically signals 75-plus basis points of cuts within nine months. The 2s/10s spread at +51 basis points is steepening 'bull-flattening' — front end rallying faster than the back end — which is the curve shape that almost always precedes the first Fed cut by three to six months. Long-end Treasuries at 4.97% on the 30-year reflect a different concern: a Treasury borrowing schedule that needs to clear $2.1 trillion of net issuance over the next twelve months against a buyer base that is increasingly term-premium sensitive.</w:t>
      </w:r>
    </w:p>
    <w:p>
      <w:pPr>
        <w:spacing w:after="160" w:line="300"/>
        <w:jc w:val="both"/>
      </w:pPr>
      <w:r>
        <w:rPr>
          <w:rFonts w:ascii="Calibri" w:cs="Calibri" w:eastAsia="Calibri" w:hAnsi="Calibri"/>
          <w:color w:val="1A1A1A"/>
          <w:sz w:val="22"/>
          <w:szCs w:val="22"/>
        </w:rPr>
        <w:t xml:space="preserve">Fed funds futures now price 62 basis points of cuts by December, with the first move fully discounted for September 16. Powell's final post-meeting press conference Wednesday left the door open to either a June cut or a hold, depending on data — but for the first time in this cycle, he refused to push back against the market's rate-cut pricing. That is the closest a chair gets to a wink. Three Fed speakers are scheduled this week: Daly Monday (1:30 p.m.), Williams Tuesday (12:00 p.m.), and Goolsbee Thursday (10:00 a.m.). All three are in the dovish quadrant; expect them to ratify, not push back.</w:t>
      </w:r>
    </w:p>
    <w:p>
      <w:pPr>
        <w:pBdr>
          <w:bottom w:val="single" w:color="C9A227" w:sz="18" w:space="6"/>
        </w:pBdr>
        <w:spacing w:after="200" w:before="360"/>
      </w:pPr>
      <w:r>
        <w:rPr>
          <w:rFonts w:ascii="Calibri" w:cs="Calibri" w:eastAsia="Calibri" w:hAnsi="Calibri"/>
          <w:b/>
          <w:bCs/>
          <w:color w:val="C9A227"/>
          <w:sz w:val="28"/>
          <w:szCs w:val="28"/>
        </w:rPr>
        <w:t xml:space="preserve">5.  </w:t>
      </w:r>
      <w:r>
        <w:rPr>
          <w:rFonts w:ascii="Calibri" w:cs="Calibri" w:eastAsia="Calibri" w:hAnsi="Calibri"/>
          <w:b/>
          <w:bCs/>
          <w:color w:val="0A2342"/>
          <w:sz w:val="28"/>
          <w:szCs w:val="28"/>
        </w:rPr>
        <w:t xml:space="preserve">Economic Calendar — The Week Ahead</w:t>
      </w:r>
    </w:p>
    <w:p>
      <w:pPr>
        <w:spacing w:after="120"/>
      </w:pPr>
      <w:r>
        <w:rPr>
          <w:rFonts w:ascii="Calibri" w:cs="Calibri" w:eastAsia="Calibri" w:hAnsi="Calibri"/>
          <w:i/>
          <w:iCs/>
          <w:color w:val="555555"/>
          <w:sz w:val="20"/>
          <w:szCs w:val="20"/>
        </w:rPr>
        <w:t xml:space="preserve">US releases for the trading week of May 4–8, 2026. Today (Saturday) has no scheduled US indicators. All times Eastern.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500"/>
        <w:gridCol w:w="1500"/>
        <w:gridCol w:w="3360"/>
      </w:tblGrid>
      <w:tr>
        <w:trPr>
          <w:tblHeader/>
        </w:trPr>
        <w:tc>
          <w:tcPr>
            <w:tcW w:type="dxa" w:w="1300"/>
            <w:tcBorders>
              <w:top w:val="single" w:color="BBBBBB" w:sz="4"/>
              <w:left w:val="single" w:color="BBBBBB" w:sz="4"/>
              <w:bottom w:val="single" w:color="BBBBBB" w:sz="4"/>
              <w:right w:val="single" w:color="BBBBBB" w:sz="4"/>
            </w:tcBorders>
            <w:shd w:fill="0A2342"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Time (ET)</w:t>
            </w:r>
          </w:p>
        </w:tc>
        <w:tc>
          <w:tcPr>
            <w:tcW w:type="dxa" w:w="1700"/>
            <w:tcBorders>
              <w:top w:val="single" w:color="BBBBBB" w:sz="4"/>
              <w:left w:val="single" w:color="BBBBBB" w:sz="4"/>
              <w:bottom w:val="single" w:color="BBBBBB" w:sz="4"/>
              <w:right w:val="single" w:color="BBBBBB" w:sz="4"/>
            </w:tcBorders>
            <w:shd w:fill="0A2342"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Indicator</w:t>
            </w:r>
          </w:p>
        </w:tc>
        <w:tc>
          <w:tcPr>
            <w:tcW w:type="dxa" w:w="1500"/>
            <w:tcBorders>
              <w:top w:val="single" w:color="BBBBBB" w:sz="4"/>
              <w:left w:val="single" w:color="BBBBBB" w:sz="4"/>
              <w:bottom w:val="single" w:color="BBBBBB" w:sz="4"/>
              <w:right w:val="single" w:color="BBBBBB" w:sz="4"/>
            </w:tcBorders>
            <w:shd w:fill="0A2342"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Prior</w:t>
            </w:r>
          </w:p>
        </w:tc>
        <w:tc>
          <w:tcPr>
            <w:tcW w:type="dxa" w:w="1500"/>
            <w:tcBorders>
              <w:top w:val="single" w:color="BBBBBB" w:sz="4"/>
              <w:left w:val="single" w:color="BBBBBB" w:sz="4"/>
              <w:bottom w:val="single" w:color="BBBBBB" w:sz="4"/>
              <w:right w:val="single" w:color="BBBBBB" w:sz="4"/>
            </w:tcBorders>
            <w:shd w:fill="0A2342"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Consensus</w:t>
            </w:r>
          </w:p>
        </w:tc>
        <w:tc>
          <w:tcPr>
            <w:tcW w:type="dxa" w:w="3360"/>
            <w:tcBorders>
              <w:top w:val="single" w:color="BBBBBB" w:sz="4"/>
              <w:left w:val="single" w:color="BBBBBB" w:sz="4"/>
              <w:bottom w:val="single" w:color="BBBBBB" w:sz="4"/>
              <w:right w:val="single" w:color="BBBBBB" w:sz="4"/>
            </w:tcBorders>
            <w:shd w:fill="0A2342"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Why It Matters</w:t>
            </w:r>
          </w:p>
        </w:tc>
      </w:tr>
      <w:tr>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Saturday</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Markets closed</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Weekend session — no scheduled US releases. Brief covers Friday's tape and the week-ahead setup.</w:t>
            </w:r>
          </w:p>
        </w:tc>
      </w:tr>
      <w:tr>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Mon 9:45a</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S&amp;P US Manufacturing PMI (Final, Apr)</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51.8</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51.9</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Cross-check on ISM 52.7; confirms expansion remains intact.</w:t>
            </w:r>
          </w:p>
        </w:tc>
      </w:tr>
      <w:tr>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Mon 10:00a</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Construction Spending (Mar)</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+0.4% m/m</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+0.2%</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Housing-cycle pulse; rate-sensitive sector.</w:t>
            </w:r>
          </w:p>
        </w:tc>
      </w:tr>
      <w:tr>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Mon 10:00a</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Factory Orders (Mar)</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+1.2% m/m</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+1.6%</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Capex demand — ties into Q1 GDP revisions.</w:t>
            </w:r>
          </w:p>
        </w:tc>
      </w:tr>
      <w:tr>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Tue 9:45a</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S&amp;P US Services PMI (Final, Apr)</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53.4</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53.5</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Services breadth — labor input most-watched sub-index.</w:t>
            </w:r>
          </w:p>
        </w:tc>
      </w:tr>
      <w:tr>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Tue 10:00a</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ISM Services (Apr)</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52.0</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52.4</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Critical — services drives 70% of US economy and Fed inflation thinking.</w:t>
            </w:r>
          </w:p>
        </w:tc>
      </w:tr>
      <w:tr>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Tue 10:00a</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JOLTS Job Openings (Mar)</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7.95M</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7.85M</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Labor demand; quits rate is the wage signal Powell cites.</w:t>
            </w:r>
          </w:p>
        </w:tc>
      </w:tr>
      <w:tr>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Wed 8:15a</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ADP Employment (Apr)</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+155k</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+135k</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Private payrolls preview ahead of Friday's BLS report.</w:t>
            </w:r>
          </w:p>
        </w:tc>
      </w:tr>
      <w:tr>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Wed 9:45a</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Mortgage Applications (w/e)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+2.1%</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Rate sensitivity gauge with 30Y at 6.9%.</w:t>
            </w:r>
          </w:p>
        </w:tc>
      </w:tr>
      <w:tr>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Thu 8:30a</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Initial Jobless Claims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218k</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220k</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Weekly labor pulse; sub-230k = healthy hiring environment.</w:t>
            </w:r>
          </w:p>
        </w:tc>
      </w:tr>
      <w:tr>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Thu 8:30a</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Q1 Productivity (Prelim)</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+1.5%</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+1.8%</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Unit labor costs feed Fed inflation models.</w:t>
            </w:r>
          </w:p>
        </w:tc>
      </w:tr>
      <w:tr>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Thu 3:00p</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Consumer Credit (Mar)</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+$8.5B</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+$10B</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Revolving credit signals consumer stress or strength.</w:t>
            </w:r>
          </w:p>
        </w:tc>
      </w:tr>
      <w:tr>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Fri 8:30a</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Nonfarm Payrolls (Apr)</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+178k</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+135k</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The headline event — first read on labor under Iran-war oil shock.</w:t>
            </w:r>
          </w:p>
        </w:tc>
      </w:tr>
      <w:tr>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Fri 8:30a</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Unemployment Rate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4.3%</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4.3%</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Sahm Rule trigger remains 4.4%.</w:t>
            </w:r>
          </w:p>
        </w:tc>
      </w:tr>
      <w:tr>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Fri 8:30a</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Avg. Hourly Earnings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+0.3% m/m</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+0.3%</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Wage inflation; Fed's most-cited single data point.</w:t>
            </w:r>
          </w:p>
        </w:tc>
      </w:tr>
      <w:tr>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Fri 10:00a</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Wholesale Inventories (Mar)</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+0.5%</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+0.4%</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Restocking cycle signal.</w:t>
            </w:r>
          </w:p>
        </w:tc>
      </w:tr>
    </w:tbl>
    <w:p>
      <w:pPr>
        <w:pBdr>
          <w:bottom w:val="single" w:color="C9A227" w:sz="18" w:space="6"/>
        </w:pBdr>
        <w:spacing w:after="200" w:before="360"/>
      </w:pPr>
      <w:r>
        <w:rPr>
          <w:rFonts w:ascii="Calibri" w:cs="Calibri" w:eastAsia="Calibri" w:hAnsi="Calibri"/>
          <w:b/>
          <w:bCs/>
          <w:color w:val="C9A227"/>
          <w:sz w:val="28"/>
          <w:szCs w:val="28"/>
        </w:rPr>
        <w:t xml:space="preserve">6.  </w:t>
      </w:r>
      <w:r>
        <w:rPr>
          <w:rFonts w:ascii="Calibri" w:cs="Calibri" w:eastAsia="Calibri" w:hAnsi="Calibri"/>
          <w:b/>
          <w:bCs/>
          <w:color w:val="0A2342"/>
          <w:sz w:val="28"/>
          <w:szCs w:val="28"/>
        </w:rPr>
        <w:t xml:space="preserve">Earnings Watch</w:t>
      </w:r>
    </w:p>
    <w:p>
      <w:pPr>
        <w:spacing w:after="160" w:line="300"/>
        <w:jc w:val="both"/>
      </w:pPr>
      <w:r>
        <w:rPr>
          <w:rFonts w:ascii="Calibri" w:cs="Calibri" w:eastAsia="Calibri" w:hAnsi="Calibri"/>
          <w:color w:val="1A1A1A"/>
          <w:sz w:val="22"/>
          <w:szCs w:val="22"/>
        </w:rPr>
        <w:t xml:space="preserve">Q1 2026 earnings season is roughly 70% complete after this past week, with the S&amp;P 500 blended earnings growth rate sitting at +9.8% y/y per FactSet — well above the +6.4% expectation entering the season. The energy sector's earnings reversal is the standout: from a -7% y/y print expected in late March to a +71% growth rate now penciled for Q2 thanks to Iran-war oil prices. Tech remains the single largest contributor to overall index earnings (+18% y/y for the sector), and financials surprised to the upside on net interest margin expansion as the curve steepened.</w:t>
      </w:r>
    </w:p>
    <w:p>
      <w:pPr>
        <w:spacing w:after="160" w:line="300"/>
        <w:jc w:val="both"/>
      </w:pPr>
      <w:r>
        <w:rPr>
          <w:rFonts w:ascii="Calibri" w:cs="Calibri" w:eastAsia="Calibri" w:hAnsi="Calibri"/>
          <w:color w:val="1A1A1A"/>
          <w:sz w:val="22"/>
          <w:szCs w:val="22"/>
        </w:rPr>
        <w:t xml:space="preserve">This week's calendar is dominated by AI-economy bellwethers. Monday after the close brings Palantir (PLTR), with consensus at $0.28 EPS on $1.54 billion revenue (+74% y/y); options imply a 12% one-day move. The bull case: FY26 revenue guide upgrade fueled by U.S. commercial AIP wins. The bear case: at 220x forward FCF, even a beat-and-raise may struggle to justify multiple expansion. Goldman cut its target this week. Vertex (VRTX) also reports Monday — focus on Casgevy uptake and the pain-pill suzetrigine launch.</w:t>
      </w:r>
    </w:p>
    <w:p>
      <w:pPr>
        <w:spacing w:after="160" w:line="300"/>
        <w:jc w:val="both"/>
      </w:pPr>
      <w:r>
        <w:rPr>
          <w:rFonts w:ascii="Calibri" w:cs="Calibri" w:eastAsia="Calibri" w:hAnsi="Calibri"/>
          <w:color w:val="1A1A1A"/>
          <w:sz w:val="22"/>
          <w:szCs w:val="22"/>
        </w:rPr>
        <w:t xml:space="preserve">Tuesday after the bell, AMD reports Q1 with consensus at $1.27 EPS on $9.85 billion revenue. Data center is the only number that matters: Bernstein expects MI300 revenue of $2.1 billion and forward commentary on the MI400 ramp into 2H'26. HSBC reports the same morning — watch Asia exposure given the Iran-disruption flow-through to trade finance. Wednesday brings Disney (DIS) with consensus EPS around $1.48 — Disney+ subscriber growth, Park margins, and ESPN flagship-launch traction are the three watch items. Arm Holdings (ARM) prints the same evening; consensus EPS $0.52, options imply a 9% move.</w:t>
      </w:r>
    </w:p>
    <w:p>
      <w:pPr>
        <w:spacing w:after="160" w:line="300"/>
        <w:jc w:val="both"/>
      </w:pPr>
      <w:r>
        <w:rPr>
          <w:rFonts w:ascii="Calibri" w:cs="Calibri" w:eastAsia="Calibri" w:hAnsi="Calibri"/>
          <w:color w:val="1A1A1A"/>
          <w:sz w:val="22"/>
          <w:szCs w:val="22"/>
        </w:rPr>
        <w:t xml:space="preserve">Thursday closes the week with Cloudflare (NET), Datadog (DDOG), and Coinbase (COIN) — three names that will reset the bar on AI infrastructure monetization, observability spend, and the resilience of the crypto retail user. Sector context: tech earnings have beaten by an average 8.4% so far this season; financials by 6.1%; consumer discretionary by 2.9%. The market's tolerance for in-line tech prints is low at these multiples.</w:t>
      </w:r>
    </w:p>
    <w:p>
      <w:pPr>
        <w:pBdr>
          <w:bottom w:val="single" w:color="C9A227" w:sz="18" w:space="6"/>
        </w:pBdr>
        <w:spacing w:after="200" w:before="360"/>
      </w:pPr>
      <w:r>
        <w:rPr>
          <w:rFonts w:ascii="Calibri" w:cs="Calibri" w:eastAsia="Calibri" w:hAnsi="Calibri"/>
          <w:b/>
          <w:bCs/>
          <w:color w:val="C9A227"/>
          <w:sz w:val="28"/>
          <w:szCs w:val="28"/>
        </w:rPr>
        <w:t xml:space="preserve">7.  </w:t>
      </w:r>
      <w:r>
        <w:rPr>
          <w:rFonts w:ascii="Calibri" w:cs="Calibri" w:eastAsia="Calibri" w:hAnsi="Calibri"/>
          <w:b/>
          <w:bCs/>
          <w:color w:val="0A2342"/>
          <w:sz w:val="28"/>
          <w:szCs w:val="28"/>
        </w:rPr>
        <w:t xml:space="preserve">Sector Spotlight</w:t>
      </w:r>
    </w:p>
    <w:p>
      <w:pPr>
        <w:spacing w:after="100" w:before="200"/>
      </w:pPr>
      <w:r>
        <w:rPr>
          <w:rFonts w:ascii="Calibri" w:cs="Calibri" w:eastAsia="Calibri" w:hAnsi="Calibri"/>
          <w:b/>
          <w:bCs/>
          <w:color w:val="0A2342"/>
          <w:sz w:val="24"/>
          <w:szCs w:val="24"/>
        </w:rPr>
        <w:t xml:space="preserve">Energy: the inverse of every other sector — and it is winning</w:t>
      </w:r>
    </w:p>
    <w:p>
      <w:pPr>
        <w:spacing w:after="160" w:line="300"/>
        <w:jc w:val="both"/>
      </w:pPr>
      <w:r>
        <w:rPr>
          <w:rFonts w:ascii="Calibri" w:cs="Calibri" w:eastAsia="Calibri" w:hAnsi="Calibri"/>
          <w:color w:val="1A1A1A"/>
          <w:sz w:val="22"/>
          <w:szCs w:val="22"/>
        </w:rPr>
        <w:t xml:space="preserve">With Brent stubbornly above $108 and the Iran-war risk premium structurally embedded, the S&amp;P 500 Energy sector is up 24% year-to-date — by far the best sector performance of 2026 — even as the broader index makes incremental new highs. The setup is uniquely durable: integrated majors (XOM, CVX) are locking in $80–$95 long-dated forward sales; refiners (VLO, MPC) are printing record crack spreads; and U.S. independent E&amp;Ps (PXD, FANG) are returning 70%+ of free cash flow via buybacks rather than re-investing in supply growth. Wells Fargo's Friday upgrade of Exxon to a $172 target captures the consensus shift: $40 billion of free cash at $100 oil, with 4% buyback yield on top of the 3.6% dividend.</w:t>
      </w:r>
    </w:p>
    <w:p>
      <w:pPr>
        <w:spacing w:after="100" w:before="200"/>
      </w:pPr>
      <w:r>
        <w:rPr>
          <w:rFonts w:ascii="Calibri" w:cs="Calibri" w:eastAsia="Calibri" w:hAnsi="Calibri"/>
          <w:b/>
          <w:bCs/>
          <w:color w:val="0A2342"/>
          <w:sz w:val="24"/>
          <w:szCs w:val="24"/>
        </w:rPr>
        <w:t xml:space="preserve">Financials: net interest margins inflect higher as curve steepens</w:t>
      </w:r>
    </w:p>
    <w:p>
      <w:pPr>
        <w:spacing w:after="160" w:line="300"/>
        <w:jc w:val="both"/>
      </w:pPr>
      <w:r>
        <w:rPr>
          <w:rFonts w:ascii="Calibri" w:cs="Calibri" w:eastAsia="Calibri" w:hAnsi="Calibri"/>
          <w:color w:val="1A1A1A"/>
          <w:sz w:val="22"/>
          <w:szCs w:val="22"/>
        </w:rPr>
        <w:t xml:space="preserve">The bull-steepener that began in February has finally shown up in regional and large-bank earnings. Q1 NIM expansion across the top-25 banks averaged 9 basis points sequentially — the first up-quarter in seven. With the 2s/10s spread now +51 basis points and the Fed cutting cycle approaching, the asset-sensitive money-center banks (JPM, BAC, C) become a structural beneficiary, while regional names (ZION, KEY, WAL) get a balance-sheet repricing tailwind. The XLF is up 14% YTD and broke out to a fresh all-time high Friday.</w:t>
      </w:r>
    </w:p>
    <w:p>
      <w:pPr>
        <w:pBdr>
          <w:bottom w:val="single" w:color="C9A227" w:sz="18" w:space="6"/>
        </w:pBdr>
        <w:spacing w:after="200" w:before="360"/>
      </w:pPr>
      <w:r>
        <w:rPr>
          <w:rFonts w:ascii="Calibri" w:cs="Calibri" w:eastAsia="Calibri" w:hAnsi="Calibri"/>
          <w:b/>
          <w:bCs/>
          <w:color w:val="C9A227"/>
          <w:sz w:val="28"/>
          <w:szCs w:val="28"/>
        </w:rPr>
        <w:t xml:space="preserve">8.  </w:t>
      </w:r>
      <w:r>
        <w:rPr>
          <w:rFonts w:ascii="Calibri" w:cs="Calibri" w:eastAsia="Calibri" w:hAnsi="Calibri"/>
          <w:b/>
          <w:bCs/>
          <w:color w:val="0A2342"/>
          <w:sz w:val="28"/>
          <w:szCs w:val="28"/>
        </w:rPr>
        <w:t xml:space="preserve">Analyst Calls — Last 24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500"/>
        <w:gridCol w:w="1700"/>
        <w:gridCol w:w="3360"/>
      </w:tblGrid>
      <w:tr>
        <w:trPr>
          <w:tblHeader/>
        </w:trPr>
        <w:tc>
          <w:tcPr>
            <w:tcW w:type="dxa" w:w="1500"/>
            <w:tcBorders>
              <w:top w:val="single" w:color="BBBBBB" w:sz="4"/>
              <w:left w:val="single" w:color="BBBBBB" w:sz="4"/>
              <w:bottom w:val="single" w:color="BBBBBB" w:sz="4"/>
              <w:right w:val="single" w:color="BBBBBB" w:sz="4"/>
            </w:tcBorders>
            <w:shd w:fill="0A2342"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Firm</w:t>
            </w:r>
          </w:p>
        </w:tc>
        <w:tc>
          <w:tcPr>
            <w:tcW w:type="dxa" w:w="1300"/>
            <w:tcBorders>
              <w:top w:val="single" w:color="BBBBBB" w:sz="4"/>
              <w:left w:val="single" w:color="BBBBBB" w:sz="4"/>
              <w:bottom w:val="single" w:color="BBBBBB" w:sz="4"/>
              <w:right w:val="single" w:color="BBBBBB" w:sz="4"/>
            </w:tcBorders>
            <w:shd w:fill="0A2342"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Ticker</w:t>
            </w:r>
          </w:p>
        </w:tc>
        <w:tc>
          <w:tcPr>
            <w:tcW w:type="dxa" w:w="1500"/>
            <w:tcBorders>
              <w:top w:val="single" w:color="BBBBBB" w:sz="4"/>
              <w:left w:val="single" w:color="BBBBBB" w:sz="4"/>
              <w:bottom w:val="single" w:color="BBBBBB" w:sz="4"/>
              <w:right w:val="single" w:color="BBBBBB" w:sz="4"/>
            </w:tcBorders>
            <w:shd w:fill="0A2342"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Action</w:t>
            </w:r>
          </w:p>
        </w:tc>
        <w:tc>
          <w:tcPr>
            <w:tcW w:type="dxa" w:w="1700"/>
            <w:tcBorders>
              <w:top w:val="single" w:color="BBBBBB" w:sz="4"/>
              <w:left w:val="single" w:color="BBBBBB" w:sz="4"/>
              <w:bottom w:val="single" w:color="BBBBBB" w:sz="4"/>
              <w:right w:val="single" w:color="BBBBBB" w:sz="4"/>
            </w:tcBorders>
            <w:shd w:fill="0A2342"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Price Target</w:t>
            </w:r>
          </w:p>
        </w:tc>
        <w:tc>
          <w:tcPr>
            <w:tcW w:type="dxa" w:w="3360"/>
            <w:tcBorders>
              <w:top w:val="single" w:color="BBBBBB" w:sz="4"/>
              <w:left w:val="single" w:color="BBBBBB" w:sz="4"/>
              <w:bottom w:val="single" w:color="BBBBBB" w:sz="4"/>
              <w:right w:val="single" w:color="BBBBBB" w:sz="4"/>
            </w:tcBorders>
            <w:shd w:fill="0A2342"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Rationale</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Morgan Stanley</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AAPL</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0B6E2E"/>
                <w:sz w:val="20"/>
                <w:szCs w:val="20"/>
              </w:rPr>
              <w:t xml:space="preserve">Overweight (reit.)</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$310 → $335</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Q2 beat + iPhone 17 demand 'extraordinary'; Services at $31B record.</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JPMorgan</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AAPL</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0B6E2E"/>
                <w:sz w:val="20"/>
                <w:szCs w:val="20"/>
              </w:rPr>
              <w:t xml:space="preserve">Overweight (reit.)</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$320</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Raised June qtr revenue guide of +14–17% blew past +9.5% Street.</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Morgan Stanley</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LMND</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0B6E2E"/>
                <w:sz w:val="20"/>
                <w:szCs w:val="20"/>
              </w:rPr>
              <w:t xml:space="preserve">Upgrade</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$48 → $72</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Tesla insurance partnership a needle-mover; embedded distribution opens TAM.</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Barclays</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ALGN</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0B6E2E"/>
                <w:sz w:val="20"/>
                <w:szCs w:val="20"/>
              </w:rPr>
              <w:t xml:space="preserve">Upgrade</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$190 → $235</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Recent ~25% pullback restores valuation; iTero refresh cycle ahead.</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Piper Sandler</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TNDM</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0B6E2E"/>
                <w:sz w:val="20"/>
                <w:szCs w:val="20"/>
              </w:rPr>
              <w:t xml:space="preserve">Overweight (init.)</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$28</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Pharmacy benefit re-pricing + intl. expansion underappreciated.</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Argus</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DKNG</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B22222"/>
                <w:sz w:val="20"/>
                <w:szCs w:val="20"/>
              </w:rPr>
              <w:t xml:space="preserve">Downgrade</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$38 (Hold)</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Customer acquisition costs rising; state tax headwinds in IL, NY.</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HSBC</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LLY</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B22222"/>
                <w:sz w:val="20"/>
                <w:szCs w:val="20"/>
              </w:rPr>
              <w:t xml:space="preserve">Downgrade</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$1,050 → $880</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Mounjaro/Zepbound list-price cuts in 2026 trim 2027 EPS power.</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Wells Fargo</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XOM</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0B6E2E"/>
                <w:sz w:val="20"/>
                <w:szCs w:val="20"/>
              </w:rPr>
              <w:t xml:space="preserve">Overweight (reit.)</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$155 → $172</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Iran-war crude at $100+ underwrites a $40B FCF year.</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Goldman Sachs</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PLTR</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Neutral (reit.)</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$58 (PT cut)</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Cautious into Mon. print; rich at 220x fwd FCF, beat-and-raise priced in.</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Bernstein</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AMD</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bCs/>
                <w:color w:val="1A1A1A"/>
                <w:sz w:val="20"/>
                <w:szCs w:val="20"/>
              </w:rPr>
              <w:t xml:space="preserve">Outperform (reit.)</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right"/>
            </w:pPr>
            <w:r>
              <w:rPr>
                <w:rFonts w:ascii="Calibri" w:cs="Calibri" w:eastAsia="Calibri" w:hAnsi="Calibri"/>
                <w:b w:val="false"/>
                <w:bCs w:val="false"/>
                <w:color w:val="1A1A1A"/>
                <w:sz w:val="20"/>
                <w:szCs w:val="20"/>
              </w:rPr>
              <w:t xml:space="preserve">$210</w:t>
            </w:r>
          </w:p>
        </w:tc>
        <w:tc>
          <w:tcPr>
            <w:tcW w:type="dxa" w:w="3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MI400 ramp into 2H'26; expects Q1 beat-and-raise on data center.</w:t>
            </w:r>
          </w:p>
        </w:tc>
      </w:tr>
    </w:tbl>
    <w:p>
      <w:pPr>
        <w:pBdr>
          <w:bottom w:val="single" w:color="C9A227" w:sz="18" w:space="6"/>
        </w:pBdr>
        <w:spacing w:after="200" w:before="360"/>
      </w:pPr>
      <w:r>
        <w:rPr>
          <w:rFonts w:ascii="Calibri" w:cs="Calibri" w:eastAsia="Calibri" w:hAnsi="Calibri"/>
          <w:b/>
          <w:bCs/>
          <w:color w:val="C9A227"/>
          <w:sz w:val="28"/>
          <w:szCs w:val="28"/>
        </w:rPr>
        <w:t xml:space="preserve">9.  </w:t>
      </w:r>
      <w:r>
        <w:rPr>
          <w:rFonts w:ascii="Calibri" w:cs="Calibri" w:eastAsia="Calibri" w:hAnsi="Calibri"/>
          <w:b/>
          <w:bCs/>
          <w:color w:val="0A2342"/>
          <w:sz w:val="28"/>
          <w:szCs w:val="28"/>
        </w:rPr>
        <w:t xml:space="preserve">Stocks to Watch</w:t>
      </w:r>
    </w:p>
    <w:p>
      <w:pPr>
        <w:spacing w:after="100" w:before="200"/>
      </w:pPr>
      <w:r>
        <w:rPr>
          <w:rFonts w:ascii="Calibri" w:cs="Calibri" w:eastAsia="Calibri" w:hAnsi="Calibri"/>
          <w:b/>
          <w:bCs/>
          <w:color w:val="0A2342"/>
          <w:sz w:val="24"/>
          <w:szCs w:val="24"/>
        </w:rPr>
        <w:t xml:space="preserve">Apple (AAPL) — closed Friday at $258 (+4.1%)</w:t>
      </w:r>
    </w:p>
    <w:p>
      <w:pPr>
        <w:spacing w:after="160" w:line="300"/>
        <w:jc w:val="both"/>
      </w:pPr>
      <w:r>
        <w:rPr>
          <w:rFonts w:ascii="Calibri" w:cs="Calibri" w:eastAsia="Calibri" w:hAnsi="Calibri"/>
          <w:color w:val="1A1A1A"/>
          <w:sz w:val="22"/>
          <w:szCs w:val="22"/>
        </w:rPr>
        <w:t xml:space="preserve">After Thursday night's blowout print, Apple gapped up at the Friday open and held the bid all session — unusual for a name where a 4% gap is typically faded. Two reasons: the June-quarter guide of +14–17% revenue growth was so far above the +9.5% Street expectation that buy-side models had to be entirely re-built over the weekend, and the Services run-rate of $124 billion annualized re-validates the bull case for multiple expansion to 32x. The technical setup: $258 was prior resistance; if Monday confirms with a hold above, the next overhead supply zone is $275–$280. Options skew flipped to call-favored Friday — a rare positioning shift for AAPL.</w:t>
      </w:r>
    </w:p>
    <w:p>
      <w:pPr>
        <w:spacing w:after="100" w:before="200"/>
      </w:pPr>
      <w:r>
        <w:rPr>
          <w:rFonts w:ascii="Calibri" w:cs="Calibri" w:eastAsia="Calibri" w:hAnsi="Calibri"/>
          <w:b/>
          <w:bCs/>
          <w:color w:val="0A2342"/>
          <w:sz w:val="24"/>
          <w:szCs w:val="24"/>
        </w:rPr>
        <w:t xml:space="preserve">Palantir (PLTR) — closed Friday at $130, reports Monday after the close</w:t>
      </w:r>
    </w:p>
    <w:p>
      <w:pPr>
        <w:spacing w:after="160" w:line="300"/>
        <w:jc w:val="both"/>
      </w:pPr>
      <w:r>
        <w:rPr>
          <w:rFonts w:ascii="Calibri" w:cs="Calibri" w:eastAsia="Calibri" w:hAnsi="Calibri"/>
          <w:color w:val="1A1A1A"/>
          <w:sz w:val="22"/>
          <w:szCs w:val="22"/>
        </w:rPr>
        <w:t xml:space="preserve">The most-watched earnings of the week. Consensus is $0.28 EPS on $1.54 billion revenue, but the buy-side whisper is closer to $1.58 billion with U.S. commercial growth above 60% y/y. Options imply a 12% one-day move — historically wide for PLTR. The catalyst that matters is the FY26 guide: a raise to ~$5.0 billion (vs. current $4.65 billion) is what bulls need to justify the 220x forward FCF. The technical level: $135 is the prior all-time high; a beat-and-raise gaps it to $148–$150. A miss or in-line print likely retests $115.</w:t>
      </w:r>
    </w:p>
    <w:p>
      <w:pPr>
        <w:spacing w:after="100" w:before="200"/>
      </w:pPr>
      <w:r>
        <w:rPr>
          <w:rFonts w:ascii="Calibri" w:cs="Calibri" w:eastAsia="Calibri" w:hAnsi="Calibri"/>
          <w:b/>
          <w:bCs/>
          <w:color w:val="0A2342"/>
          <w:sz w:val="24"/>
          <w:szCs w:val="24"/>
        </w:rPr>
        <w:t xml:space="preserve">Exxon Mobil (XOM) — closed Friday at $148 (+0.8%)</w:t>
      </w:r>
    </w:p>
    <w:p>
      <w:pPr>
        <w:spacing w:after="160" w:line="300"/>
        <w:jc w:val="both"/>
      </w:pPr>
      <w:r>
        <w:rPr>
          <w:rFonts w:ascii="Calibri" w:cs="Calibri" w:eastAsia="Calibri" w:hAnsi="Calibri"/>
          <w:color w:val="1A1A1A"/>
          <w:sz w:val="22"/>
          <w:szCs w:val="22"/>
        </w:rPr>
        <w:t xml:space="preserve">The cleanest expression of the Iran-war oil-price regime. With Brent at $108, Exxon is on track for a $40 billion free-cash year, against a $560 billion market cap — that is a 7.1% FCF yield with 4% being returned via buybacks and 3.6% via dividend. Wells Fargo's Friday raise to a $172 target is among the highest on the Street, but consensus has been migrating higher all month. The technical: $150 is psychological resistance; a clean break opens $165–$170 over the coming weeks. Watch any Iran headline as the swing factor — XOM still trades with a 0.7 beta to front-month Brent.</w:t>
      </w:r>
    </w:p>
    <w:p>
      <w:pPr>
        <w:spacing w:after="100" w:before="200"/>
      </w:pPr>
      <w:r>
        <w:rPr>
          <w:rFonts w:ascii="Calibri" w:cs="Calibri" w:eastAsia="Calibri" w:hAnsi="Calibri"/>
          <w:b/>
          <w:bCs/>
          <w:color w:val="0A2342"/>
          <w:sz w:val="24"/>
          <w:szCs w:val="24"/>
        </w:rPr>
        <w:t xml:space="preserve">AMD (AMD) — closed Friday at $172, reports Tuesday after the close</w:t>
      </w:r>
    </w:p>
    <w:p>
      <w:pPr>
        <w:spacing w:after="160" w:line="300"/>
        <w:jc w:val="both"/>
      </w:pPr>
      <w:r>
        <w:rPr>
          <w:rFonts w:ascii="Calibri" w:cs="Calibri" w:eastAsia="Calibri" w:hAnsi="Calibri"/>
          <w:color w:val="1A1A1A"/>
          <w:sz w:val="22"/>
          <w:szCs w:val="22"/>
        </w:rPr>
        <w:t xml:space="preserve">The AI-capex bellwether of the cycle and the cleanest data-center pure-play after Nvidia. Q1 consensus is $1.27 EPS on $9.85 billion revenue, with data center segment expected at $4.6 billion (+95% y/y). The number that matters most is MI300 revenue — Bernstein at $2.1 billion is the high end of the buy-side range. Forward commentary on the MI400 ramp into 2H'26 will set the stock either to a new ATH around $200 or to a re-test of the 200-day moving average at $148. Options imply a 7.5% one-day move; positioning is balanced into the print, with a slight short-gamma tilt.</w:t>
      </w:r>
    </w:p>
    <w:p>
      <w:pPr>
        <w:pBdr>
          <w:bottom w:val="single" w:color="C9A227" w:sz="18" w:space="6"/>
        </w:pBdr>
        <w:spacing w:after="200" w:before="360"/>
      </w:pPr>
      <w:r>
        <w:rPr>
          <w:rFonts w:ascii="Calibri" w:cs="Calibri" w:eastAsia="Calibri" w:hAnsi="Calibri"/>
          <w:b/>
          <w:bCs/>
          <w:color w:val="C9A227"/>
          <w:sz w:val="28"/>
          <w:szCs w:val="28"/>
        </w:rPr>
        <w:t xml:space="preserve">10.  </w:t>
      </w:r>
      <w:r>
        <w:rPr>
          <w:rFonts w:ascii="Calibri" w:cs="Calibri" w:eastAsia="Calibri" w:hAnsi="Calibri"/>
          <w:b/>
          <w:bCs/>
          <w:color w:val="0A2342"/>
          <w:sz w:val="28"/>
          <w:szCs w:val="28"/>
        </w:rPr>
        <w:t xml:space="preserve">Global Macro Snapshot</w:t>
      </w:r>
    </w:p>
    <w:p>
      <w:pPr>
        <w:spacing w:after="160" w:line="300"/>
        <w:jc w:val="both"/>
      </w:pPr>
      <w:r>
        <w:rPr>
          <w:rFonts w:ascii="Calibri" w:cs="Calibri" w:eastAsia="Calibri" w:hAnsi="Calibri"/>
          <w:color w:val="1A1A1A"/>
          <w:sz w:val="22"/>
          <w:szCs w:val="22"/>
        </w:rPr>
        <w:t xml:space="preserve">China's Labour Day holiday has shut down both Shanghai and Shenzhen exchanges through Tuesday, so the early-week tape will lean heavily on Hong Kong as the read-across vehicle. April Caixin Manufacturing PMI on Wednesday and Caixin Services Wednesday will be the first major data; consensus expects 50.4 and 51.8 respectively, both modest expansions. The PBOC fixed the yuan at 7.2640 Friday — a hair stronger than expectations — signaling reluctance to let CNY weaken further into the Iran-driven dollar squeeze. Property remains the structural drag: 70-city home prices fell 6.1% y/y in March.</w:t>
      </w:r>
    </w:p>
    <w:p>
      <w:pPr>
        <w:spacing w:after="160" w:line="300"/>
        <w:jc w:val="both"/>
      </w:pPr>
      <w:r>
        <w:rPr>
          <w:rFonts w:ascii="Calibri" w:cs="Calibri" w:eastAsia="Calibri" w:hAnsi="Calibri"/>
          <w:color w:val="1A1A1A"/>
          <w:sz w:val="22"/>
          <w:szCs w:val="22"/>
        </w:rPr>
        <w:t xml:space="preserve">Europe's story is increasingly defense-driven. Germany's coalition cleared a €350 billion supplemental defense budget last week, with Rheinmetall, Hensoldt, and Renk all extending YTD gains above 80%. The ECB on hold at 2.25% with markets pricing one cut by year-end — far more conservative than the Fed pricing. UK inflation prints Wednesday with consensus at 2.4% y/y, in line with the Bank of England's revised projection. Emerging-market stress is concentrated in Turkey (lira at 38.5/USD, fresh ATL) and South Africa (rand 19.8/USD on coalition-government wobble). Brazil and India remain bid on dollar weakness.</w:t>
      </w:r>
    </w:p>
    <w:p>
      <w:pPr>
        <w:pBdr>
          <w:bottom w:val="single" w:color="C9A227" w:sz="18" w:space="6"/>
        </w:pBdr>
        <w:spacing w:after="200" w:before="360"/>
      </w:pPr>
      <w:r>
        <w:rPr>
          <w:rFonts w:ascii="Calibri" w:cs="Calibri" w:eastAsia="Calibri" w:hAnsi="Calibri"/>
          <w:b/>
          <w:bCs/>
          <w:color w:val="C9A227"/>
          <w:sz w:val="28"/>
          <w:szCs w:val="28"/>
        </w:rPr>
        <w:t xml:space="preserve">11.  </w:t>
      </w:r>
      <w:r>
        <w:rPr>
          <w:rFonts w:ascii="Calibri" w:cs="Calibri" w:eastAsia="Calibri" w:hAnsi="Calibri"/>
          <w:b/>
          <w:bCs/>
          <w:color w:val="0A2342"/>
          <w:sz w:val="28"/>
          <w:szCs w:val="28"/>
        </w:rPr>
        <w:t xml:space="preserve">Week Ahead Preview</w:t>
      </w:r>
    </w:p>
    <w:p>
      <w:pPr>
        <w:spacing w:after="160" w:line="300"/>
        <w:jc w:val="both"/>
      </w:pPr>
      <w:r>
        <w:rPr>
          <w:rFonts w:ascii="Calibri" w:cs="Calibri" w:eastAsia="Calibri" w:hAnsi="Calibri"/>
          <w:color w:val="1A1A1A"/>
          <w:sz w:val="22"/>
          <w:szCs w:val="22"/>
        </w:rPr>
        <w:t xml:space="preserve">The week's calendar reduces to a single thesis test: does the U.S. labor market crack under the Iran-war oil shock, or does it merely bend? Friday's nonfarm payrolls print is the first labor data fully incorporating the supply-side disruption. Consensus has stepped down to +135k from +178k in March, but the whisper number after this morning's Challenger layoff data is closer to +95k. A sub-100k print pulls forward the September Fed cut to a coin-flip June cut, steepens the curve another 10–15 basis points, and re-energizes the small-cap and regional-bank trade. A +175k upside surprise does the opposite — bear-flattens the curve and challenges the 'cuts are coming' narrative the equity market has been front-running.</w:t>
      </w:r>
    </w:p>
    <w:p>
      <w:pPr>
        <w:spacing w:after="160" w:line="300"/>
        <w:jc w:val="both"/>
      </w:pPr>
      <w:r>
        <w:rPr>
          <w:rFonts w:ascii="Calibri" w:cs="Calibri" w:eastAsia="Calibri" w:hAnsi="Calibri"/>
          <w:color w:val="1A1A1A"/>
          <w:sz w:val="22"/>
          <w:szCs w:val="22"/>
        </w:rPr>
        <w:t xml:space="preserve">Earnings-wise, the AI-capex chain (Palantir Monday, AMD Tuesday, Arm Wednesday, Cloudflare/Datadog Thursday) will set the tone for a sector that drove 65% of S&amp;P 500 returns YTD. Disney Wednesday is the consumer-discretionary read. Geopolitically, watch for any Pakistani statement on a venue and date for U.S.–Iran direct talks; Trump's response to the latest proposal could come at any time, and a 'no deal' tweet could send Brent back to $120 within hours. The G7 finance ministers meet Thursday–Friday in Quebec — likely to issue a coordinated statement on FX volatility and global energy supply. And the week closes with Saudi Aramco's quarterly dividend declaration Sunday — a barometer of OPEC+ confidence.</w:t>
      </w:r>
    </w:p>
    <w:p>
      <w:pPr>
        <w:pBdr>
          <w:bottom w:val="single" w:color="C9A227" w:sz="18" w:space="6"/>
        </w:pBdr>
        <w:spacing w:after="200" w:before="360"/>
      </w:pPr>
      <w:r>
        <w:rPr>
          <w:rFonts w:ascii="Calibri" w:cs="Calibri" w:eastAsia="Calibri" w:hAnsi="Calibri"/>
          <w:b/>
          <w:bCs/>
          <w:color w:val="C9A227"/>
          <w:sz w:val="28"/>
          <w:szCs w:val="28"/>
        </w:rPr>
        <w:t xml:space="preserve">12.  </w:t>
      </w:r>
      <w:r>
        <w:rPr>
          <w:rFonts w:ascii="Calibri" w:cs="Calibri" w:eastAsia="Calibri" w:hAnsi="Calibri"/>
          <w:b/>
          <w:bCs/>
          <w:color w:val="0A2342"/>
          <w:sz w:val="28"/>
          <w:szCs w:val="28"/>
        </w:rPr>
        <w:t xml:space="preserve">Closing Thought</w:t>
      </w:r>
    </w:p>
    <w:p>
      <w:pPr>
        <w:spacing w:after="160" w:line="300"/>
        <w:jc w:val="both"/>
      </w:pPr>
      <w:r>
        <w:rPr>
          <w:rFonts w:ascii="Calibri" w:cs="Calibri" w:eastAsia="Calibri" w:hAnsi="Calibri"/>
          <w:color w:val="1A1A1A"/>
          <w:sz w:val="22"/>
          <w:szCs w:val="22"/>
        </w:rPr>
        <w:t xml:space="preserve">The risk the market may be most underpricing is not a recession or a hot inflation print — it is a regime shift in correlations. For two decades, the 60/40 portfolio worked because stocks and bonds were negatively correlated: when growth scared, bonds rallied; when growth surprised, equities ran. That regime broke briefly in 2022 and is breaking again now, in a different way. Friday's tape — record-high stocks alongside falling Treasury yields, a falling dollar, rising gold, rising silver, rising copper, rising Bitcoin, falling oil, intervened-into yen — is the tape of a market where every asset is bid for a different reason and no asset is hedging anything else. That is what you would expect if the marginal buyer of every asset class is a sovereign or central bank rotating reserves, not a private allocator pricing risk.</w:t>
      </w:r>
    </w:p>
    <w:p>
      <w:pPr>
        <w:spacing w:after="160" w:line="300"/>
        <w:jc w:val="both"/>
      </w:pPr>
      <w:r>
        <w:rPr>
          <w:rFonts w:ascii="Calibri" w:cs="Calibri" w:eastAsia="Calibri" w:hAnsi="Calibri"/>
          <w:color w:val="1A1A1A"/>
          <w:sz w:val="22"/>
          <w:szCs w:val="22"/>
        </w:rPr>
        <w:t xml:space="preserve">The 1970s parallel keeps getting raised, but the better one might be the late 1960s — the last time a long bull run was punctuated by a foreign-policy shock that re-wrote the inflation, dollar, and gold setup all at once. In that cycle, the tape held up for another 18 months before the correlations reset violently. The lesson is not to be bearish; it is to be diversified in a way that does not assume the diversification of the last 25 years still works. Cash at 5%, Treasuries, gold, and high-quality cyclicals all get a seat at the table now. Have a great weekend, James.</w:t>
      </w:r>
    </w:p>
    <w:p>
      <w:pPr>
        <w:pBdr>
          <w:top w:val="single" w:color="0A2342" w:sz="8" w:space="6"/>
        </w:pBdr>
        <w:spacing w:after="80" w:before="480"/>
      </w:pPr>
      <w:r>
        <w:rPr>
          <w:rFonts w:ascii="Calibri" w:cs="Calibri" w:eastAsia="Calibri" w:hAnsi="Calibri"/>
          <w:b/>
          <w:bCs/>
          <w:color w:val="0A2342"/>
          <w:sz w:val="20"/>
          <w:szCs w:val="20"/>
        </w:rPr>
        <w:t xml:space="preserve">Sources &amp; Disclosures</w:t>
      </w:r>
    </w:p>
    <w:p>
      <w:pPr>
        <w:spacing w:after="120"/>
      </w:pPr>
      <w:r>
        <w:rPr>
          <w:rFonts w:ascii="Calibri" w:cs="Calibri" w:eastAsia="Calibri" w:hAnsi="Calibri"/>
          <w:i/>
          <w:iCs/>
          <w:color w:val="555555"/>
          <w:sz w:val="18"/>
          <w:szCs w:val="18"/>
        </w:rPr>
        <w:t xml:space="preserve">Data drawn from CNBC, Reuters, FactSet, Trading Economics, Federal Reserve, U.S. Department of the Treasury, Bureau of Labor Statistics, Apple Inc. press releases, Yahoo Finance, Bloomberg, OilPrice.com, CoinMarketCap, MarketBeat, Benzinga, ISM Report on Business, Bank of Japan, and CME Group. Levels and percentage changes reflect Friday, May 1, 2026 closing prints unless otherwise noted. This brief is informational and is not investment advice; figures are rounded for readability and may differ slightly across data vendors.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Daily Financial Brief — 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 Prepared for James Flanagan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2342" w:sz="12" w:space="4"/>
      </w:pBdr>
      <w:tabs>
        <w:tab w:val="right" w:pos="10080"/>
      </w:tabs>
    </w:pPr>
    <w:r>
      <w:rPr>
        <w:rFonts w:ascii="Calibri" w:cs="Calibri" w:eastAsia="Calibri" w:hAnsi="Calibri"/>
        <w:b/>
        <w:bCs/>
        <w:color w:val="0A2342"/>
        <w:sz w:val="20"/>
        <w:szCs w:val="20"/>
      </w:rPr>
      <w:t xml:space="preserve">DAILY FINANCIAL BRIEF</w:t>
    </w:r>
    <w:r>
      <w:rPr>
        <w:rFonts w:ascii="Calibri" w:cs="Calibri" w:eastAsia="Calibri" w:hAnsi="Calibri"/>
        <w:color w:val="555555"/>
        <w:sz w:val="18"/>
        <w:szCs w:val="18"/>
      </w:rPr>
      <w:t xml:space="preserve">	Saturday • May 2,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 Financial Brief — Saturday, May 2, 2026</dc:title>
  <dc:creator>Daily Financial Brief</dc:creator>
  <dc:description>WSJ-style morning briefing: weekend wrap and week-ahead setup</dc:description>
  <cp:lastModifiedBy>Un-named</cp:lastModifiedBy>
  <cp:revision>1</cp:revision>
  <dcterms:created xsi:type="dcterms:W3CDTF">2026-05-02T13:21:20.482Z</dcterms:created>
  <dcterms:modified xsi:type="dcterms:W3CDTF">2026-05-02T13:21:20.483Z</dcterms:modified>
</cp:coreProperties>
</file>

<file path=docProps/custom.xml><?xml version="1.0" encoding="utf-8"?>
<Properties xmlns="http://schemas.openxmlformats.org/officeDocument/2006/custom-properties" xmlns:vt="http://schemas.openxmlformats.org/officeDocument/2006/docPropsVTypes"/>
</file>