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860B" w:sz="24" w:space="6"/>
        </w:pBdr>
        <w:spacing w:after="0"/>
        <w:jc w:val="center"/>
      </w:pPr>
      <w:r>
        <w:rPr>
          <w:rFonts w:ascii="Arial" w:cs="Arial" w:eastAsia="Arial" w:hAnsi="Arial"/>
          <w:b/>
          <w:bCs/>
          <w:color w:val="0A2540"/>
          <w:sz w:val="56"/>
          <w:szCs w:val="56"/>
        </w:rPr>
        <w:t xml:space="preserve">DAILY FINANCIAL BRIEF</w:t>
      </w:r>
    </w:p>
    <w:p>
      <w:pPr>
        <w:spacing w:after="60"/>
        <w:jc w:val="center"/>
      </w:pPr>
      <w:r>
        <w:rPr>
          <w:rFonts w:ascii="Arial" w:cs="Arial" w:eastAsia="Arial" w:hAnsi="Arial"/>
          <w:i/>
          <w:iCs/>
          <w:color w:val="B8860B"/>
          <w:sz w:val="22"/>
          <w:szCs w:val="22"/>
        </w:rPr>
        <w:t xml:space="preserve">Markets, macro, and what to make of it · WSJ-style morning briefing</w:t>
      </w:r>
    </w:p>
    <w:p>
      <w:pPr>
        <w:spacing w:after="360"/>
        <w:jc w:val="center"/>
      </w:pPr>
      <w:r>
        <w:rPr>
          <w:rFonts w:ascii="Arial" w:cs="Arial" w:eastAsia="Arial" w:hAnsi="Arial"/>
          <w:color w:val="555555"/>
          <w:sz w:val="22"/>
          <w:szCs w:val="22"/>
        </w:rPr>
        <w:t xml:space="preserve">Monday, May 4, 2026  ·  9:30 AM EST</w:t>
      </w:r>
    </w:p>
    <w:p>
      <w:pPr>
        <w:pBdr>
          <w:bottom w:val="single" w:color="B8860B" w:sz="8" w:space="4"/>
        </w:pBdr>
        <w:spacing w:after="160" w:before="320"/>
      </w:pPr>
      <w:r>
        <w:rPr>
          <w:rFonts w:ascii="Arial" w:cs="Arial" w:eastAsia="Arial" w:hAnsi="Arial"/>
          <w:b/>
          <w:bCs/>
          <w:color w:val="0A2540"/>
          <w:sz w:val="26"/>
          <w:szCs w:val="26"/>
        </w:rPr>
        <w:t xml:space="preserve">1. THE MORNING SETUP</w:t>
      </w:r>
    </w:p>
    <w:p>
      <w:pPr>
        <w:spacing w:after="120" w:line="280"/>
        <w:jc w:val="left"/>
      </w:pPr>
      <w:r>
        <w:rPr>
          <w:rFonts w:ascii="Georgia" w:cs="Georgia" w:eastAsia="Georgia" w:hAnsi="Georgia"/>
          <w:color w:val="222222"/>
          <w:sz w:val="22"/>
          <w:szCs w:val="22"/>
        </w:rPr>
        <w:t xml:space="preserve">Wall Street walks into May with the wind at its back — and a cliff in front. Friday's session sealed the S&amp;P 500's seventh consecutive weekly gain, capping a 10% April rebound and dragging both the broad index and the Nasdaq Composite to record closes. Russell 2000 hit a new high of its own. Yet the cleanest read of risk this morning is not equity prices; it is the $11 spread between Brent and WTI, the $4.23-a-gallon pump price flashing on every American dashboard, and the unanswered question of whether Tehran reopens the Strait of Hormuz this week or doesn't.</w:t>
      </w:r>
    </w:p>
    <w:p>
      <w:pPr>
        <w:spacing w:after="120" w:line="280"/>
        <w:jc w:val="left"/>
      </w:pPr>
      <w:r>
        <w:rPr>
          <w:rFonts w:ascii="Georgia" w:cs="Georgia" w:eastAsia="Georgia" w:hAnsi="Georgia"/>
          <w:color w:val="222222"/>
          <w:sz w:val="22"/>
          <w:szCs w:val="22"/>
        </w:rPr>
        <w:t xml:space="preserve">Today is a quiet macro day by design — Monday's data slate is light, Fed speakers are dark heading into Friday's payrolls, and Tokyo and Shanghai are shut for holiday. That stillness is doing real work. It lets traders digest three live wires at once: Trump's weekend threat to lift EU auto tariffs to 25%, an Iran proposal sitting on the President's desk, and a Friday jobs print that consensus expects to land at +73,000 with unemployment steady at 4.3%. Index futures are up two-tenths on each, but the calm is rented, not owned.</w:t>
      </w:r>
    </w:p>
    <w:p>
      <w:pPr>
        <w:pBdr>
          <w:bottom w:val="single" w:color="B8860B" w:sz="8" w:space="4"/>
        </w:pBdr>
        <w:spacing w:after="160" w:before="320"/>
      </w:pPr>
      <w:r>
        <w:rPr>
          <w:rFonts w:ascii="Arial" w:cs="Arial" w:eastAsia="Arial" w:hAnsi="Arial"/>
          <w:b/>
          <w:bCs/>
          <w:color w:val="0A2540"/>
          <w:sz w:val="26"/>
          <w:szCs w:val="26"/>
        </w:rPr>
        <w:t xml:space="preserve">2. MARKETS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700"/>
        <w:gridCol w:w="2260"/>
      </w:tblGrid>
      <w:tr>
        <w:trPr>
          <w:tblHeader/>
        </w:trPr>
        <w:tc>
          <w:tcPr>
            <w:tcW w:type="dxa" w:w="3500"/>
            <w:tcBorders>
              <w:top w:val="single" w:color="CCCCCC" w:sz="4"/>
              <w:left w:val="single" w:color="CCCCCC" w:sz="4"/>
              <w:bottom w:val="single" w:color="CCCCCC" w:sz="4"/>
              <w:right w:val="single" w:color="CCCCCC" w:sz="4"/>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W w:type="dxa" w:w="1900"/>
            <w:tcBorders>
              <w:top w:val="single" w:color="CCCCCC" w:sz="4"/>
              <w:left w:val="single" w:color="CCCCCC" w:sz="4"/>
              <w:bottom w:val="single" w:color="CCCCCC" w:sz="4"/>
              <w:right w:val="single" w:color="CCCCCC" w:sz="4"/>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1700"/>
            <w:tcBorders>
              <w:top w:val="single" w:color="CCCCCC" w:sz="4"/>
              <w:left w:val="single" w:color="CCCCCC" w:sz="4"/>
              <w:bottom w:val="single" w:color="CCCCCC" w:sz="4"/>
              <w:right w:val="single" w:color="CCCCCC" w:sz="4"/>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Change</w:t>
            </w:r>
          </w:p>
        </w:tc>
        <w:tc>
          <w:tcPr>
            <w:tcW w:type="dxa" w:w="2260"/>
            <w:tcBorders>
              <w:top w:val="single" w:color="CCCCCC" w:sz="4"/>
              <w:left w:val="single" w:color="CCCCCC" w:sz="4"/>
              <w:bottom w:val="single" w:color="CCCCCC" w:sz="4"/>
              <w:right w:val="single" w:color="CCCCCC" w:sz="4"/>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 / Note</w:t>
            </w:r>
          </w:p>
        </w:tc>
      </w:tr>
      <w:tr>
        <w:tc>
          <w:tcPr>
            <w:tcW w:type="dxa" w:w="35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 US EQUITY FUTURES —</w:t>
            </w:r>
          </w:p>
        </w:tc>
        <w:tc>
          <w:tcPr>
            <w:tcW w:type="dxa" w:w="19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226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S&amp;P 500 (ES)</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7,247.50</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+14.50</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+0.20%</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Nasdaq 100 (NQ)</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26,485.25</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+52.75</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0E7C3F"/>
                <w:sz w:val="19"/>
                <w:szCs w:val="19"/>
              </w:rPr>
              <w:t xml:space="preserve">+0.20%</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Dow Jones (YM)</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49,610</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+102</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+0.21%</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Russell 2000 (RTY)</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2,754.40</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+6.10</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0E7C3F"/>
                <w:sz w:val="19"/>
                <w:szCs w:val="19"/>
              </w:rPr>
              <w:t xml:space="preserve">+0.22%</w:t>
            </w:r>
          </w:p>
        </w:tc>
      </w:tr>
      <w:tr>
        <w:tc>
          <w:tcPr>
            <w:tcW w:type="dxa" w:w="35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 PRIOR US CLOSE (May 1) —</w:t>
            </w:r>
          </w:p>
        </w:tc>
        <w:tc>
          <w:tcPr>
            <w:tcW w:type="dxa" w:w="19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226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S&amp;P 500</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7,230.12</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+20.95</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0E7C3F"/>
                <w:sz w:val="19"/>
                <w:szCs w:val="19"/>
              </w:rPr>
              <w:t xml:space="preserve">+0.29% — record</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Nasdaq Composite</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25,114.44</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+221.20</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+0.89% — record</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Dow Jones Industrial</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49,499.27</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-152.87</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B23A2E"/>
                <w:sz w:val="19"/>
                <w:szCs w:val="19"/>
              </w:rPr>
              <w:t xml:space="preserve">-0.31%</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Russell 2000</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2,748.30</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+9.40</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+0.34% — record</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VIX</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16.99</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-0.32</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B23A2E"/>
                <w:sz w:val="19"/>
                <w:szCs w:val="19"/>
              </w:rPr>
              <w:t xml:space="preserve">-1.85%</w:t>
            </w:r>
          </w:p>
        </w:tc>
      </w:tr>
      <w:tr>
        <w:tc>
          <w:tcPr>
            <w:tcW w:type="dxa" w:w="35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 ASIA CLOSE (May 4) —</w:t>
            </w:r>
          </w:p>
        </w:tc>
        <w:tc>
          <w:tcPr>
            <w:tcW w:type="dxa" w:w="19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226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Nikkei 225</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Closed</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Holiday</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Hang Seng</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23,485.62</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+292.16</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+1.26%</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Shanghai Composite</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Closed</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Holiday</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Kospi</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6,936.99</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+338.05</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+5.12%</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S&amp;P/ASX 200</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8,697.10</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-32.40</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B23A2E"/>
                <w:sz w:val="19"/>
                <w:szCs w:val="19"/>
              </w:rPr>
              <w:t xml:space="preserve">-0.37%</w:t>
            </w:r>
          </w:p>
        </w:tc>
      </w:tr>
      <w:tr>
        <w:tc>
          <w:tcPr>
            <w:tcW w:type="dxa" w:w="35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 EUROPE EARLY TRADE —</w:t>
            </w:r>
          </w:p>
        </w:tc>
        <w:tc>
          <w:tcPr>
            <w:tcW w:type="dxa" w:w="19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226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Stoxx Europe 600</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562.40</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+0.55</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0E7C3F"/>
                <w:sz w:val="19"/>
                <w:szCs w:val="19"/>
              </w:rPr>
              <w:t xml:space="preserve">+0.10%</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DAX (Germany)</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23,640</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+24</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+0.10%</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CAC 40 (France)</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8,127</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-7</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B23A2E"/>
                <w:sz w:val="19"/>
                <w:szCs w:val="19"/>
              </w:rPr>
              <w:t xml:space="preserve">-0.09%</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FTSE MIB (Italy)</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39,840</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+159</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+0.40%</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FTSE 100 (UK)</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Closed</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Bank Holiday</w:t>
            </w:r>
          </w:p>
        </w:tc>
      </w:tr>
      <w:tr>
        <w:tc>
          <w:tcPr>
            <w:tcW w:type="dxa" w:w="35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 US TREASURIES —</w:t>
            </w:r>
          </w:p>
        </w:tc>
        <w:tc>
          <w:tcPr>
            <w:tcW w:type="dxa" w:w="19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226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2Y Yield</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3.88%</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+1 bp</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5Y Yield</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4.12%</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+1 bp</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10Y Yield</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4.40%</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+2 bp</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30Y Yield</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4.98%</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+3 bp</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10s-2s Spread</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+52 bp</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+1 bp</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Steepening</w:t>
            </w:r>
          </w:p>
        </w:tc>
      </w:tr>
      <w:tr>
        <w:tc>
          <w:tcPr>
            <w:tcW w:type="dxa" w:w="35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 FX —</w:t>
            </w:r>
          </w:p>
        </w:tc>
        <w:tc>
          <w:tcPr>
            <w:tcW w:type="dxa" w:w="19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226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DXY</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98.42</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-0.10</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B23A2E"/>
                <w:sz w:val="19"/>
                <w:szCs w:val="19"/>
              </w:rPr>
              <w:t xml:space="preserve">-0.10%</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EUR/USD</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1.1358</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+0.0015</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+0.13%</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GBP/USD</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1.3387</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+0.0008</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0E7C3F"/>
                <w:sz w:val="19"/>
                <w:szCs w:val="19"/>
              </w:rPr>
              <w:t xml:space="preserve">+0.06%</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USD/JPY</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151.85</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-0.45</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B23A2E"/>
                <w:sz w:val="19"/>
                <w:szCs w:val="19"/>
              </w:rPr>
              <w:t xml:space="preserve">-0.30%</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USD/CNY</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7.218</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-0.005</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B23A2E"/>
                <w:sz w:val="19"/>
                <w:szCs w:val="19"/>
              </w:rPr>
              <w:t xml:space="preserve">-0.07%</w:t>
            </w:r>
          </w:p>
        </w:tc>
      </w:tr>
      <w:tr>
        <w:tc>
          <w:tcPr>
            <w:tcW w:type="dxa" w:w="35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 COMMODITIES —</w:t>
            </w:r>
          </w:p>
        </w:tc>
        <w:tc>
          <w:tcPr>
            <w:tcW w:type="dxa" w:w="19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226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WTI Crude</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$99.72</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+$0.95</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0E7C3F"/>
                <w:sz w:val="19"/>
                <w:szCs w:val="19"/>
              </w:rPr>
              <w:t xml:space="preserve">+0.96%</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Brent Crude</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$110.95</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+$1.20</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+1.09%</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Natural Gas</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$2.63</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-$0.04</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B23A2E"/>
                <w:sz w:val="19"/>
                <w:szCs w:val="19"/>
              </w:rPr>
              <w:t xml:space="preserve">-1.50%</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Gold</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$4,583.60</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-$29.10</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B23A2E"/>
                <w:sz w:val="19"/>
                <w:szCs w:val="19"/>
              </w:rPr>
              <w:t xml:space="preserve">-0.63%</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Silver</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$58.25</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+$0.18</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0E7C3F"/>
                <w:sz w:val="19"/>
                <w:szCs w:val="19"/>
              </w:rPr>
              <w:t xml:space="preserve">+0.31%</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Copper</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$5.42/lb</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+$0.04</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+0.74%</w:t>
            </w:r>
          </w:p>
        </w:tc>
      </w:tr>
      <w:tr>
        <w:tc>
          <w:tcPr>
            <w:tcW w:type="dxa" w:w="35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 CRYPTO —</w:t>
            </w:r>
          </w:p>
        </w:tc>
        <w:tc>
          <w:tcPr>
            <w:tcW w:type="dxa" w:w="19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c>
          <w:tcPr>
            <w:tcW w:type="dxa" w:w="226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tcPr>
          <w:p>
            <w:r>
              <w:rPr>
                <w:rFonts w:ascii="Arial" w:cs="Arial" w:eastAsia="Arial" w:hAnsi="Arial"/>
                <w:b/>
                <w:bCs/>
                <w:color w:val="FFFFFF"/>
                <w:sz w:val="19"/>
                <w:szCs w:val="19"/>
              </w:rPr>
              <w:t xml:space="preserve">—</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Bitcoin (BTC)</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$78,975</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+$432</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0E7C3F"/>
                <w:sz w:val="19"/>
                <w:szCs w:val="19"/>
              </w:rPr>
              <w:t xml:space="preserve">+0.55%</w:t>
            </w:r>
          </w:p>
        </w:tc>
      </w:tr>
      <w:tr>
        <w:tc>
          <w:tcPr>
            <w:tcW w:type="dxa" w:w="35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Ethereum (ETH)</w:t>
            </w:r>
          </w:p>
        </w:tc>
        <w:tc>
          <w:tcPr>
            <w:tcW w:type="dxa" w:w="19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$2,340</w:t>
            </w:r>
          </w:p>
        </w:tc>
        <w:tc>
          <w:tcPr>
            <w:tcW w:type="dxa" w:w="170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222222"/>
                <w:sz w:val="19"/>
                <w:szCs w:val="19"/>
              </w:rPr>
              <w:t xml:space="preserve">+$24</w:t>
            </w:r>
          </w:p>
        </w:tc>
        <w:tc>
          <w:tcPr>
            <w:tcW w:type="dxa" w:w="2260"/>
            <w:tcBorders>
              <w:top w:val="single" w:color="CCCCCC" w:sz="4"/>
              <w:left w:val="single" w:color="CCCCCC" w:sz="4"/>
              <w:bottom w:val="single" w:color="CCCCCC" w:sz="4"/>
              <w:right w:val="single" w:color="CCCCCC" w:sz="4"/>
            </w:tcBorders>
            <w:shd w:fill="F8F6F0" w:val="clear"/>
            <w:tcMar>
              <w:top w:type="dxa" w:w="70"/>
              <w:left w:type="dxa" w:w="140"/>
              <w:bottom w:type="dxa" w:w="70"/>
              <w:right w:type="dxa" w:w="140"/>
            </w:tcMar>
          </w:tcPr>
          <w:p>
            <w:r>
              <w:rPr>
                <w:rFonts w:ascii="Arial" w:cs="Arial" w:eastAsia="Arial" w:hAnsi="Arial"/>
                <w:b w:val="false"/>
                <w:bCs w:val="false"/>
                <w:color w:val="0E7C3F"/>
                <w:sz w:val="19"/>
                <w:szCs w:val="19"/>
              </w:rPr>
              <w:t xml:space="preserve">+1.04%</w:t>
            </w:r>
          </w:p>
        </w:tc>
      </w:tr>
      <w:tr>
        <w:tc>
          <w:tcPr>
            <w:tcW w:type="dxa" w:w="35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BTC Market Cap</w:t>
            </w:r>
          </w:p>
        </w:tc>
        <w:tc>
          <w:tcPr>
            <w:tcW w:type="dxa" w:w="19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$1.57T</w:t>
            </w:r>
          </w:p>
        </w:tc>
        <w:tc>
          <w:tcPr>
            <w:tcW w:type="dxa" w:w="170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w:t>
            </w:r>
          </w:p>
        </w:tc>
        <w:tc>
          <w:tcPr>
            <w:tcW w:type="dxa" w:w="2260"/>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b w:val="false"/>
                <w:bCs w:val="false"/>
                <w:color w:val="222222"/>
                <w:sz w:val="19"/>
                <w:szCs w:val="19"/>
              </w:rPr>
              <w:t xml:space="preserve">—</w:t>
            </w:r>
          </w:p>
        </w:tc>
      </w:tr>
    </w:tbl>
    <w:p>
      <w:pPr>
        <w:spacing w:after="120" w:line="280"/>
        <w:jc w:val="left"/>
      </w:pPr>
      <w:r>
        <w:rPr>
          <w:rFonts w:ascii="Georgia" w:cs="Georgia" w:eastAsia="Georgia" w:hAnsi="Georgia"/>
          <w:color w:val="222222"/>
          <w:sz w:val="22"/>
          <w:szCs w:val="22"/>
        </w:rPr>
        <w:t xml:space="preserve"> </w:t>
      </w:r>
    </w:p>
    <w:p>
      <w:pPr>
        <w:pBdr>
          <w:bottom w:val="single" w:color="B8860B" w:sz="8" w:space="4"/>
        </w:pBdr>
        <w:spacing w:after="160" w:before="320"/>
      </w:pPr>
      <w:r>
        <w:rPr>
          <w:rFonts w:ascii="Arial" w:cs="Arial" w:eastAsia="Arial" w:hAnsi="Arial"/>
          <w:b/>
          <w:bCs/>
          <w:color w:val="0A2540"/>
          <w:sz w:val="26"/>
          <w:szCs w:val="26"/>
        </w:rPr>
        <w:t xml:space="preserve">3. TOP STORIES</w:t>
      </w:r>
    </w:p>
    <w:p>
      <w:pPr>
        <w:spacing w:after="80" w:before="200"/>
      </w:pPr>
      <w:r>
        <w:rPr>
          <w:rFonts w:ascii="Arial" w:cs="Arial" w:eastAsia="Arial" w:hAnsi="Arial"/>
          <w:b/>
          <w:bCs/>
          <w:color w:val="1B3A5C"/>
          <w:sz w:val="24"/>
          <w:szCs w:val="24"/>
        </w:rPr>
        <w:t xml:space="preserve">1. Hormuz Blockade Enters Day 21 — and the Math Is Getting Ugly</w:t>
      </w:r>
    </w:p>
    <w:p>
      <w:pPr>
        <w:spacing w:after="120" w:line="280"/>
        <w:jc w:val="left"/>
      </w:pPr>
      <w:r>
        <w:rPr>
          <w:rFonts w:ascii="Georgia" w:cs="Georgia" w:eastAsia="Georgia" w:hAnsi="Georgia"/>
          <w:color w:val="222222"/>
          <w:sz w:val="22"/>
          <w:szCs w:val="22"/>
        </w:rPr>
        <w:t xml:space="preserve">The U.S. naval blockade of Iranian ports passed three weeks over the weekend with no breakthrough. Iran's 14-point counter-proposal — which would unwind the blockade, release frozen assets, and impose a new transit-control mechanism on the Strait — is sitting in front of the President, who told reporters he is "not satisfied" with the framework but is "reviewing" it. Tehran is bleeding roughly $500 million a day in foregone oil revenue. Washington is bleeding political capital as gasoline prices touched a fresh record $4.23 a gallon Friday, eight cents higher than the prior peak set during the 2022 invasion shock.</w:t>
      </w:r>
    </w:p>
    <w:p>
      <w:pPr>
        <w:spacing w:after="120" w:line="280"/>
        <w:jc w:val="left"/>
      </w:pPr>
      <w:r>
        <w:rPr>
          <w:rFonts w:ascii="Georgia" w:cs="Georgia" w:eastAsia="Georgia" w:hAnsi="Georgia"/>
          <w:color w:val="222222"/>
          <w:sz w:val="22"/>
          <w:szCs w:val="22"/>
        </w:rPr>
        <w:t xml:space="preserve">Brent and WTI are both up about 60% from the day the war started on February 28. The market is pricing perhaps a 30% probability of a near-term de-escalation — option skew on June Brent has flipped to puts on a 1-month basis as energy desks position for headline-driven mean reversion — but a 70% probability that this drags into June. Refinery margins (the 3-2-1 crack) have widened to $42/bbl, the highest since 2022.</w:t>
      </w:r>
    </w:p>
    <w:p>
      <w:pPr>
        <w:spacing w:after="120" w:line="280"/>
        <w:jc w:val="left"/>
      </w:pPr>
      <w:r>
        <w:rPr>
          <w:rFonts w:ascii="Georgia" w:cs="Georgia" w:eastAsia="Georgia" w:hAnsi="Georgia"/>
          <w:color w:val="222222"/>
          <w:sz w:val="22"/>
          <w:szCs w:val="22"/>
        </w:rPr>
        <w:t xml:space="preserve">What to watch next: any signal from Oman, Pakistan, or Qatar — the three working back-channels — and whether the Pentagon authorizes tanker escorts in the Gulf of Oman, which would partially reopen flow without a formal deal. A surprise Iranian climbdown on uranium enrichment is the bull case for risk this week; an attack on a U.S.-flagged vessel is the tail.</w:t>
      </w:r>
    </w:p>
    <w:p>
      <w:pPr>
        <w:spacing w:after="80" w:before="200"/>
      </w:pPr>
      <w:r>
        <w:rPr>
          <w:rFonts w:ascii="Arial" w:cs="Arial" w:eastAsia="Arial" w:hAnsi="Arial"/>
          <w:b/>
          <w:bCs/>
          <w:color w:val="1B3A5C"/>
          <w:sz w:val="24"/>
          <w:szCs w:val="24"/>
        </w:rPr>
        <w:t xml:space="preserve">2. Trump's 25% EU Auto Tariff Threat Lands on European Open</w:t>
      </w:r>
    </w:p>
    <w:p>
      <w:pPr>
        <w:spacing w:after="120" w:line="280"/>
        <w:jc w:val="left"/>
      </w:pPr>
      <w:r>
        <w:rPr>
          <w:rFonts w:ascii="Georgia" w:cs="Georgia" w:eastAsia="Georgia" w:hAnsi="Georgia"/>
          <w:color w:val="222222"/>
          <w:sz w:val="22"/>
          <w:szCs w:val="22"/>
        </w:rPr>
        <w:t xml:space="preserve">President Trump on Friday afternoon Truth-Social'd that he is raising tariffs on cars and trucks imported from the European Union to 25%, accusing the bloc of "not complying" with the 15%-on-most-goods deal struck with Ursula von der Leyen last July. The new rate is slated to take effect next week, though the legal basis is unclear given the Supreme Court's February ruling against IEEPA-based tariffs. Brussels has called the claim baseless and said "all retaliatory options" are on the table.</w:t>
      </w:r>
    </w:p>
    <w:p>
      <w:pPr>
        <w:spacing w:after="120" w:line="280"/>
        <w:jc w:val="left"/>
      </w:pPr>
      <w:r>
        <w:rPr>
          <w:rFonts w:ascii="Georgia" w:cs="Georgia" w:eastAsia="Georgia" w:hAnsi="Georgia"/>
          <w:color w:val="222222"/>
          <w:sz w:val="22"/>
          <w:szCs w:val="22"/>
        </w:rPr>
        <w:t xml:space="preserve">European autos are taking the hit. The Stoxx Europe 600 Automobile &amp; Parts sub-index opened down 1.6% in early trading. Volkswagen, BMW, Mercedes-Benz, Stellantis, and Porsche are each off 1.5%–2.5%. Investment grade auto-sector spreads are 4–6 basis points wider. The euro is firmer regardless — at 1.1358 — as the move is interpreted by FX desks as a re-injection of trade-war volatility that argues against further dollar strength.</w:t>
      </w:r>
    </w:p>
    <w:p>
      <w:pPr>
        <w:spacing w:after="120" w:line="280"/>
        <w:jc w:val="left"/>
      </w:pPr>
      <w:r>
        <w:rPr>
          <w:rFonts w:ascii="Georgia" w:cs="Georgia" w:eastAsia="Georgia" w:hAnsi="Georgia"/>
          <w:color w:val="222222"/>
          <w:sz w:val="22"/>
          <w:szCs w:val="22"/>
        </w:rPr>
        <w:t xml:space="preserve">Detroit isn't winning the read-across either. Ford is being downgraded by Goldman this morning on retaliation risk, and General Motors's German Opel-Buick supply lines are vulnerable. The cleaner U.S. play here is not auto OEMs but auto retail (CarMax, Asbury, Lithia) where used-car residuals would benefit, and the rails (Norfolk, CSX) which gain on import substitution.</w:t>
      </w:r>
    </w:p>
    <w:p>
      <w:pPr>
        <w:spacing w:after="80" w:before="200"/>
      </w:pPr>
      <w:r>
        <w:rPr>
          <w:rFonts w:ascii="Arial" w:cs="Arial" w:eastAsia="Arial" w:hAnsi="Arial"/>
          <w:b/>
          <w:bCs/>
          <w:color w:val="1B3A5C"/>
          <w:sz w:val="24"/>
          <w:szCs w:val="24"/>
        </w:rPr>
        <w:t xml:space="preserve">3. Apple's Blowout Sets the Bar for the Mag-7 Tail</w:t>
      </w:r>
    </w:p>
    <w:p>
      <w:pPr>
        <w:spacing w:after="120" w:line="280"/>
        <w:jc w:val="left"/>
      </w:pPr>
      <w:r>
        <w:rPr>
          <w:rFonts w:ascii="Georgia" w:cs="Georgia" w:eastAsia="Georgia" w:hAnsi="Georgia"/>
          <w:color w:val="222222"/>
          <w:sz w:val="22"/>
          <w:szCs w:val="22"/>
        </w:rPr>
        <w:t xml:space="preserve">Apple's Thursday-night fiscal Q2 report — $111.2 billion in revenue (up 17%), $2.01 EPS, iPhone +22%, Services +16% to a record $30.98 billion — pulled the Nasdaq through the close on Friday and remains the single biggest reason index futures are bid this morning. Gross margin printed at 49.3%, a record for the March quarter. The company is also applying for a refund of tariffs paid following February's Supreme Court ruling on IEEPA, a potentially $4–6 billion cash-flow tailwind that Cupertino did not quantify on the call.</w:t>
      </w:r>
    </w:p>
    <w:p>
      <w:pPr>
        <w:spacing w:after="120" w:line="280"/>
        <w:jc w:val="left"/>
      </w:pPr>
      <w:r>
        <w:rPr>
          <w:rFonts w:ascii="Georgia" w:cs="Georgia" w:eastAsia="Georgia" w:hAnsi="Georgia"/>
          <w:color w:val="222222"/>
          <w:sz w:val="22"/>
          <w:szCs w:val="22"/>
        </w:rPr>
        <w:t xml:space="preserve">The result locks in what is now being called a "Mag-7 ex-Tesla" earnings cycle: Alphabet beat by 90% on EPS, Amazon by 70%, Meta by 56%, and Apple by 7% on top of an already raised bar. The blended S&amp;P 500 Q1 earnings growth rate has been marked up to 27.1% — the highest print since Q4 2021 — with the Magnificent 7 contributing 61% of the bucket. 84% of reporters have beaten consensus, comfortably above the 78% five-year average.</w:t>
      </w:r>
    </w:p>
    <w:p>
      <w:pPr>
        <w:spacing w:after="120" w:line="280"/>
        <w:jc w:val="left"/>
      </w:pPr>
      <w:r>
        <w:rPr>
          <w:rFonts w:ascii="Georgia" w:cs="Georgia" w:eastAsia="Georgia" w:hAnsi="Georgia"/>
          <w:color w:val="222222"/>
          <w:sz w:val="22"/>
          <w:szCs w:val="22"/>
        </w:rPr>
        <w:t xml:space="preserve">The implication is unflattering for bears: the market's record highs are not a multiple-expansion story this cycle. They are a fundamentals-catching-up story. The forward P/E on the S&amp;P 500 is 22.5x, basically unchanged from a month ago. Earnings did the work.</w:t>
      </w:r>
    </w:p>
    <w:p>
      <w:pPr>
        <w:spacing w:after="80" w:before="200"/>
      </w:pPr>
      <w:r>
        <w:rPr>
          <w:rFonts w:ascii="Arial" w:cs="Arial" w:eastAsia="Arial" w:hAnsi="Arial"/>
          <w:b/>
          <w:bCs/>
          <w:color w:val="1B3A5C"/>
          <w:sz w:val="24"/>
          <w:szCs w:val="24"/>
        </w:rPr>
        <w:t xml:space="preserve">4. Powell's Last Two Weeks — and the Warsh Risk Premium</w:t>
      </w:r>
    </w:p>
    <w:p>
      <w:pPr>
        <w:spacing w:after="120" w:line="280"/>
        <w:jc w:val="left"/>
      </w:pPr>
      <w:r>
        <w:rPr>
          <w:rFonts w:ascii="Georgia" w:cs="Georgia" w:eastAsia="Georgia" w:hAnsi="Georgia"/>
          <w:color w:val="222222"/>
          <w:sz w:val="22"/>
          <w:szCs w:val="22"/>
        </w:rPr>
        <w:t xml:space="preserve">Jerome Powell hands the gavel on May 15. The market has spent the last six months pricing in his expected successor, former Fed Governor Kevin Warsh, as a known and broadly hawkish-leaning quantity — comfortable with restrictive policy, skeptical of asset-purchase tools, and on record arguing the Fed's balance sheet should be smaller. The current curve reflects that: futures are pricing only one 25-basis-point cut in 2026, with the first move not fully priced until December.</w:t>
      </w:r>
    </w:p>
    <w:p>
      <w:pPr>
        <w:spacing w:after="120" w:line="280"/>
        <w:jc w:val="left"/>
      </w:pPr>
      <w:r>
        <w:rPr>
          <w:rFonts w:ascii="Georgia" w:cs="Georgia" w:eastAsia="Georgia" w:hAnsi="Georgia"/>
          <w:color w:val="222222"/>
          <w:sz w:val="22"/>
          <w:szCs w:val="22"/>
        </w:rPr>
        <w:t xml:space="preserve">Last Wednesday's FOMC decision held the funds rate range at 3.50–3.75%, but on a split 8-4 vote — a degree of dissent the Fed has not produced in over a decade. Three doves (Goolsbee, Daly, Bowman) wanted to cut; one hawk (Bostic) wanted to hike. The dissent grid is the more telling signal. It tells the market that whatever Warsh inherits, internal consensus is fragile.</w:t>
      </w:r>
    </w:p>
    <w:p>
      <w:pPr>
        <w:spacing w:after="120" w:line="280"/>
        <w:jc w:val="left"/>
      </w:pPr>
      <w:r>
        <w:rPr>
          <w:rFonts w:ascii="Georgia" w:cs="Georgia" w:eastAsia="Georgia" w:hAnsi="Georgia"/>
          <w:color w:val="222222"/>
          <w:sz w:val="22"/>
          <w:szCs w:val="22"/>
        </w:rPr>
        <w:t xml:space="preserve">Two-year yields have absorbed all of this remarkably well — the 2Y is at 3.88%, almost exactly where it sat at Powell's January testimony. The 30Y is the truer canary. At 4.98% it is up 28 basis points in three weeks as the long end re-prices the term premium associated with a regime change at the helm of the world's largest central bank against an unsettled inflation backdrop. The 10s-2s curve has steepened to +52 basis points, a nine-month high, and that bear-steepening is the macro-volatility complex's quietest red flag.</w:t>
      </w:r>
    </w:p>
    <w:p>
      <w:pPr>
        <w:spacing w:after="80" w:before="200"/>
      </w:pPr>
      <w:r>
        <w:rPr>
          <w:rFonts w:ascii="Arial" w:cs="Arial" w:eastAsia="Arial" w:hAnsi="Arial"/>
          <w:b/>
          <w:bCs/>
          <w:color w:val="1B3A5C"/>
          <w:sz w:val="24"/>
          <w:szCs w:val="24"/>
        </w:rPr>
        <w:t xml:space="preserve">5. China's Caixin PMI Prints 52.2 — Quietly the Story of the Quarter</w:t>
      </w:r>
    </w:p>
    <w:p>
      <w:pPr>
        <w:spacing w:after="120" w:line="280"/>
        <w:jc w:val="left"/>
      </w:pPr>
      <w:r>
        <w:rPr>
          <w:rFonts w:ascii="Georgia" w:cs="Georgia" w:eastAsia="Georgia" w:hAnsi="Georgia"/>
          <w:color w:val="222222"/>
          <w:sz w:val="22"/>
          <w:szCs w:val="22"/>
        </w:rPr>
        <w:t xml:space="preserve">China's Caixin Manufacturing PMI for April came in at 52.2, the strongest expansion since December 2020 and a clear acceleration from March's 50.8. New orders rose at the second-fastest pace in nearly five years; output ran at the highest rate since June 2024. With Beijing closed for the May 1–5 Labour Day holiday, the read came on Friday and is being absorbed into Monday's tape via Hong Kong's H-shares (Hang Seng +1.26% in early trade) and the Australian dollar.</w:t>
      </w:r>
    </w:p>
    <w:p>
      <w:pPr>
        <w:spacing w:after="120" w:line="280"/>
        <w:jc w:val="left"/>
      </w:pPr>
      <w:r>
        <w:rPr>
          <w:rFonts w:ascii="Georgia" w:cs="Georgia" w:eastAsia="Georgia" w:hAnsi="Georgia"/>
          <w:color w:val="222222"/>
          <w:sz w:val="22"/>
          <w:szCs w:val="22"/>
        </w:rPr>
        <w:t xml:space="preserve">The composition is more interesting than the headline. Input prices accelerated to a four-year high — partly oil, partly raw-material disruption from the Hormuz situation — but firms are passing it through. That is exactly the configuration Beijing needs: nominal-GDP reflation without policy stimulus. The PBoC has not had to ease, and the yuan is back below 7.22.</w:t>
      </w:r>
    </w:p>
    <w:p>
      <w:pPr>
        <w:spacing w:after="120" w:line="280"/>
        <w:jc w:val="left"/>
      </w:pPr>
      <w:r>
        <w:rPr>
          <w:rFonts w:ascii="Georgia" w:cs="Georgia" w:eastAsia="Georgia" w:hAnsi="Georgia"/>
          <w:color w:val="222222"/>
          <w:sz w:val="22"/>
          <w:szCs w:val="22"/>
        </w:rPr>
        <w:t xml:space="preserve">For U.S. investors the read-through is in industrial commodities and the materials cohort. Copper is bid at $5.42 a pound on the back of the China data and the Hormuz cracking-spread story. Freeport-McMoRan, Southern Copper, BHP, and Rio Tinto are the cleanest beneficiaries. Caterpillar and Deere already had the wind at their back from spring CapEx; this puts a second sail up.</w:t>
      </w:r>
    </w:p>
    <w:p>
      <w:pPr>
        <w:spacing w:after="80" w:before="200"/>
      </w:pPr>
      <w:r>
        <w:rPr>
          <w:rFonts w:ascii="Arial" w:cs="Arial" w:eastAsia="Arial" w:hAnsi="Arial"/>
          <w:b/>
          <w:bCs/>
          <w:color w:val="1B3A5C"/>
          <w:sz w:val="24"/>
          <w:szCs w:val="24"/>
        </w:rPr>
        <w:t xml:space="preserve">6. Russell 2000 Records Mask a Quieter Small-Cap Bond-Market Story</w:t>
      </w:r>
    </w:p>
    <w:p>
      <w:pPr>
        <w:spacing w:after="120" w:line="280"/>
        <w:jc w:val="left"/>
      </w:pPr>
      <w:r>
        <w:rPr>
          <w:rFonts w:ascii="Georgia" w:cs="Georgia" w:eastAsia="Georgia" w:hAnsi="Georgia"/>
          <w:color w:val="222222"/>
          <w:sz w:val="22"/>
          <w:szCs w:val="22"/>
        </w:rPr>
        <w:t xml:space="preserve">The Russell 2000 quietly hit a third consecutive record close Friday and is now outperforming the Nasdaq-100 year-to-date by roughly 8 percentage points — a magnitude not seen in over a decade. The headline narrative is the obvious one: rate cuts in 2025 plus the Big Beautiful Bill Act's 100% bonus depreciation and immediate R&amp;D expensing have re-set the small-cap cost-of-capital story. But the under-the-hood story is the bond market.</w:t>
      </w:r>
    </w:p>
    <w:p>
      <w:pPr>
        <w:spacing w:after="120" w:line="280"/>
        <w:jc w:val="left"/>
      </w:pPr>
      <w:r>
        <w:rPr>
          <w:rFonts w:ascii="Georgia" w:cs="Georgia" w:eastAsia="Georgia" w:hAnsi="Georgia"/>
          <w:color w:val="222222"/>
          <w:sz w:val="22"/>
          <w:szCs w:val="22"/>
        </w:rPr>
        <w:t xml:space="preserve">High-yield spreads have compressed to 287 basis points this morning, near a multi-decade low. Investment-grade is at 84. The default-implied probability embedded in those spreads is below 2%, despite a 4.40% 10-year and a Fed in restrictive territory. Small-cap balance sheets — which carry roughly 65% floating-rate debt versus ~25% for the S&amp;P 500 — are the direct beneficiary. Every basis point of tightening is real cash flow.</w:t>
      </w:r>
    </w:p>
    <w:p>
      <w:pPr>
        <w:spacing w:after="120" w:line="280"/>
        <w:jc w:val="left"/>
      </w:pPr>
      <w:r>
        <w:rPr>
          <w:rFonts w:ascii="Georgia" w:cs="Georgia" w:eastAsia="Georgia" w:hAnsi="Georgia"/>
          <w:color w:val="222222"/>
          <w:sz w:val="22"/>
          <w:szCs w:val="22"/>
        </w:rPr>
        <w:t xml:space="preserve">The contrarian risk: that compression is itself the late-cycle tell. Spreads this tight have historically preceded rather than coincided with risk-off moves. Watch the IG primary calendar — refunding-week supply hits Tuesday — and whether deals price flat or inside guidance. The latter would suggest the rally has more room; the former would be the first datum of fatigue.</w:t>
      </w:r>
    </w:p>
    <w:p>
      <w:pPr>
        <w:pBdr>
          <w:bottom w:val="single" w:color="B8860B" w:sz="8" w:space="4"/>
        </w:pBdr>
        <w:spacing w:after="160" w:before="320"/>
      </w:pPr>
      <w:r>
        <w:rPr>
          <w:rFonts w:ascii="Arial" w:cs="Arial" w:eastAsia="Arial" w:hAnsi="Arial"/>
          <w:b/>
          <w:bCs/>
          <w:color w:val="0A2540"/>
          <w:sz w:val="26"/>
          <w:szCs w:val="26"/>
        </w:rPr>
        <w:t xml:space="preserve">4. MACRO &amp; FED WATCH</w:t>
      </w:r>
    </w:p>
    <w:p>
      <w:pPr>
        <w:spacing w:after="120" w:line="280"/>
        <w:jc w:val="left"/>
      </w:pPr>
      <w:r>
        <w:rPr>
          <w:rFonts w:ascii="Georgia" w:cs="Georgia" w:eastAsia="Georgia" w:hAnsi="Georgia"/>
          <w:color w:val="222222"/>
          <w:sz w:val="22"/>
          <w:szCs w:val="22"/>
        </w:rPr>
        <w:t xml:space="preserve">The Fed's posture this week is one of induced silence. The week leading into a payrolls print is a self-imposed quiet period for FOMC voting members, and there are no scheduled remarks on Monday. That puts the rate complex at the mercy of supply: $58 billion of 3-year notes Monday, $42 billion of 10-years Tuesday, and $25 billion of 30-years Wednesday. Indirect bidder participation at last month's auctions slipped to 64% — the lowest since pre-COVID — and another weak round would amplify the bear-steepening already underway.</w:t>
      </w:r>
    </w:p>
    <w:p>
      <w:pPr>
        <w:spacing w:after="120" w:line="280"/>
        <w:jc w:val="left"/>
      </w:pPr>
      <w:r>
        <w:rPr>
          <w:rFonts w:ascii="Georgia" w:cs="Georgia" w:eastAsia="Georgia" w:hAnsi="Georgia"/>
          <w:color w:val="222222"/>
          <w:sz w:val="22"/>
          <w:szCs w:val="22"/>
        </w:rPr>
        <w:t xml:space="preserve">Fed funds futures imply a 13% probability of a cut at the June 17 meeting, 38% by July 30, and a fully priced 25-basis-point ease only by the December 16 decision. The 2026 dot plot from March showed a 3.375% terminal rate — markets are above that, which is the cleanest expression of the Warsh-succession term-premium repricing. Every Fed-funds OIS instrument from one to three years now trades at a higher yield than it did the day Powell was renominated.</w:t>
      </w:r>
    </w:p>
    <w:p>
      <w:pPr>
        <w:spacing w:after="120" w:line="280"/>
        <w:jc w:val="left"/>
      </w:pPr>
      <w:r>
        <w:rPr>
          <w:rFonts w:ascii="Georgia" w:cs="Georgia" w:eastAsia="Georgia" w:hAnsi="Georgia"/>
          <w:color w:val="222222"/>
          <w:sz w:val="22"/>
          <w:szCs w:val="22"/>
        </w:rPr>
        <w:t xml:space="preserve">What would shift the picture: a payrolls print below +50,000 would put a June cut on the table; a print above +120,000 with hourly earnings at +0.4% month-over-month would push the first cut into 2027. Goolsbee called recent inflation data "bad news" on Thursday — the doves are not getting any easy on-ramp. Inflation is sticky around 3.1% headline and 3.0% core PCE. The yield curve's steepening tells you who is winning the internal debate: not the doves, not yet.</w:t>
      </w:r>
    </w:p>
    <w:p>
      <w:pPr>
        <w:pBdr>
          <w:bottom w:val="single" w:color="B8860B" w:sz="8" w:space="4"/>
        </w:pBdr>
        <w:spacing w:after="160" w:before="320"/>
      </w:pPr>
      <w:r>
        <w:rPr>
          <w:rFonts w:ascii="Arial" w:cs="Arial" w:eastAsia="Arial" w:hAnsi="Arial"/>
          <w:b/>
          <w:bCs/>
          <w:color w:val="0A2540"/>
          <w:sz w:val="26"/>
          <w:szCs w:val="26"/>
        </w:rPr>
        <w:t xml:space="preserve">5. ECONOMIC CALENDAR —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900"/>
        <w:gridCol w:w="1200"/>
        <w:gridCol w:w="3860"/>
      </w:tblGrid>
      <w:tr>
        <w:trPr>
          <w:tblHeader/>
        </w:trPr>
        <w:tc>
          <w:tcPr>
            <w:tcW w:type="dxa" w:w="11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Time</w:t>
            </w:r>
          </w:p>
        </w:tc>
        <w:tc>
          <w:tcPr>
            <w:tcW w:type="dxa" w:w="23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Indicator</w:t>
            </w:r>
          </w:p>
        </w:tc>
        <w:tc>
          <w:tcPr>
            <w:tcW w:type="dxa" w:w="9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Prior</w:t>
            </w:r>
          </w:p>
        </w:tc>
        <w:tc>
          <w:tcPr>
            <w:tcW w:type="dxa" w:w="12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Consensus</w:t>
            </w:r>
          </w:p>
        </w:tc>
        <w:tc>
          <w:tcPr>
            <w:tcW w:type="dxa" w:w="386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11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8:30 AM ET</w:t>
            </w:r>
          </w:p>
        </w:tc>
        <w:tc>
          <w:tcPr>
            <w:tcW w:type="dxa" w:w="2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Factory Orders (Mar)</w:t>
            </w:r>
          </w:p>
        </w:tc>
        <w:tc>
          <w:tcPr>
            <w:tcW w:type="dxa" w:w="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+0.6%</w:t>
            </w:r>
          </w:p>
        </w:tc>
        <w:tc>
          <w:tcPr>
            <w:tcW w:type="dxa" w:w="12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+0.4%</w:t>
            </w:r>
          </w:p>
        </w:tc>
        <w:tc>
          <w:tcPr>
            <w:tcW w:type="dxa" w:w="38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Lagging proxy for capex demand; watch core (ex-defense) for tariff-front-loading effect.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8:30 AM ET</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Trade Balance (Mar)</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-$74.5B</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-$71.0B</w:t>
            </w:r>
          </w:p>
        </w:tc>
        <w:tc>
          <w:tcPr>
            <w:tcW w:type="dxa" w:w="3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Tariff regime distortions still unwinding; oil import drag rising.</w:t>
            </w:r>
          </w:p>
        </w:tc>
      </w:tr>
      <w:tr>
        <w:tc>
          <w:tcPr>
            <w:tcW w:type="dxa" w:w="11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10:00 AM ET</w:t>
            </w:r>
          </w:p>
        </w:tc>
        <w:tc>
          <w:tcPr>
            <w:tcW w:type="dxa" w:w="2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Wholesale Inventories (Mar, F)</w:t>
            </w:r>
          </w:p>
        </w:tc>
        <w:tc>
          <w:tcPr>
            <w:tcW w:type="dxa" w:w="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+0.3%</w:t>
            </w:r>
          </w:p>
        </w:tc>
        <w:tc>
          <w:tcPr>
            <w:tcW w:type="dxa" w:w="12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+0.3%</w:t>
            </w:r>
          </w:p>
        </w:tc>
        <w:tc>
          <w:tcPr>
            <w:tcW w:type="dxa" w:w="38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Confirms whether companies are restocking after tariff-pause clearance.</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10:30 AM ET</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Loan Officer Survey (Q1)</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3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C&amp;I and CRE lending standards — credit channel for the Fed's hold posture.</w:t>
            </w:r>
          </w:p>
        </w:tc>
      </w:tr>
      <w:tr>
        <w:tc>
          <w:tcPr>
            <w:tcW w:type="dxa" w:w="11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1:00 PM ET</w:t>
            </w:r>
          </w:p>
        </w:tc>
        <w:tc>
          <w:tcPr>
            <w:tcW w:type="dxa" w:w="2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3-Year Treasury Note Auction</w:t>
            </w:r>
          </w:p>
        </w:tc>
        <w:tc>
          <w:tcPr>
            <w:tcW w:type="dxa" w:w="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w:t>
            </w:r>
          </w:p>
        </w:tc>
        <w:tc>
          <w:tcPr>
            <w:tcW w:type="dxa" w:w="12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w:t>
            </w:r>
          </w:p>
        </w:tc>
        <w:tc>
          <w:tcPr>
            <w:tcW w:type="dxa" w:w="38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sz w:val="18"/>
                <w:szCs w:val="18"/>
              </w:rPr>
              <w:t xml:space="preserve">First leg of $125B refunding week; demand barometer for short end.</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No Fed speakers scheduled</w:t>
            </w:r>
          </w:p>
        </w:tc>
        <w:tc>
          <w:tcPr>
            <w:tcW w:type="dxa" w:w="2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w:t>
            </w:r>
          </w:p>
        </w:tc>
        <w:tc>
          <w:tcPr>
            <w:tcW w:type="dxa" w:w="3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18"/>
                <w:szCs w:val="18"/>
              </w:rPr>
              <w:t xml:space="preserve">Pre-NFP blackout window quiet day; speakers resume Tuesday.</w:t>
            </w:r>
          </w:p>
        </w:tc>
      </w:tr>
    </w:tbl>
    <w:p>
      <w:pPr>
        <w:spacing w:after="120" w:line="280"/>
        <w:jc w:val="left"/>
      </w:pPr>
      <w:r>
        <w:rPr>
          <w:rFonts w:ascii="Georgia" w:cs="Georgia" w:eastAsia="Georgia" w:hAnsi="Georgia"/>
          <w:color w:val="222222"/>
          <w:sz w:val="22"/>
          <w:szCs w:val="22"/>
        </w:rPr>
        <w:t xml:space="preserve"> </w:t>
      </w:r>
    </w:p>
    <w:p>
      <w:pPr>
        <w:pBdr>
          <w:bottom w:val="single" w:color="B8860B" w:sz="8" w:space="4"/>
        </w:pBdr>
        <w:spacing w:after="160" w:before="320"/>
      </w:pPr>
      <w:r>
        <w:rPr>
          <w:rFonts w:ascii="Arial" w:cs="Arial" w:eastAsia="Arial" w:hAnsi="Arial"/>
          <w:b/>
          <w:bCs/>
          <w:color w:val="0A2540"/>
          <w:sz w:val="26"/>
          <w:szCs w:val="26"/>
        </w:rPr>
        <w:t xml:space="preserve">6. EARNINGS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700"/>
        <w:gridCol w:w="1900"/>
        <w:gridCol w:w="1460"/>
      </w:tblGrid>
      <w:tr>
        <w:trPr>
          <w:tblHeader/>
        </w:trPr>
        <w:tc>
          <w:tcPr>
            <w:tcW w:type="dxa" w:w="30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Company</w:t>
            </w:r>
          </w:p>
        </w:tc>
        <w:tc>
          <w:tcPr>
            <w:tcW w:type="dxa" w:w="13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EPS Est.</w:t>
            </w:r>
          </w:p>
        </w:tc>
        <w:tc>
          <w:tcPr>
            <w:tcW w:type="dxa" w:w="17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Revenue Est.</w:t>
            </w:r>
          </w:p>
        </w:tc>
        <w:tc>
          <w:tcPr>
            <w:tcW w:type="dxa" w:w="19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Last Qtr (Act)</w:t>
            </w:r>
          </w:p>
        </w:tc>
        <w:tc>
          <w:tcPr>
            <w:tcW w:type="dxa" w:w="146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Implied Move</w:t>
            </w:r>
          </w:p>
        </w:tc>
      </w:tr>
      <w:tr>
        <w:tc>
          <w:tcPr>
            <w:tcW w:type="dxa" w:w="300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PRE-MARKET</w:t>
            </w:r>
          </w:p>
        </w:tc>
        <w:tc>
          <w:tcPr>
            <w:tcW w:type="dxa" w:w="130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w:t>
            </w:r>
          </w:p>
        </w:tc>
        <w:tc>
          <w:tcPr>
            <w:tcW w:type="dxa" w:w="190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w:t>
            </w:r>
          </w:p>
        </w:tc>
        <w:tc>
          <w:tcPr>
            <w:tcW w:type="dxa" w:w="146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Williams Companies (WMB)</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$0.62</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$3.28B</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$0.59 / $3.21B</w:t>
            </w:r>
          </w:p>
        </w:tc>
        <w:tc>
          <w:tcPr>
            <w:tcW w:type="dxa" w:w="14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+/-3.5%</w:t>
            </w:r>
          </w:p>
        </w:tc>
      </w:tr>
      <w:tr>
        <w:tc>
          <w:tcPr>
            <w:tcW w:type="dxa" w:w="30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Tyson Foods (TSN)</w:t>
            </w:r>
          </w:p>
        </w:tc>
        <w:tc>
          <w:tcPr>
            <w:tcW w:type="dxa" w:w="1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$0.83</w:t>
            </w:r>
          </w:p>
        </w:tc>
        <w:tc>
          <w:tcPr>
            <w:tcW w:type="dxa" w:w="17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$13.28B</w:t>
            </w:r>
          </w:p>
        </w:tc>
        <w:tc>
          <w:tcPr>
            <w:tcW w:type="dxa" w:w="1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$0.92 / $13.07B</w:t>
            </w:r>
          </w:p>
        </w:tc>
        <w:tc>
          <w:tcPr>
            <w:tcW w:type="dxa" w:w="14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+/-5.0%</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ON Semiconductor (ON)</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$0.71</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$1.42B</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$0.55 / $1.45B</w:t>
            </w:r>
          </w:p>
        </w:tc>
        <w:tc>
          <w:tcPr>
            <w:tcW w:type="dxa" w:w="14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+/-9.5%</w:t>
            </w:r>
          </w:p>
        </w:tc>
      </w:tr>
      <w:tr>
        <w:tc>
          <w:tcPr>
            <w:tcW w:type="dxa" w:w="300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AFTER CLOSE</w:t>
            </w:r>
          </w:p>
        </w:tc>
        <w:tc>
          <w:tcPr>
            <w:tcW w:type="dxa" w:w="130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w:t>
            </w:r>
          </w:p>
        </w:tc>
        <w:tc>
          <w:tcPr>
            <w:tcW w:type="dxa" w:w="170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w:t>
            </w:r>
          </w:p>
        </w:tc>
        <w:tc>
          <w:tcPr>
            <w:tcW w:type="dxa" w:w="190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w:t>
            </w:r>
          </w:p>
        </w:tc>
        <w:tc>
          <w:tcPr>
            <w:tcW w:type="dxa" w:w="1460"/>
            <w:tcBorders>
              <w:top w:val="single" w:color="CCCCCC" w:sz="4"/>
              <w:left w:val="single" w:color="CCCCCC" w:sz="4"/>
              <w:bottom w:val="single" w:color="CCCCCC" w:sz="4"/>
              <w:right w:val="single" w:color="CCCCCC" w:sz="4"/>
            </w:tcBorders>
            <w:shd w:fill="B8860B" w:val="clear"/>
            <w:tcMar>
              <w:top w:type="dxa" w:w="70"/>
              <w:left w:type="dxa" w:w="120"/>
              <w:bottom w:type="dxa" w:w="70"/>
              <w:right w:type="dxa" w:w="120"/>
            </w:tcMar>
          </w:tcPr>
          <w:p>
            <w:r>
              <w:rPr>
                <w:rFonts w:ascii="Arial" w:cs="Arial" w:eastAsia="Arial" w:hAnsi="Arial"/>
                <w:b/>
                <w:bCs/>
                <w:color w:val="FFFFFF"/>
                <w:sz w:val="18"/>
                <w:szCs w:val="18"/>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Palantir Technologies (PLTR)</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$0.27</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$1.13B</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$0.21 / $828M</w:t>
            </w:r>
          </w:p>
        </w:tc>
        <w:tc>
          <w:tcPr>
            <w:tcW w:type="dxa" w:w="14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+/-13.0%</w:t>
            </w:r>
          </w:p>
        </w:tc>
      </w:tr>
      <w:tr>
        <w:tc>
          <w:tcPr>
            <w:tcW w:type="dxa" w:w="30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Vertex Pharmaceuticals (VRTX)</w:t>
            </w:r>
          </w:p>
        </w:tc>
        <w:tc>
          <w:tcPr>
            <w:tcW w:type="dxa" w:w="1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$4.18</w:t>
            </w:r>
          </w:p>
        </w:tc>
        <w:tc>
          <w:tcPr>
            <w:tcW w:type="dxa" w:w="17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$2.99B</w:t>
            </w:r>
          </w:p>
        </w:tc>
        <w:tc>
          <w:tcPr>
            <w:tcW w:type="dxa" w:w="1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$4.06 / $2.77B</w:t>
            </w:r>
          </w:p>
        </w:tc>
        <w:tc>
          <w:tcPr>
            <w:tcW w:type="dxa" w:w="14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+/-5.5%</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Realty Income (O)</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$1.09</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$1.42B</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$1.07 / $1.40B</w:t>
            </w:r>
          </w:p>
        </w:tc>
        <w:tc>
          <w:tcPr>
            <w:tcW w:type="dxa" w:w="14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+/-2.0%</w:t>
            </w:r>
          </w:p>
        </w:tc>
      </w:tr>
      <w:tr>
        <w:tc>
          <w:tcPr>
            <w:tcW w:type="dxa" w:w="30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Hims &amp; Hers Health (HIMS)</w:t>
            </w:r>
          </w:p>
        </w:tc>
        <w:tc>
          <w:tcPr>
            <w:tcW w:type="dxa" w:w="1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$0.18</w:t>
            </w:r>
          </w:p>
        </w:tc>
        <w:tc>
          <w:tcPr>
            <w:tcW w:type="dxa" w:w="17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$564M</w:t>
            </w:r>
          </w:p>
        </w:tc>
        <w:tc>
          <w:tcPr>
            <w:tcW w:type="dxa" w:w="1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$0.11 / $481M</w:t>
            </w:r>
          </w:p>
        </w:tc>
        <w:tc>
          <w:tcPr>
            <w:tcW w:type="dxa" w:w="14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+/-15.0%</w:t>
            </w:r>
          </w:p>
        </w:tc>
      </w:tr>
    </w:tbl>
    <w:p>
      <w:pPr>
        <w:spacing w:after="120" w:line="280"/>
        <w:jc w:val="left"/>
      </w:pPr>
      <w:r>
        <w:rPr>
          <w:rFonts w:ascii="Georgia" w:cs="Georgia" w:eastAsia="Georgia" w:hAnsi="Georgia"/>
          <w:color w:val="222222"/>
          <w:sz w:val="22"/>
          <w:szCs w:val="22"/>
        </w:rPr>
        <w:t xml:space="preserve"> </w:t>
      </w:r>
    </w:p>
    <w:p>
      <w:pPr>
        <w:spacing w:after="120" w:line="280"/>
        <w:jc w:val="left"/>
      </w:pPr>
      <w:r>
        <w:rPr>
          <w:rFonts w:ascii="Georgia" w:cs="Georgia" w:eastAsia="Georgia" w:hAnsi="Georgia"/>
          <w:color w:val="222222"/>
          <w:sz w:val="22"/>
          <w:szCs w:val="22"/>
        </w:rPr>
        <w:t xml:space="preserve">The Q1 reporting cadence remains the strongest fundamental tailwind for the tape. With 78% of S&amp;P 500 companies through the gate, blended Q1 EPS growth has been marked up from a March-31 estimate of 11.7% to a current 27.1% — the largest upward revision in a decade. The beat rate is 84% (versus 78% five-year average), and reporters are coming in 20.7 percentage points above consensus on the bottom line. Nine of eleven sectors are printing double-digit EPS growth.</w:t>
      </w:r>
    </w:p>
    <w:p>
      <w:pPr>
        <w:spacing w:after="120" w:line="280"/>
        <w:jc w:val="left"/>
      </w:pPr>
      <w:r>
        <w:rPr>
          <w:rFonts w:ascii="Georgia" w:cs="Georgia" w:eastAsia="Georgia" w:hAnsi="Georgia"/>
          <w:color w:val="222222"/>
          <w:sz w:val="22"/>
          <w:szCs w:val="22"/>
        </w:rPr>
        <w:t xml:space="preserve">Today's slate is led by Palantir after the close. Consensus is $0.27 EPS on $1.13 billion in revenue, which would be 36% growth. The setup is uncomfortably hot — shares are up 24% in a month and trade at 195x forward earnings — and the options market is implying a +/-13% move on the print. The buy-side debate is whether U.S. commercial bookings can continue to accelerate from last quarter's 137% year-over-year pace and whether AIP renewal cohorts will sustain into 2027.</w:t>
      </w:r>
    </w:p>
    <w:p>
      <w:pPr>
        <w:spacing w:after="120" w:line="280"/>
        <w:jc w:val="left"/>
      </w:pPr>
      <w:r>
        <w:rPr>
          <w:rFonts w:ascii="Georgia" w:cs="Georgia" w:eastAsia="Georgia" w:hAnsi="Georgia"/>
          <w:color w:val="222222"/>
          <w:sz w:val="22"/>
          <w:szCs w:val="22"/>
        </w:rPr>
        <w:t xml:space="preserve">Vertex (VRTX) is the cleaner setup pre-market: $4.18 EPS, $2.99B revenue, with the Casgevy launch ramp and the suzetrigine acute-pain franchise the focal points. Tyson Foods is exposed to live-cattle prices at multi-year highs; ON Semi is the auto-cycle proxy and faces the EU tariff cross-current. After hours, Hims &amp; Hers (HIMS) carries the largest implied move at +/-15% on weight-loss compounding policy uncertainty.</w:t>
      </w:r>
    </w:p>
    <w:p>
      <w:pPr>
        <w:pBdr>
          <w:bottom w:val="single" w:color="B8860B" w:sz="8" w:space="4"/>
        </w:pBdr>
        <w:spacing w:after="160" w:before="320"/>
      </w:pPr>
      <w:r>
        <w:rPr>
          <w:rFonts w:ascii="Arial" w:cs="Arial" w:eastAsia="Arial" w:hAnsi="Arial"/>
          <w:b/>
          <w:bCs/>
          <w:color w:val="0A2540"/>
          <w:sz w:val="26"/>
          <w:szCs w:val="26"/>
        </w:rPr>
        <w:t xml:space="preserve">7. SECTOR SPOTLIGHT: ENERGY &amp; MATERIALS</w:t>
      </w:r>
    </w:p>
    <w:p>
      <w:pPr>
        <w:spacing w:after="120" w:line="280"/>
        <w:jc w:val="left"/>
      </w:pPr>
      <w:r>
        <w:rPr>
          <w:rFonts w:ascii="Georgia" w:cs="Georgia" w:eastAsia="Georgia" w:hAnsi="Georgia"/>
          <w:color w:val="222222"/>
          <w:sz w:val="22"/>
          <w:szCs w:val="22"/>
        </w:rPr>
        <w:t xml:space="preserve">Energy and Materials carry the relay baton. Energy was the third-best S&amp;P sector in April (+9.4%) and is set to lead again on the Hormuz extension. Within the sector, the integrated majors (XOM, CVX) are getting more defensive flow than the pure E&amp;Ps (FANG, COP, OXY) — buy-side desks want refining-margin exposure plus dividend cushion, not pure WTI beta, given the price level is already elevated and a sudden de-escalation could reset the curve $15 lower in a session.</w:t>
      </w:r>
    </w:p>
    <w:p>
      <w:pPr>
        <w:spacing w:after="120" w:line="280"/>
        <w:jc w:val="left"/>
      </w:pPr>
      <w:r>
        <w:rPr>
          <w:rFonts w:ascii="Georgia" w:cs="Georgia" w:eastAsia="Georgia" w:hAnsi="Georgia"/>
          <w:color w:val="222222"/>
          <w:sz w:val="22"/>
          <w:szCs w:val="22"/>
        </w:rPr>
        <w:t xml:space="preserve">Materials is the more interesting positioning trade. The Caixin PMI plus the Hormuz oil-feedstock cost story plus the BBBA's accelerated depreciation regime is a three-factor tailwind that the sector has lagged YTD (+3.1% versus the S&amp;P's +12%). Copper inventories on the LME have drawn for nine consecutive sessions. The XLB has formed a multi-month base around $94 and is breaking out this morning. Watch Freeport-McMoRan (FCX) above $74; that is the technical trigger for systematic flows.</w:t>
      </w:r>
    </w:p>
    <w:p>
      <w:pPr>
        <w:pBdr>
          <w:bottom w:val="single" w:color="B8860B" w:sz="8" w:space="4"/>
        </w:pBdr>
        <w:spacing w:after="160" w:before="320"/>
      </w:pPr>
      <w:r>
        <w:rPr>
          <w:rFonts w:ascii="Arial" w:cs="Arial" w:eastAsia="Arial" w:hAnsi="Arial"/>
          <w:b/>
          <w:bCs/>
          <w:color w:val="0A2540"/>
          <w:sz w:val="26"/>
          <w:szCs w:val="26"/>
        </w:rPr>
        <w:t xml:space="preserve">8. ANALYST CALLS &amp; UPGRADES / DOWNGRADES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1300"/>
        <w:gridCol w:w="29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Firm</w:t>
            </w:r>
          </w:p>
        </w:tc>
        <w:tc>
          <w:tcPr>
            <w:tcW w:type="dxa" w:w="17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Stock</w:t>
            </w:r>
          </w:p>
        </w:tc>
        <w:tc>
          <w:tcPr>
            <w:tcW w:type="dxa" w:w="19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30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Price Target</w:t>
            </w:r>
          </w:p>
        </w:tc>
        <w:tc>
          <w:tcPr>
            <w:tcW w:type="dxa" w:w="2960"/>
            <w:tcBorders>
              <w:top w:val="single" w:color="CCCCCC" w:sz="4"/>
              <w:left w:val="single" w:color="CCCCCC" w:sz="4"/>
              <w:bottom w:val="single" w:color="CCCCCC" w:sz="4"/>
              <w:right w:val="single" w:color="CCCCCC" w:sz="4"/>
            </w:tcBorders>
            <w:shd w:fill="0A2540"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15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Oppenheimer</w:t>
            </w:r>
          </w:p>
        </w:tc>
        <w:tc>
          <w:tcPr>
            <w:tcW w:type="dxa" w:w="17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Airbnb (ABNB)</w:t>
            </w:r>
          </w:p>
        </w:tc>
        <w:tc>
          <w:tcPr>
            <w:tcW w:type="dxa" w:w="1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bCs/>
                <w:color w:val="0E7C3F"/>
                <w:sz w:val="18"/>
                <w:szCs w:val="18"/>
              </w:rPr>
              <w:t xml:space="preserve">Upgrade — Outperform</w:t>
            </w:r>
          </w:p>
        </w:tc>
        <w:tc>
          <w:tcPr>
            <w:tcW w:type="dxa" w:w="1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$180</w:t>
            </w:r>
          </w:p>
        </w:tc>
        <w:tc>
          <w:tcPr>
            <w:tcW w:type="dxa" w:w="29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Take-rate expansion + Experiences relaunch unlocks new TAM.</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Piper Sandler</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Essex Property (ESS)</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E7C3F"/>
                <w:sz w:val="18"/>
                <w:szCs w:val="18"/>
              </w:rPr>
              <w:t xml:space="preserve">Upgrade — Overweight</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$310</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California rent re-acceleration + supply roll-off into 2027.</w:t>
            </w:r>
          </w:p>
        </w:tc>
      </w:tr>
      <w:tr>
        <w:tc>
          <w:tcPr>
            <w:tcW w:type="dxa" w:w="15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Stifel</w:t>
            </w:r>
          </w:p>
        </w:tc>
        <w:tc>
          <w:tcPr>
            <w:tcW w:type="dxa" w:w="17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SiteOne Landscape (SITE)</w:t>
            </w:r>
          </w:p>
        </w:tc>
        <w:tc>
          <w:tcPr>
            <w:tcW w:type="dxa" w:w="1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bCs/>
                <w:color w:val="0E7C3F"/>
                <w:sz w:val="18"/>
                <w:szCs w:val="18"/>
              </w:rPr>
              <w:t xml:space="preserve">Upgrade — Buy</w:t>
            </w:r>
          </w:p>
        </w:tc>
        <w:tc>
          <w:tcPr>
            <w:tcW w:type="dxa" w:w="1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$157</w:t>
            </w:r>
          </w:p>
        </w:tc>
        <w:tc>
          <w:tcPr>
            <w:tcW w:type="dxa" w:w="29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M&amp;A pipeline plus pricing recovery into spring season.</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Deutsche Bank</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Packaging Corp (PKG)</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E7C3F"/>
                <w:sz w:val="18"/>
                <w:szCs w:val="18"/>
              </w:rPr>
              <w:t xml:space="preserve">Upgrade — Buy</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$256</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Containerboard pricing inflecting; e-commerce demand firm.</w:t>
            </w:r>
          </w:p>
        </w:tc>
      </w:tr>
      <w:tr>
        <w:tc>
          <w:tcPr>
            <w:tcW w:type="dxa" w:w="15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HC Wainwright</w:t>
            </w:r>
          </w:p>
        </w:tc>
        <w:tc>
          <w:tcPr>
            <w:tcW w:type="dxa" w:w="17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Celcuity (CELC)</w:t>
            </w:r>
          </w:p>
        </w:tc>
        <w:tc>
          <w:tcPr>
            <w:tcW w:type="dxa" w:w="1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bCs/>
                <w:color w:val="0E7C3F"/>
                <w:sz w:val="18"/>
                <w:szCs w:val="18"/>
              </w:rPr>
              <w:t xml:space="preserve">Upgrade — Buy</w:t>
            </w:r>
          </w:p>
        </w:tc>
        <w:tc>
          <w:tcPr>
            <w:tcW w:type="dxa" w:w="1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$165</w:t>
            </w:r>
          </w:p>
        </w:tc>
        <w:tc>
          <w:tcPr>
            <w:tcW w:type="dxa" w:w="29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Phase 3 readout odds re-rated; PI3K oncology TAM expanded.</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Goldman Sachs</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Ford (F)</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B23A2E"/>
                <w:sz w:val="18"/>
                <w:szCs w:val="18"/>
              </w:rPr>
              <w:t xml:space="preserve">Downgrade — Sell</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$10</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EU auto tariff retaliation risk; F-150 Lightning losses widen.</w:t>
            </w:r>
          </w:p>
        </w:tc>
      </w:tr>
      <w:tr>
        <w:tc>
          <w:tcPr>
            <w:tcW w:type="dxa" w:w="15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Morgan Stanley</w:t>
            </w:r>
          </w:p>
        </w:tc>
        <w:tc>
          <w:tcPr>
            <w:tcW w:type="dxa" w:w="17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Lululemon (LULU)</w:t>
            </w:r>
          </w:p>
        </w:tc>
        <w:tc>
          <w:tcPr>
            <w:tcW w:type="dxa" w:w="19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bCs/>
                <w:color w:val="B23A2E"/>
                <w:sz w:val="18"/>
                <w:szCs w:val="18"/>
              </w:rPr>
              <w:t xml:space="preserve">Downgrade — EW</w:t>
            </w:r>
          </w:p>
        </w:tc>
        <w:tc>
          <w:tcPr>
            <w:tcW w:type="dxa" w:w="130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$240</w:t>
            </w:r>
          </w:p>
        </w:tc>
        <w:tc>
          <w:tcPr>
            <w:tcW w:type="dxa" w:w="2960"/>
            <w:tcBorders>
              <w:top w:val="single" w:color="CCCCCC" w:sz="4"/>
              <w:left w:val="single" w:color="CCCCCC" w:sz="4"/>
              <w:bottom w:val="single" w:color="CCCCCC" w:sz="4"/>
              <w:right w:val="single" w:color="CCCCCC" w:sz="4"/>
            </w:tcBorders>
            <w:shd w:fill="F8F6F0" w:val="clear"/>
            <w:tcMar>
              <w:top w:type="dxa" w:w="70"/>
              <w:left w:type="dxa" w:w="120"/>
              <w:bottom w:type="dxa" w:w="70"/>
              <w:right w:type="dxa" w:w="120"/>
            </w:tcMar>
          </w:tcPr>
          <w:p>
            <w:r>
              <w:rPr>
                <w:rFonts w:ascii="Arial" w:cs="Arial" w:eastAsia="Arial" w:hAnsi="Arial"/>
                <w:b w:val="false"/>
                <w:bCs w:val="false"/>
                <w:color w:val="222222"/>
                <w:sz w:val="18"/>
                <w:szCs w:val="18"/>
              </w:rPr>
              <w:t xml:space="preserve">China women's run rate softening; promo cadence rising.</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JPMorgan</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Halliburton (HAL)</w:t>
            </w:r>
          </w:p>
        </w:tc>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0E7C3F"/>
                <w:sz w:val="18"/>
                <w:szCs w:val="18"/>
              </w:rPr>
              <w:t xml:space="preserve">Initiate — Overweight</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$48</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222222"/>
                <w:sz w:val="18"/>
                <w:szCs w:val="18"/>
              </w:rPr>
              <w:t xml:space="preserve">Mid-East completions tailwind; offshore international cycle.</w:t>
            </w:r>
          </w:p>
        </w:tc>
      </w:tr>
    </w:tbl>
    <w:p>
      <w:pPr>
        <w:spacing w:after="120" w:line="280"/>
        <w:jc w:val="left"/>
      </w:pPr>
      <w:r>
        <w:rPr>
          <w:rFonts w:ascii="Georgia" w:cs="Georgia" w:eastAsia="Georgia" w:hAnsi="Georgia"/>
          <w:color w:val="222222"/>
          <w:sz w:val="22"/>
          <w:szCs w:val="22"/>
        </w:rPr>
        <w:t xml:space="preserve"> </w:t>
      </w:r>
    </w:p>
    <w:p>
      <w:pPr>
        <w:pBdr>
          <w:bottom w:val="single" w:color="B8860B" w:sz="8" w:space="4"/>
        </w:pBdr>
        <w:spacing w:after="160" w:before="320"/>
      </w:pPr>
      <w:r>
        <w:rPr>
          <w:rFonts w:ascii="Arial" w:cs="Arial" w:eastAsia="Arial" w:hAnsi="Arial"/>
          <w:b/>
          <w:bCs/>
          <w:color w:val="0A2540"/>
          <w:sz w:val="26"/>
          <w:szCs w:val="26"/>
        </w:rPr>
        <w:t xml:space="preserve">9. STOCKS TO WATCH</w:t>
      </w:r>
    </w:p>
    <w:p>
      <w:pPr>
        <w:spacing w:after="80" w:before="200"/>
      </w:pPr>
      <w:r>
        <w:rPr>
          <w:rFonts w:ascii="Arial" w:cs="Arial" w:eastAsia="Arial" w:hAnsi="Arial"/>
          <w:b/>
          <w:bCs/>
          <w:color w:val="1B3A5C"/>
          <w:sz w:val="24"/>
          <w:szCs w:val="24"/>
        </w:rPr>
        <w:t xml:space="preserve">Palantir (PLTR) — earnings tonight</w:t>
      </w:r>
    </w:p>
    <w:p>
      <w:pPr>
        <w:spacing w:after="120" w:line="280"/>
        <w:jc w:val="left"/>
      </w:pPr>
      <w:r>
        <w:rPr>
          <w:rFonts w:ascii="Georgia" w:cs="Georgia" w:eastAsia="Georgia" w:hAnsi="Georgia"/>
          <w:color w:val="222222"/>
          <w:sz w:val="22"/>
          <w:szCs w:val="22"/>
        </w:rPr>
        <w:t xml:space="preserve">Implied move +/-13%; shares closed Friday at $148.40, up 24% on the month and 6.4x on a 52-week basis. The whisper number is closer to $0.30 EPS, suggesting an in-line print could disappoint. Watch U.S. commercial bookings, AIP customer count, and any 2026 revenue guide above the $4.6B current consensus. A clean beat-and-raise at this multiple is the only way the stock holds the $145 gap-fill level. A miss likely retests $128 (50-day moving average).</w:t>
      </w:r>
    </w:p>
    <w:p>
      <w:pPr>
        <w:spacing w:after="80" w:before="200"/>
      </w:pPr>
      <w:r>
        <w:rPr>
          <w:rFonts w:ascii="Arial" w:cs="Arial" w:eastAsia="Arial" w:hAnsi="Arial"/>
          <w:b/>
          <w:bCs/>
          <w:color w:val="1B3A5C"/>
          <w:sz w:val="24"/>
          <w:szCs w:val="24"/>
        </w:rPr>
        <w:t xml:space="preserve">Apple (AAPL) — services tail-wind continues</w:t>
      </w:r>
    </w:p>
    <w:p>
      <w:pPr>
        <w:spacing w:after="120" w:line="280"/>
        <w:jc w:val="left"/>
      </w:pPr>
      <w:r>
        <w:rPr>
          <w:rFonts w:ascii="Georgia" w:cs="Georgia" w:eastAsia="Georgia" w:hAnsi="Georgia"/>
          <w:color w:val="222222"/>
          <w:sz w:val="22"/>
          <w:szCs w:val="22"/>
        </w:rPr>
        <w:t xml:space="preserve">Friday's $231.40 close was a fresh record post-print. The remaining tactical question is the iPhone 17 Air launch cycle into August and whether Services growth holds in the high-teens through the supply-chain rejuggle. Options skew has flattened — calls bid into year-end. $228 (the gap up from earnings) is now first support; bulls want a hold above $235 to validate the next leg toward $250.</w:t>
      </w:r>
    </w:p>
    <w:p>
      <w:pPr>
        <w:spacing w:after="80" w:before="200"/>
      </w:pPr>
      <w:r>
        <w:rPr>
          <w:rFonts w:ascii="Arial" w:cs="Arial" w:eastAsia="Arial" w:hAnsi="Arial"/>
          <w:b/>
          <w:bCs/>
          <w:color w:val="1B3A5C"/>
          <w:sz w:val="24"/>
          <w:szCs w:val="24"/>
        </w:rPr>
        <w:t xml:space="preserve">Freeport-McMoRan (FCX) — copper breakout setup</w:t>
      </w:r>
    </w:p>
    <w:p>
      <w:pPr>
        <w:spacing w:after="120" w:line="280"/>
        <w:jc w:val="left"/>
      </w:pPr>
      <w:r>
        <w:rPr>
          <w:rFonts w:ascii="Georgia" w:cs="Georgia" w:eastAsia="Georgia" w:hAnsi="Georgia"/>
          <w:color w:val="222222"/>
          <w:sz w:val="22"/>
          <w:szCs w:val="22"/>
        </w:rPr>
        <w:t xml:space="preserve">Closed Friday at $73.85, threading the upper end of a four-month $66–$74 range. China Caixin acceleration plus continued LME draws plus a weakening dollar is a clean three-factor bull setup. A break and hold above $74.20 opens $82–$84 (prior 2024 highs). Stop-out below $70 invalidates. Q2 earnings April 22 already in the rear-view; this is now a macro-vehicle trade.</w:t>
      </w:r>
    </w:p>
    <w:p>
      <w:pPr>
        <w:spacing w:after="80" w:before="200"/>
      </w:pPr>
      <w:r>
        <w:rPr>
          <w:rFonts w:ascii="Arial" w:cs="Arial" w:eastAsia="Arial" w:hAnsi="Arial"/>
          <w:b/>
          <w:bCs/>
          <w:color w:val="1B3A5C"/>
          <w:sz w:val="24"/>
          <w:szCs w:val="24"/>
        </w:rPr>
        <w:t xml:space="preserve">Ford (F) — tariff retaliation downgrade</w:t>
      </w:r>
    </w:p>
    <w:p>
      <w:pPr>
        <w:spacing w:after="120" w:line="280"/>
        <w:jc w:val="left"/>
      </w:pPr>
      <w:r>
        <w:rPr>
          <w:rFonts w:ascii="Georgia" w:cs="Georgia" w:eastAsia="Georgia" w:hAnsi="Georgia"/>
          <w:color w:val="222222"/>
          <w:sz w:val="22"/>
          <w:szCs w:val="22"/>
        </w:rPr>
        <w:t xml:space="preserve">Goldman is going to Sell this morning with a $10 price target. Friday close: $11.42. The thesis: EU retaliation on autos is a 70-cents-per-share EBITDA headwind in 2027, and the F-150 Lightning loss rate is widening as Tesla's Cybertruck Light captures the entry-EV truck slot. Watch the $10.85 February low as the technical fulcrum. A break there opens $9.20.</w:t>
      </w:r>
    </w:p>
    <w:p>
      <w:pPr>
        <w:pBdr>
          <w:bottom w:val="single" w:color="B8860B" w:sz="8" w:space="4"/>
        </w:pBdr>
        <w:spacing w:after="160" w:before="320"/>
      </w:pPr>
      <w:r>
        <w:rPr>
          <w:rFonts w:ascii="Arial" w:cs="Arial" w:eastAsia="Arial" w:hAnsi="Arial"/>
          <w:b/>
          <w:bCs/>
          <w:color w:val="0A2540"/>
          <w:sz w:val="26"/>
          <w:szCs w:val="26"/>
        </w:rPr>
        <w:t xml:space="preserve">10. GLOBAL MACRO SNAPSHOT</w:t>
      </w:r>
    </w:p>
    <w:p>
      <w:pPr>
        <w:spacing w:after="120" w:line="280"/>
        <w:jc w:val="left"/>
      </w:pPr>
      <w:r>
        <w:rPr>
          <w:rFonts w:ascii="Georgia" w:cs="Georgia" w:eastAsia="Georgia" w:hAnsi="Georgia"/>
          <w:color w:val="222222"/>
          <w:sz w:val="22"/>
          <w:szCs w:val="22"/>
        </w:rPr>
        <w:t xml:space="preserve">Asia is bifurcated. Tokyo and Shanghai are shut for holiday — Japan through Wednesday for Golden Week, Shanghai Monday-Tuesday for Labour Day — leaving Hong Kong and Korea to set the regional tone. Hang Seng was up 1.26% in late afternoon trade on the Caixin print read-through; the Kospi exploded 5.1% to 6,937 on a combination of Samsung capex guidance, Korean tax-reform tailwinds, and short covering after a punishing April. ASX fell 0.4% on iron-ore weakness; spot ore is at $93/ton, four-month low.</w:t>
      </w:r>
    </w:p>
    <w:p>
      <w:pPr>
        <w:spacing w:after="120" w:line="280"/>
        <w:jc w:val="left"/>
      </w:pPr>
      <w:r>
        <w:rPr>
          <w:rFonts w:ascii="Georgia" w:cs="Georgia" w:eastAsia="Georgia" w:hAnsi="Georgia"/>
          <w:color w:val="222222"/>
          <w:sz w:val="22"/>
          <w:szCs w:val="22"/>
        </w:rPr>
        <w:t xml:space="preserve">Europe opens on the back foot. The U.K. is closed for the Early May Bank Holiday so there's no FTSE 100 print. The Stoxx 600 is essentially flat with tariff-exposed autos down 1.6% offset by telecoms (+1.2% led by Nokia +7% on a U.S. infrastructure deal). The euro is firmer despite the tariff threat, which tells you the FX market is treating this as a Trump-administration coercion play rather than a fundamental EU-growth shock. Watch the German 10-year Bund — at 2.42% it is up 11bp on the week, dragging the Euribor curve with it.</w:t>
      </w:r>
    </w:p>
    <w:p>
      <w:pPr>
        <w:pBdr>
          <w:bottom w:val="single" w:color="B8860B" w:sz="8" w:space="4"/>
        </w:pBdr>
        <w:spacing w:after="160" w:before="320"/>
      </w:pPr>
      <w:r>
        <w:rPr>
          <w:rFonts w:ascii="Arial" w:cs="Arial" w:eastAsia="Arial" w:hAnsi="Arial"/>
          <w:b/>
          <w:bCs/>
          <w:color w:val="0A2540"/>
          <w:sz w:val="26"/>
          <w:szCs w:val="26"/>
        </w:rPr>
        <w:t xml:space="preserve">11. WEEK AHEAD PREVIEW</w:t>
      </w:r>
    </w:p>
    <w:p>
      <w:pPr>
        <w:spacing w:after="120" w:line="280"/>
        <w:jc w:val="left"/>
      </w:pPr>
      <w:r>
        <w:rPr>
          <w:rFonts w:ascii="Georgia" w:cs="Georgia" w:eastAsia="Georgia" w:hAnsi="Georgia"/>
          <w:color w:val="222222"/>
          <w:sz w:val="22"/>
          <w:szCs w:val="22"/>
        </w:rPr>
        <w:t xml:space="preserve">Tuesday delivers the heavy macro: ISM Services PMI at 10am (consensus 51.4 vs. 51.9 prior), JOLTS job openings (7.4M vs. 7.6M), and a $42B 10-year auction. The ISM print is the first read on whether the consumer is still spending into a $4.23 gas-price environment — a sub-50 print would change Fed-cut expectations materially. Tuesday earnings: AMD (after-close, the AI-data-center read), Ferrari, Coupang, Caesars.</w:t>
      </w:r>
    </w:p>
    <w:p>
      <w:pPr>
        <w:spacing w:after="120" w:line="280"/>
        <w:jc w:val="left"/>
      </w:pPr>
      <w:r>
        <w:rPr>
          <w:rFonts w:ascii="Georgia" w:cs="Georgia" w:eastAsia="Georgia" w:hAnsi="Georgia"/>
          <w:color w:val="222222"/>
          <w:sz w:val="22"/>
          <w:szCs w:val="22"/>
        </w:rPr>
        <w:t xml:space="preserve">Wednesday brings ADP private payrolls (consensus +85K), the trade balance, $25B 30-year auction, and Disney earnings after the close. Thursday: weekly jobless claims (220K consensus), preliminary Q1 productivity and unit labor costs, $25B 4-week bills, and Shopify, Block, Pinterest, and Hyatt earnings.</w:t>
      </w:r>
    </w:p>
    <w:p>
      <w:pPr>
        <w:spacing w:after="120" w:line="280"/>
        <w:jc w:val="left"/>
      </w:pPr>
      <w:r>
        <w:rPr>
          <w:rFonts w:ascii="Georgia" w:cs="Georgia" w:eastAsia="Georgia" w:hAnsi="Georgia"/>
          <w:color w:val="222222"/>
          <w:sz w:val="22"/>
          <w:szCs w:val="22"/>
        </w:rPr>
        <w:t xml:space="preserve">Friday is the main event: April nonfarm payrolls at 8:30am. Consensus +73K, unemployment 4.3%, average hourly earnings +0.3% m/m. Whisper is closer to +60K after the Challenger layoff data softened last week. The University of Michigan preliminary May sentiment follows at 10am. Geopolitical wildcards: any escalation or de-escalation around Hormuz, the formal EU response to the auto tariff hike, and the Senate's probable Wednesday vote on the Warsh confirmation.</w:t>
      </w:r>
    </w:p>
    <w:p>
      <w:pPr>
        <w:pBdr>
          <w:bottom w:val="single" w:color="B8860B" w:sz="8" w:space="4"/>
        </w:pBdr>
        <w:spacing w:after="160" w:before="320"/>
      </w:pPr>
      <w:r>
        <w:rPr>
          <w:rFonts w:ascii="Arial" w:cs="Arial" w:eastAsia="Arial" w:hAnsi="Arial"/>
          <w:b/>
          <w:bCs/>
          <w:color w:val="0A2540"/>
          <w:sz w:val="26"/>
          <w:szCs w:val="26"/>
        </w:rPr>
        <w:t xml:space="preserve">12. CLOSING THOUGHT</w:t>
      </w:r>
    </w:p>
    <w:p>
      <w:pPr>
        <w:spacing w:after="120" w:line="280"/>
        <w:jc w:val="left"/>
      </w:pPr>
      <w:r>
        <w:rPr>
          <w:rFonts w:ascii="Georgia" w:cs="Georgia" w:eastAsia="Georgia" w:hAnsi="Georgia"/>
          <w:color w:val="222222"/>
          <w:sz w:val="22"/>
          <w:szCs w:val="22"/>
        </w:rPr>
        <w:t xml:space="preserve">The market's biggest blind spot may not be in the equity tape at all — it may be in the term premium. The 30-year Treasury is up 28 basis points in three weeks against a backdrop of stable two-year yields, a Fed that just held, and inflation expectations that are actually softening at the front end. That is the textbook signature of a sovereign-credit risk premium being priced in real time, not a growth or inflation repricing.</w:t>
      </w:r>
    </w:p>
    <w:p>
      <w:pPr>
        <w:spacing w:after="120" w:line="280"/>
        <w:jc w:val="left"/>
      </w:pPr>
      <w:r>
        <w:rPr>
          <w:rFonts w:ascii="Georgia" w:cs="Georgia" w:eastAsia="Georgia" w:hAnsi="Georgia"/>
          <w:color w:val="222222"/>
          <w:sz w:val="22"/>
          <w:szCs w:val="22"/>
        </w:rPr>
        <w:t xml:space="preserve">It would be the first time since the 1990s that long-end yields rose for reasons that had nothing to do with growth, inflation, or near-term policy. The drivers — a contested Fed succession, a $1.9 trillion fiscal deficit, tariff-induced trade-flow distortions, and an oil shock the central bank can't ease away — are not transitory. The S&amp;P 500 at 7,230 is a comfortable place to sit. Whether the 30-year at 4.98% lets it stay there is the question worth carrying into the week. Watch the long bond. It usually whispers before it screams.</w:t>
      </w:r>
    </w:p>
    <w:p>
      <w:pPr>
        <w:pBdr>
          <w:top w:val="single" w:color="B8860B" w:sz="8" w:space="6"/>
        </w:pBdr>
        <w:spacing w:after="0" w:before="480"/>
        <w:jc w:val="center"/>
      </w:pPr>
      <w:r>
        <w:rPr>
          <w:rFonts w:ascii="Arial" w:cs="Arial" w:eastAsia="Arial" w:hAnsi="Arial"/>
          <w:sz w:val="18"/>
          <w:szCs w:val="18"/>
        </w:rPr>
        <w:t xml:space="preserve"> </w:t>
      </w:r>
    </w:p>
    <w:p>
      <w:pPr>
        <w:spacing w:before="120"/>
        <w:jc w:val="center"/>
      </w:pPr>
      <w:r>
        <w:rPr>
          <w:rFonts w:ascii="Arial" w:cs="Arial" w:eastAsia="Arial" w:hAnsi="Arial"/>
          <w:i/>
          <w:iCs/>
          <w:color w:val="555555"/>
          <w:sz w:val="16"/>
          <w:szCs w:val="16"/>
        </w:rPr>
        <w:t xml:space="preserve">Prepared for James Flanagan · Compiled from public market data, news wires, and earnings releases. Not investment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2540"/>
        <w:sz w:val="16"/>
        <w:szCs w:val="16"/>
      </w:rPr>
      <w:t xml:space="preserve">DAILY FINANCIAL BRIEF · May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Financial Brief — May 4, 2026</dc:title>
  <dc:creator>Daily Financial Brief</dc:creator>
  <cp:lastModifiedBy>Un-named</cp:lastModifiedBy>
  <cp:revision>1</cp:revision>
  <dcterms:created xsi:type="dcterms:W3CDTF">2026-05-04T15:03:57.068Z</dcterms:created>
  <dcterms:modified xsi:type="dcterms:W3CDTF">2026-05-04T15:03:57.068Z</dcterms:modified>
</cp:coreProperties>
</file>

<file path=docProps/custom.xml><?xml version="1.0" encoding="utf-8"?>
<Properties xmlns="http://schemas.openxmlformats.org/officeDocument/2006/custom-properties" xmlns:vt="http://schemas.openxmlformats.org/officeDocument/2006/docPropsVTypes"/>
</file>