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9A227" w:sz="24" w:space="6"/>
        </w:pBdr>
        <w:spacing w:after="60" w:before="0"/>
      </w:pPr>
      <w:r>
        <w:rPr>
          <w:rFonts w:ascii="Calibri" w:cs="Calibri" w:eastAsia="Calibri" w:hAnsi="Calibri"/>
          <w:b/>
          <w:bCs/>
          <w:color w:val="0B2447"/>
          <w:sz w:val="44"/>
          <w:szCs w:val="44"/>
        </w:rPr>
        <w:t xml:space="preserve">DAILY FINANCIAL BRIEF</w:t>
      </w:r>
    </w:p>
    <w:p>
      <w:pPr>
        <w:spacing w:after="80"/>
      </w:pPr>
      <w:r>
        <w:rPr>
          <w:rFonts w:ascii="Calibri" w:cs="Calibri" w:eastAsia="Calibri" w:hAnsi="Calibri"/>
          <w:i/>
          <w:iCs/>
          <w:color w:val="1F3A5F"/>
          <w:sz w:val="20"/>
          <w:szCs w:val="20"/>
        </w:rPr>
        <w:t xml:space="preserve">Tuesday, May 5, 2026  •  Pre-Market Edition  •  Prepared for James Flanagan</w:t>
      </w:r>
    </w:p>
    <w:p>
      <w:pPr>
        <w:spacing w:after="240"/>
      </w:pPr>
      <w:r>
        <w:rPr>
          <w:rFonts w:ascii="Calibri" w:cs="Calibri" w:eastAsia="Calibri" w:hAnsi="Calibri"/>
          <w:color w:val="555555"/>
          <w:sz w:val="20"/>
          <w:szCs w:val="20"/>
        </w:rPr>
        <w:t xml:space="preserve">Markets, macro, and the stories that will drive the tape today.</w:t>
      </w:r>
    </w:p>
    <w:p>
      <w:pPr>
        <w:pBdr>
          <w:bottom w:val="single" w:color="C9A227" w:sz="12" w:space="4"/>
        </w:pBdr>
        <w:spacing w:after="120" w:before="360" w:line="260"/>
      </w:pPr>
      <w:r>
        <w:rPr>
          <w:rFonts w:ascii="Calibri" w:cs="Calibri" w:eastAsia="Calibri" w:hAnsi="Calibri"/>
          <w:b/>
          <w:bCs/>
          <w:color w:val="0B2447"/>
          <w:sz w:val="30"/>
          <w:szCs w:val="30"/>
        </w:rPr>
        <w:t xml:space="preserve">1.  The Morning Setup</w:t>
      </w:r>
    </w:p>
    <w:p>
      <w:pPr>
        <w:spacing w:after="160" w:before="0" w:line="320"/>
      </w:pPr>
      <w:r>
        <w:rPr>
          <w:rFonts w:ascii="Calibri" w:cs="Calibri" w:eastAsia="Calibri" w:hAnsi="Calibri"/>
          <w:color w:val="222222"/>
          <w:sz w:val="22"/>
          <w:szCs w:val="22"/>
        </w:rPr>
        <w:t xml:space="preserve">Wall Street walks into Tuesday holding its breath. After Monday's risk-off shudder — when the S&amp;P 500 slipped 0.41% off Friday's record close as Iran struck a UAE oil port and the U.S. Navy began "Project Freedom" to force open the Strait of Hormuz — futures point to a tentative bid: S&amp;P 500 e-minis +0.30%, Nasdaq 100 +0.40%, Dow +0.20% as of 7:30 a.m. ET. The reason is simple: oil, the day's master variable, is flushing lower. Brent has retraced more than 2.5% to $111.45 and WTI is back below $103, with the ceasefire technically intact and two U.S.-flagged tankers having transited Hormuz overnight. That is the proximate good news. The quieter, more important news is structural: the 10-year Treasury yield, at 4.46%, is now at its highest since July 2025, the curve is bear-steepening, and Fed funds futures are pricing virtually no chance of a June cut and under 10% odds of any cut in 2026. Translation: this is no longer a market that runs on cheap liquidity. It runs on earnings and energy. Today brings both — Pfizer pre-bell, AMD and Ferrari post-close, plus April ISM Services and JOLTS at 10 a.m. — against a backdrop where every barrel of crude and every basis point of yield matters more than usual.</w:t>
      </w:r>
    </w:p>
    <w:p>
      <w:pPr>
        <w:pBdr>
          <w:bottom w:val="single" w:color="C9A227" w:sz="12" w:space="4"/>
        </w:pBdr>
        <w:spacing w:after="120" w:before="360" w:line="260"/>
      </w:pPr>
      <w:r>
        <w:rPr>
          <w:rFonts w:ascii="Calibri" w:cs="Calibri" w:eastAsia="Calibri" w:hAnsi="Calibri"/>
          <w:b/>
          <w:bCs/>
          <w:color w:val="0B2447"/>
          <w:sz w:val="30"/>
          <w:szCs w:val="30"/>
        </w:rPr>
        <w:t xml:space="preserve">2.  Markets at a Glance</w:t>
      </w:r>
    </w:p>
    <w:p>
      <w:pPr>
        <w:spacing w:after="160" w:before="0" w:line="300"/>
      </w:pPr>
      <w:r>
        <w:rPr>
          <w:rFonts w:ascii="Calibri" w:cs="Calibri" w:eastAsia="Calibri" w:hAnsi="Calibri"/>
          <w:i/>
          <w:iCs/>
          <w:color w:val="555555"/>
          <w:sz w:val="20"/>
          <w:szCs w:val="20"/>
        </w:rPr>
        <w:t xml:space="preserve">All levels as of approximately 7:30 a.m. ET. Color denotes direction vs. prior close (green = up, red = down). Asia/Pacific data reflects today's regional close; Japan and mainland China on holiday.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700"/>
        <w:gridCol w:w="3060"/>
      </w:tblGrid>
      <w:tr>
        <w:trPr>
          <w:tblHeader/>
        </w:trPr>
        <w:tc>
          <w:tcPr>
            <w:tcW w:type="dxa" w:w="2700"/>
            <w:tcBorders>
              <w:top w:val="single" w:color="BBBBBB" w:sz="4"/>
              <w:left w:val="single" w:color="BBBBBB" w:sz="4"/>
              <w:bottom w:val="single" w:color="BBBBBB" w:sz="4"/>
              <w:right w:val="single" w:color="BBBBBB" w:sz="4"/>
            </w:tcBorders>
            <w:shd w:fill="0B244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Asset</w:t>
            </w:r>
          </w:p>
        </w:tc>
        <w:tc>
          <w:tcPr>
            <w:tcW w:type="dxa" w:w="1900"/>
            <w:tcBorders>
              <w:top w:val="single" w:color="BBBBBB" w:sz="4"/>
              <w:left w:val="single" w:color="BBBBBB" w:sz="4"/>
              <w:bottom w:val="single" w:color="BBBBBB" w:sz="4"/>
              <w:right w:val="single" w:color="BBBBBB" w:sz="4"/>
            </w:tcBorders>
            <w:shd w:fill="0B244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Level</w:t>
            </w:r>
          </w:p>
        </w:tc>
        <w:tc>
          <w:tcPr>
            <w:tcW w:type="dxa" w:w="1700"/>
            <w:tcBorders>
              <w:top w:val="single" w:color="BBBBBB" w:sz="4"/>
              <w:left w:val="single" w:color="BBBBBB" w:sz="4"/>
              <w:bottom w:val="single" w:color="BBBBBB" w:sz="4"/>
              <w:right w:val="single" w:color="BBBBBB" w:sz="4"/>
            </w:tcBorders>
            <w:shd w:fill="0B244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Change</w:t>
            </w:r>
          </w:p>
        </w:tc>
        <w:tc>
          <w:tcPr>
            <w:tcW w:type="dxa" w:w="3060"/>
            <w:tcBorders>
              <w:top w:val="single" w:color="BBBBBB" w:sz="4"/>
              <w:left w:val="single" w:color="BBBBBB" w:sz="4"/>
              <w:bottom w:val="single" w:color="BBBBBB" w:sz="4"/>
              <w:right w:val="single" w:color="BBBBBB" w:sz="4"/>
            </w:tcBorders>
            <w:shd w:fill="0B244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Context</w:t>
            </w:r>
          </w:p>
        </w:tc>
      </w:tr>
      <w:tr>
        <w:tc>
          <w:tcPr>
            <w:tcW w:type="dxa" w:w="9360"/>
            <w:gridSpan w:val="4"/>
            <w:tcBorders>
              <w:top w:val="single" w:color="BBBBBB" w:sz="4"/>
              <w:left w:val="single" w:color="BBBBBB" w:sz="4"/>
              <w:bottom w:val="single" w:color="BBBBBB" w:sz="4"/>
              <w:right w:val="single" w:color="BBBBBB" w:sz="4"/>
            </w:tcBorders>
            <w:shd w:fill="F5EFD8" w:val="clear"/>
            <w:tcMar>
              <w:top w:type="dxa" w:w="80"/>
              <w:left w:type="dxa" w:w="120"/>
              <w:bottom w:type="dxa" w:w="80"/>
              <w:right w:type="dxa" w:w="120"/>
            </w:tcMar>
          </w:tcPr>
          <w:p>
            <w:r>
              <w:rPr>
                <w:rFonts w:ascii="Calibri" w:cs="Calibri" w:eastAsia="Calibri" w:hAnsi="Calibri"/>
                <w:b/>
                <w:bCs/>
                <w:color w:val="0B2447"/>
                <w:sz w:val="18"/>
                <w:szCs w:val="18"/>
              </w:rPr>
              <w:t xml:space="preserve">US EQUITY FUTURES</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S&amp;P 500 (E-mini)</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7,260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+0.30%</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Rebound after Mon. dip</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Nasdaq 100</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25,360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+0.40%</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Tech leads on AI optimism</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Dow Jones</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49,290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+0.20%</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Defensives steady</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Russell 2000</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2,365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+0.15%</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Small caps lag mega cap</w:t>
            </w:r>
          </w:p>
        </w:tc>
      </w:tr>
      <w:tr>
        <w:tc>
          <w:tcPr>
            <w:tcW w:type="dxa" w:w="9360"/>
            <w:gridSpan w:val="4"/>
            <w:tcBorders>
              <w:top w:val="single" w:color="BBBBBB" w:sz="4"/>
              <w:left w:val="single" w:color="BBBBBB" w:sz="4"/>
              <w:bottom w:val="single" w:color="BBBBBB" w:sz="4"/>
              <w:right w:val="single" w:color="BBBBBB" w:sz="4"/>
            </w:tcBorders>
            <w:shd w:fill="F5EFD8" w:val="clear"/>
            <w:tcMar>
              <w:top w:type="dxa" w:w="80"/>
              <w:left w:type="dxa" w:w="120"/>
              <w:bottom w:type="dxa" w:w="80"/>
              <w:right w:type="dxa" w:w="120"/>
            </w:tcMar>
          </w:tcPr>
          <w:p>
            <w:r>
              <w:rPr>
                <w:rFonts w:ascii="Calibri" w:cs="Calibri" w:eastAsia="Calibri" w:hAnsi="Calibri"/>
                <w:b/>
                <w:bCs/>
                <w:color w:val="0B2447"/>
                <w:sz w:val="18"/>
                <w:szCs w:val="18"/>
              </w:rPr>
              <w:t xml:space="preserve">PRIOR US CLOSE (MON)</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S&amp;P 500</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7,200.75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B22222"/>
                <w:sz w:val="20"/>
                <w:szCs w:val="20"/>
              </w:rPr>
              <w:t xml:space="preserve">−0.41%</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Pulled back from record on oil spike</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Nasdaq Composite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25,066</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B22222"/>
                <w:sz w:val="20"/>
                <w:szCs w:val="20"/>
              </w:rPr>
              <w:t xml:space="preserve">−0.55%</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Mega-cap tech took the hit</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Dow Industrials</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49,034</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B22222"/>
                <w:sz w:val="20"/>
                <w:szCs w:val="20"/>
              </w:rPr>
              <w:t xml:space="preserve">−0.32%</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Energy outperformed</w:t>
            </w:r>
          </w:p>
        </w:tc>
      </w:tr>
      <w:tr>
        <w:tc>
          <w:tcPr>
            <w:tcW w:type="dxa" w:w="9360"/>
            <w:gridSpan w:val="4"/>
            <w:tcBorders>
              <w:top w:val="single" w:color="BBBBBB" w:sz="4"/>
              <w:left w:val="single" w:color="BBBBBB" w:sz="4"/>
              <w:bottom w:val="single" w:color="BBBBBB" w:sz="4"/>
              <w:right w:val="single" w:color="BBBBBB" w:sz="4"/>
            </w:tcBorders>
            <w:shd w:fill="F5EFD8" w:val="clear"/>
            <w:tcMar>
              <w:top w:type="dxa" w:w="80"/>
              <w:left w:type="dxa" w:w="120"/>
              <w:bottom w:type="dxa" w:w="80"/>
              <w:right w:type="dxa" w:w="120"/>
            </w:tcMar>
          </w:tcPr>
          <w:p>
            <w:r>
              <w:rPr>
                <w:rFonts w:ascii="Calibri" w:cs="Calibri" w:eastAsia="Calibri" w:hAnsi="Calibri"/>
                <w:b/>
                <w:bCs/>
                <w:color w:val="0B2447"/>
                <w:sz w:val="18"/>
                <w:szCs w:val="18"/>
              </w:rPr>
              <w:t xml:space="preserve">ASIA CLOSE (TUE)</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Nikkei 225 (Japan)</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59,513</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555555"/>
                <w:sz w:val="20"/>
                <w:szCs w:val="20"/>
              </w:rPr>
              <w:t xml:space="preserve">Closed</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Public holiday — May 5 (Children's Day)</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Hang Seng (Hong Kong)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23,820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+0.85%</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Tech rally extends; AI names lead</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Shanghai Composite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3,498</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555555"/>
                <w:sz w:val="20"/>
                <w:szCs w:val="20"/>
              </w:rPr>
              <w:t xml:space="preserve">Closed</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China Labor Day holiday week</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Kospi (Korea)</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6,961</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+0.36%</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Memory chips bid ahead of AMD print</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ASX 200 (Australia)</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8,540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+0.45%</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Energy leads on prior crude surge</w:t>
            </w:r>
          </w:p>
        </w:tc>
      </w:tr>
      <w:tr>
        <w:tc>
          <w:tcPr>
            <w:tcW w:type="dxa" w:w="9360"/>
            <w:gridSpan w:val="4"/>
            <w:tcBorders>
              <w:top w:val="single" w:color="BBBBBB" w:sz="4"/>
              <w:left w:val="single" w:color="BBBBBB" w:sz="4"/>
              <w:bottom w:val="single" w:color="BBBBBB" w:sz="4"/>
              <w:right w:val="single" w:color="BBBBBB" w:sz="4"/>
            </w:tcBorders>
            <w:shd w:fill="F5EFD8" w:val="clear"/>
            <w:tcMar>
              <w:top w:type="dxa" w:w="80"/>
              <w:left w:type="dxa" w:w="120"/>
              <w:bottom w:type="dxa" w:w="80"/>
              <w:right w:type="dxa" w:w="120"/>
            </w:tcMar>
          </w:tcPr>
          <w:p>
            <w:r>
              <w:rPr>
                <w:rFonts w:ascii="Calibri" w:cs="Calibri" w:eastAsia="Calibri" w:hAnsi="Calibri"/>
                <w:b/>
                <w:bCs/>
                <w:color w:val="0B2447"/>
                <w:sz w:val="18"/>
                <w:szCs w:val="18"/>
              </w:rPr>
              <w:t xml:space="preserve">EUROPE EARLY TRADE (TUE)</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FTSE 100 (UK)</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8,985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555555"/>
                <w:sz w:val="20"/>
                <w:szCs w:val="20"/>
              </w:rPr>
              <w:t xml:space="preserve">+0.05%</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Flat — defensives cushion</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DAX (Germany)</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23,440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B22222"/>
                <w:sz w:val="20"/>
                <w:szCs w:val="20"/>
              </w:rPr>
              <w:t xml:space="preserve">−0.40%</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Cyclicals lag on Iran headlines</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CAC 40 (France)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8,210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B22222"/>
                <w:sz w:val="20"/>
                <w:szCs w:val="20"/>
              </w:rPr>
              <w:t xml:space="preserve">−0.40%</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Luxury &amp; autos under pressure</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Euro Stoxx 50</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5,495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B22222"/>
                <w:sz w:val="20"/>
                <w:szCs w:val="20"/>
              </w:rPr>
              <w:t xml:space="preserve">−0.30%</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Bank earnings mixed</w:t>
            </w:r>
          </w:p>
        </w:tc>
      </w:tr>
      <w:tr>
        <w:tc>
          <w:tcPr>
            <w:tcW w:type="dxa" w:w="9360"/>
            <w:gridSpan w:val="4"/>
            <w:tcBorders>
              <w:top w:val="single" w:color="BBBBBB" w:sz="4"/>
              <w:left w:val="single" w:color="BBBBBB" w:sz="4"/>
              <w:bottom w:val="single" w:color="BBBBBB" w:sz="4"/>
              <w:right w:val="single" w:color="BBBBBB" w:sz="4"/>
            </w:tcBorders>
            <w:shd w:fill="F5EFD8" w:val="clear"/>
            <w:tcMar>
              <w:top w:type="dxa" w:w="80"/>
              <w:left w:type="dxa" w:w="120"/>
              <w:bottom w:type="dxa" w:w="80"/>
              <w:right w:type="dxa" w:w="120"/>
            </w:tcMar>
          </w:tcPr>
          <w:p>
            <w:r>
              <w:rPr>
                <w:rFonts w:ascii="Calibri" w:cs="Calibri" w:eastAsia="Calibri" w:hAnsi="Calibri"/>
                <w:b/>
                <w:bCs/>
                <w:color w:val="0B2447"/>
                <w:sz w:val="18"/>
                <w:szCs w:val="18"/>
              </w:rPr>
              <w:t xml:space="preserve">VOLATILITY</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VIX</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17.6</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−4%</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Off Mon. spike but elevated vs. April</w:t>
            </w:r>
          </w:p>
        </w:tc>
      </w:tr>
      <w:tr>
        <w:tc>
          <w:tcPr>
            <w:tcW w:type="dxa" w:w="9360"/>
            <w:gridSpan w:val="4"/>
            <w:tcBorders>
              <w:top w:val="single" w:color="BBBBBB" w:sz="4"/>
              <w:left w:val="single" w:color="BBBBBB" w:sz="4"/>
              <w:bottom w:val="single" w:color="BBBBBB" w:sz="4"/>
              <w:right w:val="single" w:color="BBBBBB" w:sz="4"/>
            </w:tcBorders>
            <w:shd w:fill="F5EFD8" w:val="clear"/>
            <w:tcMar>
              <w:top w:type="dxa" w:w="80"/>
              <w:left w:type="dxa" w:w="120"/>
              <w:bottom w:type="dxa" w:w="80"/>
              <w:right w:type="dxa" w:w="120"/>
            </w:tcMar>
          </w:tcPr>
          <w:p>
            <w:r>
              <w:rPr>
                <w:rFonts w:ascii="Calibri" w:cs="Calibri" w:eastAsia="Calibri" w:hAnsi="Calibri"/>
                <w:b/>
                <w:bCs/>
                <w:color w:val="0B2447"/>
                <w:sz w:val="18"/>
                <w:szCs w:val="18"/>
              </w:rPr>
              <w:t xml:space="preserve">US TREASURY YIELDS</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2-Year</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3.92%</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−2 bp</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Front end steady; Fed on hold</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5-Year</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4.18%</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−1 bp</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Belly anchored</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10-Year</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4.456%</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555555"/>
                <w:sz w:val="20"/>
                <w:szCs w:val="20"/>
              </w:rPr>
              <w:t xml:space="preserve">−1 bp</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Highest since July 2025 — oil/inflation premium</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30-Year</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4.83%</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555555"/>
                <w:sz w:val="20"/>
                <w:szCs w:val="20"/>
              </w:rPr>
              <w:t xml:space="preserve">Flat</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Term premium creeping wider</w:t>
            </w:r>
          </w:p>
        </w:tc>
      </w:tr>
      <w:tr>
        <w:tc>
          <w:tcPr>
            <w:tcW w:type="dxa" w:w="9360"/>
            <w:gridSpan w:val="4"/>
            <w:tcBorders>
              <w:top w:val="single" w:color="BBBBBB" w:sz="4"/>
              <w:left w:val="single" w:color="BBBBBB" w:sz="4"/>
              <w:bottom w:val="single" w:color="BBBBBB" w:sz="4"/>
              <w:right w:val="single" w:color="BBBBBB" w:sz="4"/>
            </w:tcBorders>
            <w:shd w:fill="F5EFD8" w:val="clear"/>
            <w:tcMar>
              <w:top w:type="dxa" w:w="80"/>
              <w:left w:type="dxa" w:w="120"/>
              <w:bottom w:type="dxa" w:w="80"/>
              <w:right w:type="dxa" w:w="120"/>
            </w:tcMar>
          </w:tcPr>
          <w:p>
            <w:r>
              <w:rPr>
                <w:rFonts w:ascii="Calibri" w:cs="Calibri" w:eastAsia="Calibri" w:hAnsi="Calibri"/>
                <w:b/>
                <w:bCs/>
                <w:color w:val="0B2447"/>
                <w:sz w:val="18"/>
                <w:szCs w:val="18"/>
              </w:rPr>
              <w:t xml:space="preserve">FX</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DXY (Dollar Index)</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98.5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555555"/>
                <w:sz w:val="20"/>
                <w:szCs w:val="20"/>
              </w:rPr>
              <w:t xml:space="preserve">−0.10%</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Off safe-haven bid; range-bound</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EUR/USD</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1.0915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+0.20%</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ECB rate path narrows divergence</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GBP/USD</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1.2870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+0.15%</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BoE patience priced in</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USD/JPY</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152.40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−0.30%</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Yen firmer on lower yields</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USD/CNY</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7.225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555555"/>
                <w:sz w:val="20"/>
                <w:szCs w:val="20"/>
              </w:rPr>
              <w:t xml:space="preserve">Flat</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PBoC fix steady; markets shut</w:t>
            </w:r>
          </w:p>
        </w:tc>
      </w:tr>
      <w:tr>
        <w:tc>
          <w:tcPr>
            <w:tcW w:type="dxa" w:w="9360"/>
            <w:gridSpan w:val="4"/>
            <w:tcBorders>
              <w:top w:val="single" w:color="BBBBBB" w:sz="4"/>
              <w:left w:val="single" w:color="BBBBBB" w:sz="4"/>
              <w:bottom w:val="single" w:color="BBBBBB" w:sz="4"/>
              <w:right w:val="single" w:color="BBBBBB" w:sz="4"/>
            </w:tcBorders>
            <w:shd w:fill="F5EFD8" w:val="clear"/>
            <w:tcMar>
              <w:top w:type="dxa" w:w="80"/>
              <w:left w:type="dxa" w:w="120"/>
              <w:bottom w:type="dxa" w:w="80"/>
              <w:right w:type="dxa" w:w="120"/>
            </w:tcMar>
          </w:tcPr>
          <w:p>
            <w:r>
              <w:rPr>
                <w:rFonts w:ascii="Calibri" w:cs="Calibri" w:eastAsia="Calibri" w:hAnsi="Calibri"/>
                <w:b/>
                <w:bCs/>
                <w:color w:val="0B2447"/>
                <w:sz w:val="18"/>
                <w:szCs w:val="18"/>
              </w:rPr>
              <w:t xml:space="preserve">ENERGY</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Brent Crude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$111.45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−2.6%</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Off Mon. high as ceasefire holds</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WTI Crude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$102.65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−3.1%</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10–12 mbpd still off market via Hormuz</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Natural Gas (NYMEX)</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$3.92</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−1.4%</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Mild weather; LNG demand firm</w:t>
            </w:r>
          </w:p>
        </w:tc>
      </w:tr>
      <w:tr>
        <w:tc>
          <w:tcPr>
            <w:tcW w:type="dxa" w:w="9360"/>
            <w:gridSpan w:val="4"/>
            <w:tcBorders>
              <w:top w:val="single" w:color="BBBBBB" w:sz="4"/>
              <w:left w:val="single" w:color="BBBBBB" w:sz="4"/>
              <w:bottom w:val="single" w:color="BBBBBB" w:sz="4"/>
              <w:right w:val="single" w:color="BBBBBB" w:sz="4"/>
            </w:tcBorders>
            <w:shd w:fill="F5EFD8" w:val="clear"/>
            <w:tcMar>
              <w:top w:type="dxa" w:w="80"/>
              <w:left w:type="dxa" w:w="120"/>
              <w:bottom w:type="dxa" w:w="80"/>
              <w:right w:type="dxa" w:w="120"/>
            </w:tcMar>
          </w:tcPr>
          <w:p>
            <w:r>
              <w:rPr>
                <w:rFonts w:ascii="Calibri" w:cs="Calibri" w:eastAsia="Calibri" w:hAnsi="Calibri"/>
                <w:b/>
                <w:bCs/>
                <w:color w:val="0B2447"/>
                <w:sz w:val="18"/>
                <w:szCs w:val="18"/>
              </w:rPr>
              <w:t xml:space="preserve">METALS</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Gold (spot)</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$4,560.75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+0.83%</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Real yields ease; record territory</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Silver (spot)</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$73.10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B22222"/>
                <w:sz w:val="20"/>
                <w:szCs w:val="20"/>
              </w:rPr>
              <w:t xml:space="preserve">−0.5%</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Down ~22% from war-start, lagging gold</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Copper (LME, $/t)</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$10,420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+0.4%</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Holding $10k floor on China hopes</w:t>
            </w:r>
          </w:p>
        </w:tc>
      </w:tr>
      <w:tr>
        <w:tc>
          <w:tcPr>
            <w:tcW w:type="dxa" w:w="9360"/>
            <w:gridSpan w:val="4"/>
            <w:tcBorders>
              <w:top w:val="single" w:color="BBBBBB" w:sz="4"/>
              <w:left w:val="single" w:color="BBBBBB" w:sz="4"/>
              <w:bottom w:val="single" w:color="BBBBBB" w:sz="4"/>
              <w:right w:val="single" w:color="BBBBBB" w:sz="4"/>
            </w:tcBorders>
            <w:shd w:fill="F5EFD8" w:val="clear"/>
            <w:tcMar>
              <w:top w:type="dxa" w:w="80"/>
              <w:left w:type="dxa" w:w="120"/>
              <w:bottom w:type="dxa" w:w="80"/>
              <w:right w:type="dxa" w:w="120"/>
            </w:tcMar>
          </w:tcPr>
          <w:p>
            <w:r>
              <w:rPr>
                <w:rFonts w:ascii="Calibri" w:cs="Calibri" w:eastAsia="Calibri" w:hAnsi="Calibri"/>
                <w:b/>
                <w:bCs/>
                <w:color w:val="0B2447"/>
                <w:sz w:val="18"/>
                <w:szCs w:val="18"/>
              </w:rPr>
              <w:t xml:space="preserve">CRYPTO</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Bitcoin</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$80,921</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+3.0%</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First $81k print since January</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Ethereum</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$2,374</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B7F3A"/>
                <w:sz w:val="20"/>
                <w:szCs w:val="20"/>
              </w:rPr>
              <w:t xml:space="preserve">+2.2%</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Risk-on rotation into alts</w:t>
            </w:r>
          </w:p>
        </w:tc>
      </w:tr>
    </w:tbl>
    <w:p>
      <w:pPr>
        <w:pBdr>
          <w:bottom w:val="single" w:color="C9A227" w:sz="12" w:space="4"/>
        </w:pBdr>
        <w:spacing w:after="120" w:before="360" w:line="260"/>
      </w:pPr>
      <w:r>
        <w:rPr>
          <w:rFonts w:ascii="Calibri" w:cs="Calibri" w:eastAsia="Calibri" w:hAnsi="Calibri"/>
          <w:b/>
          <w:bCs/>
          <w:color w:val="0B2447"/>
          <w:sz w:val="30"/>
          <w:szCs w:val="30"/>
        </w:rPr>
        <w:t xml:space="preserve">3.  Top Stories</w:t>
      </w:r>
    </w:p>
    <w:p>
      <w:pPr>
        <w:spacing w:after="80" w:before="160"/>
      </w:pPr>
      <w:r>
        <w:rPr>
          <w:rFonts w:ascii="Calibri" w:cs="Calibri" w:eastAsia="Calibri" w:hAnsi="Calibri"/>
          <w:b/>
          <w:bCs/>
          <w:color w:val="1F3A5F"/>
          <w:spacing w:val="30"/>
          <w:sz w:val="20"/>
          <w:szCs w:val="20"/>
        </w:rPr>
        <w:t xml:space="preserve">PROJECT FREEDOM: TWO TANKERS THROUGH, BUT THE TRUCE IS WOBBLING</w:t>
      </w:r>
    </w:p>
    <w:p>
      <w:pPr>
        <w:spacing w:after="120" w:before="0" w:line="300"/>
      </w:pPr>
      <w:r>
        <w:rPr>
          <w:rFonts w:ascii="Calibri" w:cs="Calibri" w:eastAsia="Calibri" w:hAnsi="Calibri"/>
          <w:color w:val="222222"/>
          <w:sz w:val="22"/>
          <w:szCs w:val="22"/>
        </w:rPr>
        <w:t xml:space="preserve">The four-week U.S.–Iran ceasefire is now functionally on probation. Late Monday, the United Arab Emirates — the Gulf's most important U.S. ally — said its air defenses engaged 15 missiles and four drones launched from Iran. One drone slipped through and ignited a fire at an oil facility in Fujairah, wounding three workers. Tehran also struck a South Korean–operated tanker anchored off the UAE and damaged an empty ADNOC crude carrier transiting the strait. In response, the U.S. Navy announced it had sunk six small Iranian craft and escorted two American-flagged merchant ships through the chokepoint — the opening salvos of President Trump's "Project Freedom" mission to reopen Hormuz.</w:t>
      </w:r>
    </w:p>
    <w:p>
      <w:pPr>
        <w:spacing w:after="120" w:before="0" w:line="300"/>
      </w:pPr>
      <w:r>
        <w:rPr>
          <w:rFonts w:ascii="Calibri" w:cs="Calibri" w:eastAsia="Calibri" w:hAnsi="Calibri"/>
          <w:color w:val="222222"/>
          <w:sz w:val="22"/>
          <w:szCs w:val="22"/>
        </w:rPr>
        <w:t xml:space="preserve">The mechanics matter. Roughly 10–12 million barrels per day of crude — about 20% of seaborne supply — normally flow through Hormuz. Yesterday, only four ships crossed. Even if the ceasefire holds, insurance premiums for Gulf transits have effectively reset higher. Brent's pullback today is real but partial; the curve is still in steep backwardation, signaling tight prompt supply. Risk-managers are not buying that this is over.</w:t>
      </w:r>
    </w:p>
    <w:p>
      <w:pPr>
        <w:spacing w:after="160" w:line="300"/>
      </w:pPr>
      <w:r>
        <w:rPr>
          <w:rFonts w:ascii="Calibri" w:cs="Calibri" w:eastAsia="Calibri" w:hAnsi="Calibri"/>
          <w:b/>
          <w:bCs/>
          <w:color w:val="0B2447"/>
          <w:sz w:val="22"/>
          <w:szCs w:val="22"/>
        </w:rPr>
        <w:t xml:space="preserve">Market implication. </w:t>
      </w:r>
      <w:r>
        <w:rPr>
          <w:rFonts w:ascii="Calibri" w:cs="Calibri" w:eastAsia="Calibri" w:hAnsi="Calibri"/>
          <w:sz w:val="22"/>
          <w:szCs w:val="22"/>
        </w:rPr>
        <w:t xml:space="preserve">Watch Brent $115. A break would put a $5–7 reflation premium back into headline CPI, complicate the Fed's already narrow path to a 2026 cut, and pressure the long end. The S&amp;P energy sector is up roughly 11% over four weeks; airlines, chemicals, and consumer discretionary names are the natural counter-trade if oil stays elevated.</w:t>
      </w:r>
    </w:p>
    <w:p>
      <w:pPr>
        <w:spacing w:after="80" w:before="160"/>
      </w:pPr>
      <w:r>
        <w:rPr>
          <w:rFonts w:ascii="Calibri" w:cs="Calibri" w:eastAsia="Calibri" w:hAnsi="Calibri"/>
          <w:b/>
          <w:bCs/>
          <w:color w:val="1F3A5F"/>
          <w:spacing w:val="30"/>
          <w:sz w:val="20"/>
          <w:szCs w:val="20"/>
        </w:rPr>
        <w:t xml:space="preserve">PALANTIR CRUSHES Q1 — AND THE AI CAPEX TRADE GETS A SECOND WIND</w:t>
      </w:r>
    </w:p>
    <w:p>
      <w:pPr>
        <w:spacing w:after="120" w:before="0" w:line="300"/>
      </w:pPr>
      <w:r>
        <w:rPr>
          <w:rFonts w:ascii="Calibri" w:cs="Calibri" w:eastAsia="Calibri" w:hAnsi="Calibri"/>
          <w:color w:val="222222"/>
          <w:sz w:val="22"/>
          <w:szCs w:val="22"/>
        </w:rPr>
        <w:t xml:space="preserve">After Monday's bell, Palantir reported a result that even its most aggressive bulls would have struggled to model. Q1 revenue rose 85% year-on-year to $1.63 billion, U.S. revenue grew 104% (its first triple-digit print), and U.S. commercial revenue jumped 133% to $595 million. Adjusted EPS of $0.33 beat the $0.28 consensus by 18%, and adjusted operating margin came in at a remarkable 60%. Management didn't just raise the year — they bulldozed it: full-year revenue guidance now sits at $7.66 billion (+71% YoY) versus the prior $6.85 billion midpoint, and U.S. commercial revenue is now expected to grow at least 120%.</w:t>
      </w:r>
    </w:p>
    <w:p>
      <w:pPr>
        <w:spacing w:after="120" w:before="0" w:line="300"/>
      </w:pPr>
      <w:r>
        <w:rPr>
          <w:rFonts w:ascii="Calibri" w:cs="Calibri" w:eastAsia="Calibri" w:hAnsi="Calibri"/>
          <w:color w:val="222222"/>
          <w:sz w:val="22"/>
          <w:szCs w:val="22"/>
        </w:rPr>
        <w:t xml:space="preserve">The stock barely moved after-hours, closing the session flat near $147 — a tell that says more about positioning than fundamentals. Palantir entered the print up 38% YTD; expectations were vertical. But the read-through is what matters for today's tape: enterprise AI deployment is not just real, it is accelerating, and the customers signing $25 million-plus deals are not Silicon Valley peers — they are industrials, utilities, and Fortune 500 supply-chain operators.</w:t>
      </w:r>
    </w:p>
    <w:p>
      <w:pPr>
        <w:spacing w:after="160" w:line="300"/>
      </w:pPr>
      <w:r>
        <w:rPr>
          <w:rFonts w:ascii="Calibri" w:cs="Calibri" w:eastAsia="Calibri" w:hAnsi="Calibri"/>
          <w:b/>
          <w:bCs/>
          <w:color w:val="0B2447"/>
          <w:sz w:val="22"/>
          <w:szCs w:val="22"/>
        </w:rPr>
        <w:t xml:space="preserve">What to watch next. </w:t>
      </w:r>
      <w:r>
        <w:rPr>
          <w:rFonts w:ascii="Calibri" w:cs="Calibri" w:eastAsia="Calibri" w:hAnsi="Calibri"/>
          <w:sz w:val="22"/>
          <w:szCs w:val="22"/>
        </w:rPr>
        <w:t xml:space="preserve">AMD reports tonight at 4 p.m. ET, with the read on MI400 datacenter accelerator demand the single most important AI signal of the week. Nvidia (which reports later this month) trades up in sympathy. The losers if AMD also blows out: passive owners of "AI-adjacent" names — utilities, networking, cooling — that may finally see capex dollars rotate to the actual chip vendors.</w:t>
      </w:r>
    </w:p>
    <w:p>
      <w:pPr>
        <w:spacing w:after="80" w:before="160"/>
      </w:pPr>
      <w:r>
        <w:rPr>
          <w:rFonts w:ascii="Calibri" w:cs="Calibri" w:eastAsia="Calibri" w:hAnsi="Calibri"/>
          <w:b/>
          <w:bCs/>
          <w:color w:val="1F3A5F"/>
          <w:spacing w:val="30"/>
          <w:sz w:val="20"/>
          <w:szCs w:val="20"/>
        </w:rPr>
        <w:t xml:space="preserve">TREASURY YIELDS AT TEN-MONTH HIGHS AS THE BOND MARKET REPRICES INFLATION</w:t>
      </w:r>
    </w:p>
    <w:p>
      <w:pPr>
        <w:spacing w:after="120" w:before="0" w:line="300"/>
      </w:pPr>
      <w:r>
        <w:rPr>
          <w:rFonts w:ascii="Calibri" w:cs="Calibri" w:eastAsia="Calibri" w:hAnsi="Calibri"/>
          <w:color w:val="222222"/>
          <w:sz w:val="22"/>
          <w:szCs w:val="22"/>
        </w:rPr>
        <w:t xml:space="preserve">The 10-year yield touched 4.46% Monday — its highest level since July 2025 — and the 30-year is testing 4.85%. That is not a Fed-cut market; that is a market that thinks the Fed's 3.50–3.75% range is roughly the floor for 2026. The drivers are layered: a sticky core PCE that the March SEP marked up by 30 bp to 2.7%, a healthcare-and-shelter-led services inflation that the Fed has openly called "the unfinished part of the disinflation," and now an energy shock layered on top. Add a heavy Treasury supply calendar — today's $58 billion 3-year auction kicks off refunding week — and you have all the ingredients for a continued bear steepener.</w:t>
      </w:r>
    </w:p>
    <w:p>
      <w:pPr>
        <w:spacing w:after="160" w:line="300"/>
      </w:pPr>
      <w:r>
        <w:rPr>
          <w:rFonts w:ascii="Calibri" w:cs="Calibri" w:eastAsia="Calibri" w:hAnsi="Calibri"/>
          <w:b/>
          <w:bCs/>
          <w:color w:val="0B2447"/>
          <w:sz w:val="22"/>
          <w:szCs w:val="22"/>
        </w:rPr>
        <w:t xml:space="preserve">Cross-asset implications. </w:t>
      </w:r>
      <w:r>
        <w:rPr>
          <w:rFonts w:ascii="Calibri" w:cs="Calibri" w:eastAsia="Calibri" w:hAnsi="Calibri"/>
          <w:sz w:val="22"/>
          <w:szCs w:val="22"/>
        </w:rPr>
        <w:t xml:space="preserve">The dollar's softness today (DXY 98.5, off Monday's safe-haven pop) is being driven by EUR/USD strength as the ECB looks more hawkish at the margin. But if 10-year yields break decisively above 4.50% — a level that has capped them three times in the past six months — expect a renewed dollar bid, fresh pressure on long-duration tech, and a re-test of the recent highs in real yields, which would be the bigger problem for gold's $4,560 print.</w:t>
      </w:r>
    </w:p>
    <w:p>
      <w:pPr>
        <w:spacing w:after="80" w:before="160"/>
      </w:pPr>
      <w:r>
        <w:rPr>
          <w:rFonts w:ascii="Calibri" w:cs="Calibri" w:eastAsia="Calibri" w:hAnsi="Calibri"/>
          <w:b/>
          <w:bCs/>
          <w:color w:val="1F3A5F"/>
          <w:spacing w:val="30"/>
          <w:sz w:val="20"/>
          <w:szCs w:val="20"/>
        </w:rPr>
        <w:t xml:space="preserve">BITCOIN PUNCHES THROUGH $80,000 — RISK APPETITE IS STRANGER THAN IT LOOKS</w:t>
      </w:r>
    </w:p>
    <w:p>
      <w:pPr>
        <w:spacing w:after="120" w:before="0" w:line="300"/>
      </w:pPr>
      <w:r>
        <w:rPr>
          <w:rFonts w:ascii="Calibri" w:cs="Calibri" w:eastAsia="Calibri" w:hAnsi="Calibri"/>
          <w:color w:val="222222"/>
          <w:sz w:val="22"/>
          <w:szCs w:val="22"/>
        </w:rPr>
        <w:t xml:space="preserve">Bitcoin traded as high as $81,200 overnight, its first $81k handle since January and a 5.2% gain over five days. Ether followed to $2,374. The narrative is being framed as a "risk-on rotation" — and superficially, it is. But the more interesting fact is that Bitcoin is rallying alongside a 10-year yield at ten-month highs, gold at all-time highs, and oil with a Middle Eastern war premium. That is not a clean macro story; that is investors bidding multiple unrelated stores of value at once. It is a hedge-everything tape.</w:t>
      </w:r>
    </w:p>
    <w:p>
      <w:pPr>
        <w:spacing w:after="160" w:line="300"/>
      </w:pPr>
      <w:r>
        <w:rPr>
          <w:rFonts w:ascii="Calibri" w:cs="Calibri" w:eastAsia="Calibri" w:hAnsi="Calibri"/>
          <w:b/>
          <w:bCs/>
          <w:color w:val="0B2447"/>
          <w:sz w:val="22"/>
          <w:szCs w:val="22"/>
        </w:rPr>
        <w:t xml:space="preserve">What it signals. </w:t>
      </w:r>
      <w:r>
        <w:rPr>
          <w:rFonts w:ascii="Calibri" w:cs="Calibri" w:eastAsia="Calibri" w:hAnsi="Calibri"/>
          <w:sz w:val="22"/>
          <w:szCs w:val="22"/>
        </w:rPr>
        <w:t xml:space="preserve">Three things. First, fiscal-deficit anxiety is back as a thematic — the U.S. is running near 6% of GDP deficits with full employment. Second, ETF flows have re-accelerated; spot BTC ETFs took in roughly $1.1 billion last week. Third, the trade is becoming uncorrelated to equities at the margin — BTC is up ~7% over a stretch where the S&amp;P 500 is roughly flat, a divergence not seen since Q4 2024. Watch $84k as the next resistance and $76k as the level below which the technical thesis breaks.</w:t>
      </w:r>
    </w:p>
    <w:p>
      <w:pPr>
        <w:spacing w:after="80" w:before="160"/>
      </w:pPr>
      <w:r>
        <w:rPr>
          <w:rFonts w:ascii="Calibri" w:cs="Calibri" w:eastAsia="Calibri" w:hAnsi="Calibri"/>
          <w:b/>
          <w:bCs/>
          <w:color w:val="1F3A5F"/>
          <w:spacing w:val="30"/>
          <w:sz w:val="20"/>
          <w:szCs w:val="20"/>
        </w:rPr>
        <w:t xml:space="preserve">APPLE'S QUIET KILLER QUARTER IS RESHAPING THE MEGA-CAP PECKING ORDER</w:t>
      </w:r>
    </w:p>
    <w:p>
      <w:pPr>
        <w:spacing w:after="120" w:before="0" w:line="300"/>
      </w:pPr>
      <w:r>
        <w:rPr>
          <w:rFonts w:ascii="Calibri" w:cs="Calibri" w:eastAsia="Calibri" w:hAnsi="Calibri"/>
          <w:color w:val="222222"/>
          <w:sz w:val="22"/>
          <w:szCs w:val="22"/>
        </w:rPr>
        <w:t xml:space="preserve">Apple reported last Thursday and the dust has now settled. The numbers were extraordinary — EPS of $2.01 vs. $1.96 expected, revenue of $111.2 billion vs. $109.7 billion, iPhone revenue up 22% year-on-year, and a record March quarter for upgrades. Tim Cook called the iPhone 17 lineup "the most popular in our history." Capex guidance is rising — partly because of the surprise Google Gemini partnership announced last quarter, which puts Gemini behind Siri and signals Apple is finally treating AI as a multi-year capex cycle rather than a feature war.</w:t>
      </w:r>
    </w:p>
    <w:p>
      <w:pPr>
        <w:spacing w:after="120" w:before="0" w:line="300"/>
      </w:pPr>
      <w:r>
        <w:rPr>
          <w:rFonts w:ascii="Calibri" w:cs="Calibri" w:eastAsia="Calibri" w:hAnsi="Calibri"/>
          <w:color w:val="222222"/>
          <w:sz w:val="22"/>
          <w:szCs w:val="22"/>
        </w:rPr>
        <w:t xml:space="preserve">The stock is up roughly 9% since the print, trading near $282. Wedbush moved its target to $310. The bigger story: Apple's valuation premium over Microsoft has now widened to its biggest gap since 2022, and Apple has contributed positive percentage points to the S&amp;P 500's YTD return while Microsoft has subtracted nearly a full point. The mega-cap leadership baton has visibly switched.</w:t>
      </w:r>
    </w:p>
    <w:p>
      <w:pPr>
        <w:spacing w:after="80" w:before="160"/>
      </w:pPr>
      <w:r>
        <w:rPr>
          <w:rFonts w:ascii="Calibri" w:cs="Calibri" w:eastAsia="Calibri" w:hAnsi="Calibri"/>
          <w:b/>
          <w:bCs/>
          <w:color w:val="1F3A5F"/>
          <w:spacing w:val="30"/>
          <w:sz w:val="20"/>
          <w:szCs w:val="20"/>
        </w:rPr>
        <w:t xml:space="preserve">TODAY'S DATA: ISM SERVICES AND JOLTS — BOTH SIGNAL WHETHER THE CYCLE IS ENDING OR INFLECTING</w:t>
      </w:r>
    </w:p>
    <w:p>
      <w:pPr>
        <w:spacing w:after="120" w:before="0" w:line="300"/>
      </w:pPr>
      <w:r>
        <w:rPr>
          <w:rFonts w:ascii="Calibri" w:cs="Calibri" w:eastAsia="Calibri" w:hAnsi="Calibri"/>
          <w:color w:val="222222"/>
          <w:sz w:val="22"/>
          <w:szCs w:val="22"/>
        </w:rPr>
        <w:t xml:space="preserve">The ISM Services PMI at 10 a.m. ET is consensus 53.7 vs. 54.0 prior. That would be the 22nd consecutive month of expansion but the third straight monthly slip. The sub-indices matter more than the headline: prices-paid above 60 would be a problem given energy prices, while a sub-50 employment print would put a renewed bid in the long end. JOLTS, also at 10 a.m., is expected at 8.25 million openings versus 8.40 million prior. Quits-rate is the single most important number — anything below 2.0% would mark a clear labor-market softening signal.</w:t>
      </w:r>
    </w:p>
    <w:p>
      <w:pPr>
        <w:spacing w:after="160" w:line="300"/>
      </w:pPr>
      <w:r>
        <w:rPr>
          <w:rFonts w:ascii="Calibri" w:cs="Calibri" w:eastAsia="Calibri" w:hAnsi="Calibri"/>
          <w:b/>
          <w:bCs/>
          <w:color w:val="0B2447"/>
          <w:sz w:val="22"/>
          <w:szCs w:val="22"/>
        </w:rPr>
        <w:t xml:space="preserve">Why both at once matter. </w:t>
      </w:r>
      <w:r>
        <w:rPr>
          <w:rFonts w:ascii="Calibri" w:cs="Calibri" w:eastAsia="Calibri" w:hAnsi="Calibri"/>
          <w:sz w:val="22"/>
          <w:szCs w:val="22"/>
        </w:rPr>
        <w:t xml:space="preserve">Friday's nonfarm payrolls is the week's hinge. Today's pair calibrates expectations. A hot ISM and steady JOLTS push 10-year yields toward 4.55% and put a December cut firmly off the table; a soft pair revives Q3 cut hopes and puts a bid in growth equities. The short-term S&amp;P 500 implied move on the data combination is around 0.6%, per options pricing.</w:t>
      </w:r>
    </w:p>
    <w:p>
      <w:pPr>
        <w:pBdr>
          <w:bottom w:val="single" w:color="C9A227" w:sz="12" w:space="4"/>
        </w:pBdr>
        <w:spacing w:after="120" w:before="360" w:line="260"/>
      </w:pPr>
      <w:r>
        <w:rPr>
          <w:rFonts w:ascii="Calibri" w:cs="Calibri" w:eastAsia="Calibri" w:hAnsi="Calibri"/>
          <w:b/>
          <w:bCs/>
          <w:color w:val="0B2447"/>
          <w:sz w:val="30"/>
          <w:szCs w:val="30"/>
        </w:rPr>
        <w:t xml:space="preserve">4.  Macro &amp; Fed Watch</w:t>
      </w:r>
    </w:p>
    <w:p>
      <w:pPr>
        <w:spacing w:after="120" w:before="0" w:line="300"/>
      </w:pPr>
      <w:r>
        <w:rPr>
          <w:rFonts w:ascii="Calibri" w:cs="Calibri" w:eastAsia="Calibri" w:hAnsi="Calibri"/>
          <w:color w:val="222222"/>
          <w:sz w:val="22"/>
          <w:szCs w:val="22"/>
        </w:rPr>
        <w:t xml:space="preserve">The Federal Reserve held the funds rate at 3.50–3.75% at last week's April 29 meeting in what Chair Jerome Powell described as "a meeting where the bar for action remains high." The 8–4 vote was the most fractured FOMC since October 1992, with two governors dissenting in favor of a 25 bp cut and two regional bank presidents dissenting toward a hike. That kind of dispersion is itself a market signal: the committee no longer agrees on which side of neutral the funds rate sits, and that ambiguity is being priced into the term premium.</w:t>
      </w:r>
    </w:p>
    <w:p>
      <w:pPr>
        <w:spacing w:after="120" w:before="0" w:line="300"/>
      </w:pPr>
      <w:r>
        <w:rPr>
          <w:rFonts w:ascii="Calibri" w:cs="Calibri" w:eastAsia="Calibri" w:hAnsi="Calibri"/>
          <w:color w:val="222222"/>
          <w:sz w:val="22"/>
          <w:szCs w:val="22"/>
        </w:rPr>
        <w:t xml:space="preserve">Fed funds futures now imply a 7% probability of a June cut, 22% by September, and a roughly 35% chance of any cut in calendar 2026. Compare that to the December 2025 dot plot, which penciled in two cuts for this year. The market has effectively unwound those cuts. Drivers: the March SEP raised year-end 2026 PCE inflation to 2.7% from 2.4%, real GDP to 2.4% from 2.3%, and unemployment was held at 4.2%. The committee is, in plain English, acknowledging that the disinflation has stalled and the labor market is not loosening fast enough to deliver the soft landing they had been counting on.</w:t>
      </w:r>
    </w:p>
    <w:p>
      <w:pPr>
        <w:spacing w:after="120" w:before="0" w:line="300"/>
      </w:pPr>
      <w:r>
        <w:rPr>
          <w:rFonts w:ascii="Calibri" w:cs="Calibri" w:eastAsia="Calibri" w:hAnsi="Calibri"/>
          <w:color w:val="222222"/>
          <w:sz w:val="22"/>
          <w:szCs w:val="22"/>
        </w:rPr>
        <w:t xml:space="preserve">Today's calendar features two voters — New York Fed President John Williams at lunch and San Francisco Fed President Mary Daly this evening. Williams is the one to watch. As permanent voter and Powell's intellectual partner on r-star analysis, anything from him on neutral-rate revisions, balance-sheet runoff (still proceeding at $25 billion/month for Treasuries), or the Fed's tolerance for a one-time energy-shock CPI passthrough would move the curve. Daly leans dovish but has been notably quieter since March.</w:t>
      </w:r>
    </w:p>
    <w:p>
      <w:pPr>
        <w:spacing w:after="160" w:line="300"/>
      </w:pPr>
      <w:r>
        <w:rPr>
          <w:rFonts w:ascii="Calibri" w:cs="Calibri" w:eastAsia="Calibri" w:hAnsi="Calibri"/>
          <w:b/>
          <w:bCs/>
          <w:color w:val="0B2447"/>
          <w:sz w:val="22"/>
          <w:szCs w:val="22"/>
        </w:rPr>
        <w:t xml:space="preserve">Yield curve dynamics. </w:t>
      </w:r>
      <w:r>
        <w:rPr>
          <w:rFonts w:ascii="Calibri" w:cs="Calibri" w:eastAsia="Calibri" w:hAnsi="Calibri"/>
          <w:sz w:val="22"/>
          <w:szCs w:val="22"/>
        </w:rPr>
        <w:t xml:space="preserve">The 2s10s curve sits at +54 bp, the steepest since November 2023. That is a classic late-cycle bear-steepener — the front end held by Fed patience, the long end repricing inflation and supply. Historically, sustained 2s10s steepening from this level has preceded recessions by 6–14 months. It is not a prediction; it is a regime.</w:t>
      </w:r>
    </w:p>
    <w:p>
      <w:pPr>
        <w:pBdr>
          <w:bottom w:val="single" w:color="C9A227" w:sz="12" w:space="4"/>
        </w:pBdr>
        <w:spacing w:after="120" w:before="360" w:line="260"/>
      </w:pPr>
      <w:r>
        <w:rPr>
          <w:rFonts w:ascii="Calibri" w:cs="Calibri" w:eastAsia="Calibri" w:hAnsi="Calibri"/>
          <w:b/>
          <w:bCs/>
          <w:color w:val="0B2447"/>
          <w:sz w:val="30"/>
          <w:szCs w:val="30"/>
        </w:rPr>
        <w:t xml:space="preserve">5.  Economic Calendar —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400"/>
        <w:gridCol w:w="1400"/>
        <w:gridCol w:w="3060"/>
      </w:tblGrid>
      <w:tr>
        <w:trPr>
          <w:tblHeader/>
        </w:trPr>
        <w:tc>
          <w:tcPr>
            <w:tcW w:type="dxa" w:w="1100"/>
            <w:tcBorders>
              <w:top w:val="single" w:color="BBBBBB" w:sz="4"/>
              <w:left w:val="single" w:color="BBBBBB" w:sz="4"/>
              <w:bottom w:val="single" w:color="BBBBBB" w:sz="4"/>
              <w:right w:val="single" w:color="BBBBBB" w:sz="4"/>
            </w:tcBorders>
            <w:shd w:fill="0B244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Time (ET)</w:t>
            </w:r>
          </w:p>
        </w:tc>
        <w:tc>
          <w:tcPr>
            <w:tcW w:type="dxa" w:w="2400"/>
            <w:tcBorders>
              <w:top w:val="single" w:color="BBBBBB" w:sz="4"/>
              <w:left w:val="single" w:color="BBBBBB" w:sz="4"/>
              <w:bottom w:val="single" w:color="BBBBBB" w:sz="4"/>
              <w:right w:val="single" w:color="BBBBBB" w:sz="4"/>
            </w:tcBorders>
            <w:shd w:fill="0B244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Indicator</w:t>
            </w:r>
          </w:p>
        </w:tc>
        <w:tc>
          <w:tcPr>
            <w:tcW w:type="dxa" w:w="1400"/>
            <w:tcBorders>
              <w:top w:val="single" w:color="BBBBBB" w:sz="4"/>
              <w:left w:val="single" w:color="BBBBBB" w:sz="4"/>
              <w:bottom w:val="single" w:color="BBBBBB" w:sz="4"/>
              <w:right w:val="single" w:color="BBBBBB" w:sz="4"/>
            </w:tcBorders>
            <w:shd w:fill="0B244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Prior</w:t>
            </w:r>
          </w:p>
        </w:tc>
        <w:tc>
          <w:tcPr>
            <w:tcW w:type="dxa" w:w="1400"/>
            <w:tcBorders>
              <w:top w:val="single" w:color="BBBBBB" w:sz="4"/>
              <w:left w:val="single" w:color="BBBBBB" w:sz="4"/>
              <w:bottom w:val="single" w:color="BBBBBB" w:sz="4"/>
              <w:right w:val="single" w:color="BBBBBB" w:sz="4"/>
            </w:tcBorders>
            <w:shd w:fill="0B244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Consensus</w:t>
            </w:r>
          </w:p>
        </w:tc>
        <w:tc>
          <w:tcPr>
            <w:tcW w:type="dxa" w:w="3060"/>
            <w:tcBorders>
              <w:top w:val="single" w:color="BBBBBB" w:sz="4"/>
              <w:left w:val="single" w:color="BBBBBB" w:sz="4"/>
              <w:bottom w:val="single" w:color="BBBBBB" w:sz="4"/>
              <w:right w:val="single" w:color="BBBBBB" w:sz="4"/>
            </w:tcBorders>
            <w:shd w:fill="0B244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Why It Matters</w:t>
            </w:r>
          </w:p>
        </w:tc>
      </w:tr>
      <w:tr>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222222"/>
                <w:sz w:val="20"/>
                <w:szCs w:val="20"/>
              </w:rPr>
              <w:t xml:space="preserve">8:30</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Advance Goods Trade Balance (Mar)</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color w:val="222222"/>
                <w:sz w:val="20"/>
                <w:szCs w:val="20"/>
              </w:rPr>
              <w:t xml:space="preserve">−$147.0B</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−$140.0B</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Read on tariff-era flows; tracks net exports for Q1 GDP revision.</w:t>
            </w:r>
          </w:p>
        </w:tc>
      </w:tr>
      <w:tr>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222222"/>
                <w:sz w:val="20"/>
                <w:szCs w:val="20"/>
              </w:rPr>
              <w:t xml:space="preserve">8:30</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Wholesale Inventories (Mar, prelim)</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color w:val="222222"/>
                <w:sz w:val="20"/>
                <w:szCs w:val="20"/>
              </w:rPr>
              <w:t xml:space="preserve">+0.3%</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+0.2%</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Inventory build feeds into GDP; watch for goods-economy re-stocking.</w:t>
            </w:r>
          </w:p>
        </w:tc>
      </w:tr>
      <w:tr>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222222"/>
                <w:sz w:val="20"/>
                <w:szCs w:val="20"/>
              </w:rPr>
              <w:t xml:space="preserve">10:00</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ISM Services PMI (Apr)</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color w:val="222222"/>
                <w:sz w:val="20"/>
                <w:szCs w:val="20"/>
              </w:rPr>
              <w:t xml:space="preserve">54.0</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53.7</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Largest part of US economy. New-orders and prices-paid sub-indices shape Fed thinking.</w:t>
            </w:r>
          </w:p>
        </w:tc>
      </w:tr>
      <w:tr>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222222"/>
                <w:sz w:val="20"/>
                <w:szCs w:val="20"/>
              </w:rPr>
              <w:t xml:space="preserve">10:00</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S&amp;P Global Services PMI (Apr, final)</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color w:val="222222"/>
                <w:sz w:val="20"/>
                <w:szCs w:val="20"/>
              </w:rPr>
              <w:t xml:space="preserve">52.6</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52.7</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Cross-check on ISM; private-sector services momentum.</w:t>
            </w:r>
          </w:p>
        </w:tc>
      </w:tr>
      <w:tr>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222222"/>
                <w:sz w:val="20"/>
                <w:szCs w:val="20"/>
              </w:rPr>
              <w:t xml:space="preserve">10:00</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JOLTS Job Openings (Mar)</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color w:val="222222"/>
                <w:sz w:val="20"/>
                <w:szCs w:val="20"/>
              </w:rPr>
              <w:t xml:space="preserve">8.40M</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8.25M</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Quits and openings vital labor-tightness gauge with NFP looming Friday.</w:t>
            </w:r>
          </w:p>
        </w:tc>
      </w:tr>
      <w:tr>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222222"/>
                <w:sz w:val="20"/>
                <w:szCs w:val="20"/>
              </w:rPr>
              <w:t xml:space="preserve">13:00</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3-Year Treasury Note Auction ($58B)</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color w:val="222222"/>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Refunding week; demand metrics watched amid yield rise.</w:t>
            </w:r>
          </w:p>
        </w:tc>
      </w:tr>
      <w:tr>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222222"/>
                <w:sz w:val="20"/>
                <w:szCs w:val="20"/>
              </w:rPr>
              <w:t xml:space="preserv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Fed Speaker — Williams (NY Fed)</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color w:val="222222"/>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Lunch keynote on financial stability; could signal cut posture.</w:t>
            </w:r>
          </w:p>
        </w:tc>
      </w:tr>
      <w:tr>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222222"/>
                <w:sz w:val="20"/>
                <w:szCs w:val="20"/>
              </w:rPr>
              <w:t xml:space="preserv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Fed Speaker — Daly (SF Fed)</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color w:val="222222"/>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Evening remarks; voter, leans cautiously dovish.</w:t>
            </w:r>
          </w:p>
        </w:tc>
      </w:tr>
    </w:tbl>
    <w:p>
      <w:pPr>
        <w:pBdr>
          <w:bottom w:val="single" w:color="C9A227" w:sz="12" w:space="4"/>
        </w:pBdr>
        <w:spacing w:after="120" w:before="360" w:line="260"/>
      </w:pPr>
      <w:r>
        <w:rPr>
          <w:rFonts w:ascii="Calibri" w:cs="Calibri" w:eastAsia="Calibri" w:hAnsi="Calibri"/>
          <w:b/>
          <w:bCs/>
          <w:color w:val="0B2447"/>
          <w:sz w:val="30"/>
          <w:szCs w:val="30"/>
        </w:rPr>
        <w:t xml:space="preserve">6.  Earnings Watch</w:t>
      </w:r>
    </w:p>
    <w:p>
      <w:pPr>
        <w:spacing w:after="120" w:before="0" w:line="300"/>
      </w:pPr>
      <w:r>
        <w:rPr>
          <w:rFonts w:ascii="Calibri" w:cs="Calibri" w:eastAsia="Calibri" w:hAnsi="Calibri"/>
          <w:color w:val="222222"/>
          <w:sz w:val="22"/>
          <w:szCs w:val="22"/>
        </w:rPr>
        <w:t xml:space="preserve">Today is the heaviest single day of the week for marquee reports. Pre-bell, Pfizer (PFE) headlines health care; after the close, AMD and Ferrari deliver the chip and luxury-cycle reads, respectively. Across the S&amp;P 500, Q1 2026 has been the strongest earnings season in two years: with roughly 65% of the index reported, blended EPS growth is tracking +14.6% year-on-year, beating the +10.7% pre-season expectation, and the beat-rate stands at 81% — well above the five-year average of 77%. Margin expansion is the surprising contributor; revenue beats are running closer to 64%, indicating that operational leverage and AI productivity gains are doing the heavy lifting.</w:t>
      </w:r>
    </w:p>
    <w:p>
      <w:pPr>
        <w:spacing w:after="80" w:before="160"/>
      </w:pPr>
      <w:r>
        <w:rPr>
          <w:rFonts w:ascii="Calibri" w:cs="Calibri" w:eastAsia="Calibri" w:hAnsi="Calibri"/>
          <w:b/>
          <w:bCs/>
          <w:color w:val="1F3A5F"/>
          <w:spacing w:val="30"/>
          <w:sz w:val="20"/>
          <w:szCs w:val="20"/>
        </w:rPr>
        <w:t xml:space="preserve">PFIZER (PFE) — PRE-MARKET</w:t>
      </w:r>
    </w:p>
    <w:p>
      <w:pPr>
        <w:spacing w:after="120" w:before="0" w:line="300"/>
      </w:pPr>
      <w:r>
        <w:rPr>
          <w:rFonts w:ascii="Calibri" w:cs="Calibri" w:eastAsia="Calibri" w:hAnsi="Calibri"/>
          <w:color w:val="222222"/>
          <w:sz w:val="22"/>
          <w:szCs w:val="22"/>
        </w:rPr>
        <w:t xml:space="preserve">Consensus: EPS $0.72, revenue $13.84 billion. Last quarter beat: $0.75 EPS on $14.5 billion revenue. The Street is focused on three items: (1) Vyndaqel and Eliquis franchise momentum into the patent cliff that begins in 2027; (2) updated obesity-pipeline timeline after the recent Phase 2 readout for danuglipron-2; and (3) FY 2026 guidance — last quarter's $61–64 billion range now looks low if oncology growth holds. Options imply a ±5.2% move.</w:t>
      </w:r>
    </w:p>
    <w:p>
      <w:pPr>
        <w:spacing w:after="80" w:before="160"/>
      </w:pPr>
      <w:r>
        <w:rPr>
          <w:rFonts w:ascii="Calibri" w:cs="Calibri" w:eastAsia="Calibri" w:hAnsi="Calibri"/>
          <w:b/>
          <w:bCs/>
          <w:color w:val="1F3A5F"/>
          <w:spacing w:val="30"/>
          <w:sz w:val="20"/>
          <w:szCs w:val="20"/>
        </w:rPr>
        <w:t xml:space="preserve">ADVANCED MICRO DEVICES (AMD) — AFTER-CLOSE (4:00 P.M. ET)</w:t>
      </w:r>
    </w:p>
    <w:p>
      <w:pPr>
        <w:spacing w:after="120" w:before="0" w:line="300"/>
      </w:pPr>
      <w:r>
        <w:rPr>
          <w:rFonts w:ascii="Calibri" w:cs="Calibri" w:eastAsia="Calibri" w:hAnsi="Calibri"/>
          <w:color w:val="222222"/>
          <w:sz w:val="22"/>
          <w:szCs w:val="22"/>
        </w:rPr>
        <w:t xml:space="preserve">Consensus: EPS $1.29 (+34% YoY), revenue $9.89 billion (+33% YoY). The single most important enterprise-AI report of the quarter outside Nvidia. Investors will want to hear: (1) MI400 production ramp and customer mix — Microsoft, Meta and Oracle are the disclosed anchor buyers; (2) datacenter segment guidance for Q2, where consensus sits at $4.6 billion; (3) any commentary on Hopper-to-Blackwell-to-MI400 cycle timing; and (4) the embedded segment, which has been the drag on results all year. Options imply a ±8.4% move — among the highest of the quarter.</w:t>
      </w:r>
    </w:p>
    <w:p>
      <w:pPr>
        <w:spacing w:after="80" w:before="160"/>
      </w:pPr>
      <w:r>
        <w:rPr>
          <w:rFonts w:ascii="Calibri" w:cs="Calibri" w:eastAsia="Calibri" w:hAnsi="Calibri"/>
          <w:b/>
          <w:bCs/>
          <w:color w:val="1F3A5F"/>
          <w:spacing w:val="30"/>
          <w:sz w:val="20"/>
          <w:szCs w:val="20"/>
        </w:rPr>
        <w:t xml:space="preserve">FERRARI (RACE) — AFTER-CLOSE</w:t>
      </w:r>
    </w:p>
    <w:p>
      <w:pPr>
        <w:spacing w:after="120" w:before="0" w:line="300"/>
      </w:pPr>
      <w:r>
        <w:rPr>
          <w:rFonts w:ascii="Calibri" w:cs="Calibri" w:eastAsia="Calibri" w:hAnsi="Calibri"/>
          <w:color w:val="222222"/>
          <w:sz w:val="22"/>
          <w:szCs w:val="22"/>
        </w:rPr>
        <w:t xml:space="preserve">Consensus: EPS €2.04, revenue €1.78 billion. The cleanest read on the global luxury cycle and high-net-worth consumer. Watch for: order book duration (last reported "comfortably into 2027"), F80 hypercar revenue contribution, and China commentary — Ferrari has been resilient where Hermès, LVMH and Richemont have wobbled. A miss here would be the cleanest signal yet that the luxury slowdown is broadening to the very top of the cohort. Options imply ±4.1%.</w:t>
      </w:r>
    </w:p>
    <w:p>
      <w:pPr>
        <w:spacing w:after="80" w:before="160"/>
      </w:pPr>
      <w:r>
        <w:rPr>
          <w:rFonts w:ascii="Calibri" w:cs="Calibri" w:eastAsia="Calibri" w:hAnsi="Calibri"/>
          <w:b/>
          <w:bCs/>
          <w:color w:val="1F3A5F"/>
          <w:spacing w:val="30"/>
          <w:sz w:val="20"/>
          <w:szCs w:val="20"/>
        </w:rPr>
        <w:t xml:space="preserve">TOMORROW PRE-BELL: WALT DISNEY (DIS)</w:t>
      </w:r>
    </w:p>
    <w:p>
      <w:pPr>
        <w:spacing w:after="120" w:before="0" w:line="300"/>
      </w:pPr>
      <w:r>
        <w:rPr>
          <w:rFonts w:ascii="Calibri" w:cs="Calibri" w:eastAsia="Calibri" w:hAnsi="Calibri"/>
          <w:color w:val="222222"/>
          <w:sz w:val="22"/>
          <w:szCs w:val="22"/>
        </w:rPr>
        <w:t xml:space="preserve">Consensus: EPS $1.41, revenue $23.6 billion. Streaming profitability and parks margin are the two pillars; the ESPN flagship streaming launch slated for fall 2026 will get its first detailed monetization commentary. Setup is delicate — DIS shares are flat YTD against an S&amp;P up 7.5%.</w:t>
      </w:r>
    </w:p>
    <w:p>
      <w:pPr>
        <w:pBdr>
          <w:bottom w:val="single" w:color="C9A227" w:sz="12" w:space="4"/>
        </w:pBdr>
        <w:spacing w:after="120" w:before="360" w:line="260"/>
      </w:pPr>
      <w:r>
        <w:rPr>
          <w:rFonts w:ascii="Calibri" w:cs="Calibri" w:eastAsia="Calibri" w:hAnsi="Calibri"/>
          <w:b/>
          <w:bCs/>
          <w:color w:val="0B2447"/>
          <w:sz w:val="30"/>
          <w:szCs w:val="30"/>
        </w:rPr>
        <w:t xml:space="preserve">7.  Sector Spotlight</w:t>
      </w:r>
    </w:p>
    <w:p>
      <w:pPr>
        <w:spacing w:after="80" w:before="160"/>
      </w:pPr>
      <w:r>
        <w:rPr>
          <w:rFonts w:ascii="Calibri" w:cs="Calibri" w:eastAsia="Calibri" w:hAnsi="Calibri"/>
          <w:b/>
          <w:bCs/>
          <w:color w:val="1F3A5F"/>
          <w:spacing w:val="30"/>
          <w:sz w:val="20"/>
          <w:szCs w:val="20"/>
        </w:rPr>
        <w:t xml:space="preserve">ENERGY: UP 11% IN FOUR WEEKS, NOW THE QUESTION IS WHAT'S PRICED IN</w:t>
      </w:r>
    </w:p>
    <w:p>
      <w:pPr>
        <w:spacing w:after="120" w:before="0" w:line="300"/>
      </w:pPr>
      <w:r>
        <w:rPr>
          <w:rFonts w:ascii="Calibri" w:cs="Calibri" w:eastAsia="Calibri" w:hAnsi="Calibri"/>
          <w:color w:val="222222"/>
          <w:sz w:val="22"/>
          <w:szCs w:val="22"/>
        </w:rPr>
        <w:t xml:space="preserve">The S&amp;P 500 energy sector has been the cleanest beneficiary of the Iran shock, up roughly 11% over four weeks versus the index's 1.2% gain. Exxon, Chevron and ConocoPhillips are now trading at multi-year highs, but valuation has caught up: the sector trades at 13.2x forward earnings vs. the 10-year average of 12.5x. The implied oil price embedded in equities is roughly $98 Brent — well below today's $111 spot but above the $85 strip a month ago. That is a market that believes the geopolitical premium sticks but does not extend. If Hormuz transit volumes recover this week, expect rotation out of integrateds back into refiners (which benefit from crack-spread normalization) and select midstream MLPs.</w:t>
      </w:r>
    </w:p>
    <w:p>
      <w:pPr>
        <w:spacing w:after="80" w:before="160"/>
      </w:pPr>
      <w:r>
        <w:rPr>
          <w:rFonts w:ascii="Calibri" w:cs="Calibri" w:eastAsia="Calibri" w:hAnsi="Calibri"/>
          <w:b/>
          <w:bCs/>
          <w:color w:val="1F3A5F"/>
          <w:spacing w:val="30"/>
          <w:sz w:val="20"/>
          <w:szCs w:val="20"/>
        </w:rPr>
        <w:t xml:space="preserve">SEMICONDUCTORS: ALL EYES ON AMD, BUT THE REAL ACTION IS BENEATH THE SURFACE</w:t>
      </w:r>
    </w:p>
    <w:p>
      <w:pPr>
        <w:spacing w:after="120" w:before="0" w:line="300"/>
      </w:pPr>
      <w:r>
        <w:rPr>
          <w:rFonts w:ascii="Calibri" w:cs="Calibri" w:eastAsia="Calibri" w:hAnsi="Calibri"/>
          <w:color w:val="222222"/>
          <w:sz w:val="22"/>
          <w:szCs w:val="22"/>
        </w:rPr>
        <w:t xml:space="preserve">The Philadelphia Semiconductor Index (SOX) is up 4.8% over five sessions, but the dispersion inside is extreme: Nvidia +6.1%, AMD +9.4%, Broadcom +5.0% — and on the other end, Intel −2.3%, Marvell −1.1%. That bifurcation tells you the AI-leverage trade is sharpening, not broadening. Memory names — Micron, SK Hynix, Samsung — are the underpriced corner; HBM3e demand is sold out into 2027 and pricing is firm. If AMD prints in line and guides hot tonight, expect the rotation into memory to accelerate Wednesday.</w:t>
      </w:r>
    </w:p>
    <w:p>
      <w:pPr>
        <w:pBdr>
          <w:bottom w:val="single" w:color="C9A227" w:sz="12" w:space="4"/>
        </w:pBdr>
        <w:spacing w:after="120" w:before="360" w:line="260"/>
      </w:pPr>
      <w:r>
        <w:rPr>
          <w:rFonts w:ascii="Calibri" w:cs="Calibri" w:eastAsia="Calibri" w:hAnsi="Calibri"/>
          <w:b/>
          <w:bCs/>
          <w:color w:val="0B2447"/>
          <w:sz w:val="30"/>
          <w:szCs w:val="30"/>
        </w:rPr>
        <w:t xml:space="preserve">8.  Analyst Calls &amp; Upgrades / Downgrades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600"/>
        <w:gridCol w:w="2860"/>
      </w:tblGrid>
      <w:tr>
        <w:trPr>
          <w:tblHeader/>
        </w:trPr>
        <w:tc>
          <w:tcPr>
            <w:tcW w:type="dxa" w:w="1700"/>
            <w:tcBorders>
              <w:top w:val="single" w:color="BBBBBB" w:sz="4"/>
              <w:left w:val="single" w:color="BBBBBB" w:sz="4"/>
              <w:bottom w:val="single" w:color="BBBBBB" w:sz="4"/>
              <w:right w:val="single" w:color="BBBBBB" w:sz="4"/>
            </w:tcBorders>
            <w:shd w:fill="0B244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Firm</w:t>
            </w:r>
          </w:p>
        </w:tc>
        <w:tc>
          <w:tcPr>
            <w:tcW w:type="dxa" w:w="1500"/>
            <w:tcBorders>
              <w:top w:val="single" w:color="BBBBBB" w:sz="4"/>
              <w:left w:val="single" w:color="BBBBBB" w:sz="4"/>
              <w:bottom w:val="single" w:color="BBBBBB" w:sz="4"/>
              <w:right w:val="single" w:color="BBBBBB" w:sz="4"/>
            </w:tcBorders>
            <w:shd w:fill="0B244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Stock</w:t>
            </w:r>
          </w:p>
        </w:tc>
        <w:tc>
          <w:tcPr>
            <w:tcW w:type="dxa" w:w="1700"/>
            <w:tcBorders>
              <w:top w:val="single" w:color="BBBBBB" w:sz="4"/>
              <w:left w:val="single" w:color="BBBBBB" w:sz="4"/>
              <w:bottom w:val="single" w:color="BBBBBB" w:sz="4"/>
              <w:right w:val="single" w:color="BBBBBB" w:sz="4"/>
            </w:tcBorders>
            <w:shd w:fill="0B244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Action</w:t>
            </w:r>
          </w:p>
        </w:tc>
        <w:tc>
          <w:tcPr>
            <w:tcW w:type="dxa" w:w="1600"/>
            <w:tcBorders>
              <w:top w:val="single" w:color="BBBBBB" w:sz="4"/>
              <w:left w:val="single" w:color="BBBBBB" w:sz="4"/>
              <w:bottom w:val="single" w:color="BBBBBB" w:sz="4"/>
              <w:right w:val="single" w:color="BBBBBB" w:sz="4"/>
            </w:tcBorders>
            <w:shd w:fill="0B244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Target</w:t>
            </w:r>
          </w:p>
        </w:tc>
        <w:tc>
          <w:tcPr>
            <w:tcW w:type="dxa" w:w="2860"/>
            <w:tcBorders>
              <w:top w:val="single" w:color="BBBBBB" w:sz="4"/>
              <w:left w:val="single" w:color="BBBBBB" w:sz="4"/>
              <w:bottom w:val="single" w:color="BBBBBB" w:sz="4"/>
              <w:right w:val="single" w:color="BBBBBB" w:sz="4"/>
            </w:tcBorders>
            <w:shd w:fill="0B244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Rationale</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Freedom Broker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222222"/>
                <w:sz w:val="20"/>
                <w:szCs w:val="20"/>
              </w:rPr>
              <w:t xml:space="preserve">Biogen (BIIB)</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1B7F3A"/>
                <w:sz w:val="20"/>
                <w:szCs w:val="20"/>
              </w:rPr>
              <w:t xml:space="preserve">Upgrade — Buy</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$245 (from $185)</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Pipeline catalysts and re-rating on sustained Leqembi adoption.</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RBC Capital</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222222"/>
                <w:sz w:val="20"/>
                <w:szCs w:val="20"/>
              </w:rPr>
              <w:t xml:space="preserve">Ford Motor (F)</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555555"/>
                <w:sz w:val="20"/>
                <w:szCs w:val="20"/>
              </w:rPr>
              <w:t xml:space="preserve">Maintain — Sector Perform</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$13 (from $11)</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Margin recovery into 2H; tariff pass-through better than feared.</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Piper Sandler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222222"/>
                <w:sz w:val="20"/>
                <w:szCs w:val="20"/>
              </w:rPr>
              <w:t xml:space="preserve">Community Fin. (CBU)</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555555"/>
                <w:sz w:val="20"/>
                <w:szCs w:val="20"/>
              </w:rPr>
              <w:t xml:space="preserve">Maintain — Neutral</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$66 (from $62)</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Earnings power steady; deposit costs peaked.</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Stifel</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222222"/>
                <w:sz w:val="20"/>
                <w:szCs w:val="20"/>
              </w:rPr>
              <w:t xml:space="preserve">NFI Group (NFI)</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555555"/>
                <w:sz w:val="20"/>
                <w:szCs w:val="20"/>
              </w:rPr>
              <w:t xml:space="preserve">Buy</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C$25.50 (from $23)</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Bus backlog at record; EV transit orders accelerating.</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Morgan Stanley</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222222"/>
                <w:sz w:val="20"/>
                <w:szCs w:val="20"/>
              </w:rPr>
              <w:t xml:space="preserve">Palantir (PLTR)</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555555"/>
                <w:sz w:val="20"/>
                <w:szCs w:val="20"/>
              </w:rPr>
              <w:t xml:space="preserve">Maintain — Equal-Weight</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$160</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Beat &amp; raise impressive but valuation already discounts perfection.</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Wedbush</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222222"/>
                <w:sz w:val="20"/>
                <w:szCs w:val="20"/>
              </w:rPr>
              <w:t xml:space="preserve">Apple (AAPL)</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555555"/>
                <w:sz w:val="20"/>
                <w:szCs w:val="20"/>
              </w:rPr>
              <w:t xml:space="preserve">Maintain — Outperform</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$310</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iPhone 17 cycle and Gemini-Siri integration extend AI runway.</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Citi</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222222"/>
                <w:sz w:val="20"/>
                <w:szCs w:val="20"/>
              </w:rPr>
              <w:t xml:space="preserve">AMD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555555"/>
                <w:sz w:val="20"/>
                <w:szCs w:val="20"/>
              </w:rPr>
              <w:t xml:space="preserve">Buy (into print)</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$210</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MI400 datacenter ramp could drive upside surprise tonight.</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JPMorgan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222222"/>
                <w:sz w:val="20"/>
                <w:szCs w:val="20"/>
              </w:rPr>
              <w:t xml:space="preserve">Pfizer (PFE)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555555"/>
                <w:sz w:val="20"/>
                <w:szCs w:val="20"/>
              </w:rPr>
              <w:t xml:space="preserve">Neutral</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222222"/>
                <w:sz w:val="20"/>
                <w:szCs w:val="20"/>
              </w:rPr>
              <w:t xml:space="preserve">$32</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color w:val="222222"/>
                <w:sz w:val="20"/>
                <w:szCs w:val="20"/>
              </w:rPr>
              <w:t xml:space="preserve">Beat tempers patent-cliff overhang; guidance the swing factor.</w:t>
            </w:r>
          </w:p>
        </w:tc>
      </w:tr>
    </w:tbl>
    <w:p>
      <w:pPr>
        <w:pBdr>
          <w:bottom w:val="single" w:color="C9A227" w:sz="12" w:space="4"/>
        </w:pBdr>
        <w:spacing w:after="120" w:before="360" w:line="260"/>
      </w:pPr>
      <w:r>
        <w:rPr>
          <w:rFonts w:ascii="Calibri" w:cs="Calibri" w:eastAsia="Calibri" w:hAnsi="Calibri"/>
          <w:b/>
          <w:bCs/>
          <w:color w:val="0B2447"/>
          <w:sz w:val="30"/>
          <w:szCs w:val="30"/>
        </w:rPr>
        <w:t xml:space="preserve">9.  Stocks to Watch</w:t>
      </w:r>
    </w:p>
    <w:p>
      <w:pPr>
        <w:spacing w:after="80" w:before="160"/>
      </w:pPr>
      <w:r>
        <w:rPr>
          <w:rFonts w:ascii="Calibri" w:cs="Calibri" w:eastAsia="Calibri" w:hAnsi="Calibri"/>
          <w:b/>
          <w:bCs/>
          <w:color w:val="1F3A5F"/>
          <w:spacing w:val="30"/>
          <w:sz w:val="20"/>
          <w:szCs w:val="20"/>
        </w:rPr>
        <w:t xml:space="preserve">PALANTIR (PLTR) — $147</w:t>
      </w:r>
    </w:p>
    <w:p>
      <w:pPr>
        <w:spacing w:after="120" w:before="0" w:line="300"/>
      </w:pPr>
      <w:r>
        <w:rPr>
          <w:rFonts w:ascii="Calibri" w:cs="Calibri" w:eastAsia="Calibri" w:hAnsi="Calibri"/>
          <w:color w:val="222222"/>
          <w:sz w:val="22"/>
          <w:szCs w:val="22"/>
        </w:rPr>
        <w:t xml:space="preserve">Open question: how does the stock react in a world where the print was a blowout and the pre-print stock was up 38% YTD? Watch the open. A strong open above $158 confirms the Q1 narrative trumps positioning; a sell-the-news fade to $138 is the technical equivalent of the Crowdstrike, Snowflake and ServiceNow patterns we've seen this year — beat-and-fade is the norm in 2026, not the exception. Implied volatility is elevated; the options market is pricing roughly 7% directional move today.</w:t>
      </w:r>
    </w:p>
    <w:p>
      <w:pPr>
        <w:spacing w:after="80" w:before="160"/>
      </w:pPr>
      <w:r>
        <w:rPr>
          <w:rFonts w:ascii="Calibri" w:cs="Calibri" w:eastAsia="Calibri" w:hAnsi="Calibri"/>
          <w:b/>
          <w:bCs/>
          <w:color w:val="1F3A5F"/>
          <w:spacing w:val="30"/>
          <w:sz w:val="20"/>
          <w:szCs w:val="20"/>
        </w:rPr>
        <w:t xml:space="preserve">EXXON MOBIL (XOM) — $132</w:t>
      </w:r>
    </w:p>
    <w:p>
      <w:pPr>
        <w:spacing w:after="120" w:before="0" w:line="300"/>
      </w:pPr>
      <w:r>
        <w:rPr>
          <w:rFonts w:ascii="Calibri" w:cs="Calibri" w:eastAsia="Calibri" w:hAnsi="Calibri"/>
          <w:color w:val="222222"/>
          <w:sz w:val="22"/>
          <w:szCs w:val="22"/>
        </w:rPr>
        <w:t xml:space="preserve">Up 13% in three weeks. The stock is no longer cheap on any conventional metric — 14x forward earnings, 4.2% free-cash-flow yield — but it remains the cleanest large-cap hedge against further Hormuz escalation. Watch the $128 level on a Brent pullback below $108 — that's the technical line where geopolitical premium begins coming out of the equity. A break of $135 on the upside opens $145, a level last seen in October 2022.</w:t>
      </w:r>
    </w:p>
    <w:p>
      <w:pPr>
        <w:spacing w:after="80" w:before="160"/>
      </w:pPr>
      <w:r>
        <w:rPr>
          <w:rFonts w:ascii="Calibri" w:cs="Calibri" w:eastAsia="Calibri" w:hAnsi="Calibri"/>
          <w:b/>
          <w:bCs/>
          <w:color w:val="1F3A5F"/>
          <w:spacing w:val="30"/>
          <w:sz w:val="20"/>
          <w:szCs w:val="20"/>
        </w:rPr>
        <w:t xml:space="preserve">ADVANCED MICRO DEVICES (AMD) — $193</w:t>
      </w:r>
    </w:p>
    <w:p>
      <w:pPr>
        <w:spacing w:after="120" w:before="0" w:line="300"/>
      </w:pPr>
      <w:r>
        <w:rPr>
          <w:rFonts w:ascii="Calibri" w:cs="Calibri" w:eastAsia="Calibri" w:hAnsi="Calibri"/>
          <w:color w:val="222222"/>
          <w:sz w:val="22"/>
          <w:szCs w:val="22"/>
        </w:rPr>
        <w:t xml:space="preserve">Reports tonight. The stock has rallied 14% off its mid-April low and is back inside the $170–$210 range that has contained it since February. Bull case for a print-driven breakout: MI400 datacenter revenue surprises by 10%+ and Q2 datacenter guide tops $5 billion. Bear case: any softness in PC client or embedded confirms the consumer-side slowdown narrative and pulls the stock back to $175. Options-implied move ±8.4% — sized to a real event.</w:t>
      </w:r>
    </w:p>
    <w:p>
      <w:pPr>
        <w:spacing w:after="80" w:before="160"/>
      </w:pPr>
      <w:r>
        <w:rPr>
          <w:rFonts w:ascii="Calibri" w:cs="Calibri" w:eastAsia="Calibri" w:hAnsi="Calibri"/>
          <w:b/>
          <w:bCs/>
          <w:color w:val="1F3A5F"/>
          <w:spacing w:val="30"/>
          <w:sz w:val="20"/>
          <w:szCs w:val="20"/>
        </w:rPr>
        <w:t xml:space="preserve">WALMART (WMT) — $98</w:t>
      </w:r>
    </w:p>
    <w:p>
      <w:pPr>
        <w:spacing w:after="120" w:before="0" w:line="300"/>
      </w:pPr>
      <w:r>
        <w:rPr>
          <w:rFonts w:ascii="Calibri" w:cs="Calibri" w:eastAsia="Calibri" w:hAnsi="Calibri"/>
          <w:color w:val="222222"/>
          <w:sz w:val="22"/>
          <w:szCs w:val="22"/>
        </w:rPr>
        <w:t xml:space="preserve">Quiet outperformer. Up 11% YTD as the consumer-resilience trade reasserts. Today's catalyst: ISM Services prices-paid sub-index. A hot reading (above 62) would confirm food-and-grocery pricing power and likely push the stock above $100 for the first time. Options activity has been notably bullish for a defensive name — call/put ratio at 1.8x, well above the 1.2x average.</w:t>
      </w:r>
    </w:p>
    <w:p>
      <w:pPr>
        <w:pBdr>
          <w:bottom w:val="single" w:color="C9A227" w:sz="12" w:space="4"/>
        </w:pBdr>
        <w:spacing w:after="120" w:before="360" w:line="260"/>
      </w:pPr>
      <w:r>
        <w:rPr>
          <w:rFonts w:ascii="Calibri" w:cs="Calibri" w:eastAsia="Calibri" w:hAnsi="Calibri"/>
          <w:b/>
          <w:bCs/>
          <w:color w:val="0B2447"/>
          <w:sz w:val="30"/>
          <w:szCs w:val="30"/>
        </w:rPr>
        <w:t xml:space="preserve">10.  Global Macro Snapshot</w:t>
      </w:r>
    </w:p>
    <w:p>
      <w:pPr>
        <w:spacing w:after="120" w:before="0" w:line="300"/>
      </w:pPr>
      <w:r>
        <w:rPr>
          <w:rFonts w:ascii="Calibri" w:cs="Calibri" w:eastAsia="Calibri" w:hAnsi="Calibri"/>
          <w:color w:val="222222"/>
          <w:sz w:val="22"/>
          <w:szCs w:val="22"/>
        </w:rPr>
        <w:t xml:space="preserve">China is dark today — markets closed for the Labor Day holiday week — but the offshore yuan is steady at 7.225 and Hong Kong–listed mainland tech rallied 1.0% as Tencent and Alibaba caught a bid on AI capex headlines. The bigger China story is unfolding in commodities: copper holding $10,420/ton with reported State Reserve Bureau buying at $10,000 has put a floor under the metal that did not exist three months ago. If the SRB is accumulating at these levels, it is a soft signal that Beijing expects a stimulus push later this quarter.</w:t>
      </w:r>
    </w:p>
    <w:p>
      <w:pPr>
        <w:spacing w:after="120" w:before="0" w:line="300"/>
      </w:pPr>
      <w:r>
        <w:rPr>
          <w:rFonts w:ascii="Calibri" w:cs="Calibri" w:eastAsia="Calibri" w:hAnsi="Calibri"/>
          <w:color w:val="222222"/>
          <w:sz w:val="22"/>
          <w:szCs w:val="22"/>
        </w:rPr>
        <w:t xml:space="preserve">Europe is wrestling with two crosswinds. Unicredit reported a record Q1 with net profit up 16% to €3.2 billion this morning, the 21st consecutive profitable quarter — a remarkable run for a bank that nearly went under in 2016. That's the bull case for European financials. The bear case sits in the periphery: Italian and Spanish 10-year spreads have widened roughly 8 bp this week as energy import costs rise. The DAX's underperformance today (−0.4%) is largely autos and chemicals, both energy-cost-sensitive. Watch Volkswagen and BASF for cleaner signals than the index level.</w:t>
      </w:r>
    </w:p>
    <w:p>
      <w:pPr>
        <w:spacing w:after="120" w:before="0" w:line="300"/>
      </w:pPr>
      <w:r>
        <w:rPr>
          <w:rFonts w:ascii="Calibri" w:cs="Calibri" w:eastAsia="Calibri" w:hAnsi="Calibri"/>
          <w:color w:val="222222"/>
          <w:sz w:val="22"/>
          <w:szCs w:val="22"/>
        </w:rPr>
        <w:t xml:space="preserve">Emerging markets are bifurcated. Energy exporters (Brazil, Mexico, Saudi Arabia, Indonesia) have seen FX strength and equity inflows; importers (Turkey, India, South Africa) are under pressure. The dollar's stability has muted EM stress relative to past oil shocks, but if DXY breaks above 100, expect outflow pressure to reassert. The MSCI EM index is roughly flat YTD versus the S&amp;P's +7.5% — the divergence is now ten percentage points and historically wide.</w:t>
      </w:r>
    </w:p>
    <w:p>
      <w:pPr>
        <w:pBdr>
          <w:bottom w:val="single" w:color="C9A227" w:sz="12" w:space="4"/>
        </w:pBdr>
        <w:spacing w:after="120" w:before="360" w:line="260"/>
      </w:pPr>
      <w:r>
        <w:rPr>
          <w:rFonts w:ascii="Calibri" w:cs="Calibri" w:eastAsia="Calibri" w:hAnsi="Calibri"/>
          <w:b/>
          <w:bCs/>
          <w:color w:val="0B2447"/>
          <w:sz w:val="30"/>
          <w:szCs w:val="30"/>
        </w:rPr>
        <w:t xml:space="preserve">11.  Week Ahead Preview</w:t>
      </w:r>
    </w:p>
    <w:p>
      <w:pPr>
        <w:spacing w:after="120" w:before="0" w:line="300"/>
      </w:pPr>
      <w:r>
        <w:rPr>
          <w:rFonts w:ascii="Calibri" w:cs="Calibri" w:eastAsia="Calibri" w:hAnsi="Calibri"/>
          <w:color w:val="222222"/>
          <w:sz w:val="22"/>
          <w:szCs w:val="22"/>
        </w:rPr>
        <w:t xml:space="preserve">The rest of the week is loaded. Wednesday brings ADP private payrolls (consensus +145k), Disney pre-bell, Uber and Shopify before the open, and the FOMC's John Williams at the Economic Club of New York — the closest thing to formal Fed guidance this week. Thursday delivers initial jobless claims, productivity (always a sleeper market mover this cycle), and earnings from McDonald's, Eli Lilly, ConocoPhillips and Toyota. Friday is the headline event: April nonfarm payrolls — consensus +170k, unemployment 4.2%, average hourly earnings +0.3% MoM.</w:t>
      </w:r>
    </w:p>
    <w:p>
      <w:pPr>
        <w:spacing w:after="120" w:before="0" w:line="300"/>
      </w:pPr>
      <w:r>
        <w:rPr>
          <w:rFonts w:ascii="Calibri" w:cs="Calibri" w:eastAsia="Calibri" w:hAnsi="Calibri"/>
          <w:color w:val="222222"/>
          <w:sz w:val="22"/>
          <w:szCs w:val="22"/>
        </w:rPr>
        <w:t xml:space="preserve">Geopolitically, the U.S. "Project Freedom" tanker convoys continue daily through Hormuz — each successful transit chips away at the geopolitical risk premium; each incident reasserts it. Markets will be tape-reading every shipping advisory. The G7 finance ministers meet in Banff, Alberta on Thursday and Friday, with the agenda dominated by coordinated SPR-release options and a U.S.-pushed package of secondary sanctions on Iranian oil buyers. China earnings season also picks up: Alibaba and Tencent both report next week and will set the tone for the H-share rally's durability.</w:t>
      </w:r>
    </w:p>
    <w:p>
      <w:pPr>
        <w:pBdr>
          <w:bottom w:val="single" w:color="C9A227" w:sz="12" w:space="4"/>
        </w:pBdr>
        <w:spacing w:after="120" w:before="360" w:line="260"/>
      </w:pPr>
      <w:r>
        <w:rPr>
          <w:rFonts w:ascii="Calibri" w:cs="Calibri" w:eastAsia="Calibri" w:hAnsi="Calibri"/>
          <w:b/>
          <w:bCs/>
          <w:color w:val="0B2447"/>
          <w:sz w:val="30"/>
          <w:szCs w:val="30"/>
        </w:rPr>
        <w:t xml:space="preserve">12.  Closing Thought</w:t>
      </w:r>
    </w:p>
    <w:p>
      <w:pPr>
        <w:spacing w:after="120" w:before="0" w:line="300"/>
      </w:pPr>
      <w:r>
        <w:rPr>
          <w:rFonts w:ascii="Calibri" w:cs="Calibri" w:eastAsia="Calibri" w:hAnsi="Calibri"/>
          <w:color w:val="222222"/>
          <w:sz w:val="22"/>
          <w:szCs w:val="22"/>
        </w:rPr>
        <w:t xml:space="preserve">Here is the question worth sitting with: what if the consensus is wrong about the direction of the Fed's next move? The market is overwhelmingly priced for hold-then-cut. But the April FOMC had two hawkish dissents, oil is at $111, services inflation is sticky, and the 30-year yield is approaching a level that has historically required a Fed response. We do not need to forecast a hike to make money on this thesis — we only need to recognize that the distribution of outcomes around the funds rate is now wider than it has been at any point in this cycle. The asymmetric trade is not in equities or in crypto. It is in the front end of the curve, where two-year yields at 3.92% offer almost no compensation for the right tail. Risk is asymmetric when consensus is unanimous. It usually is.</w:t>
      </w:r>
    </w:p>
    <w:p>
      <w:pPr>
        <w:spacing w:after="240" w:before="0" w:line="300"/>
      </w:pPr>
      <w:r>
        <w:rPr>
          <w:rFonts w:ascii="Calibri" w:cs="Calibri" w:eastAsia="Calibri" w:hAnsi="Calibri"/>
          <w:i/>
          <w:iCs/>
          <w:color w:val="555555"/>
          <w:sz w:val="22"/>
          <w:szCs w:val="22"/>
        </w:rPr>
        <w:t xml:space="preserve">As Stanley Druckenmiller said last week, in his first public interview since stepping back from Duquesne: "The biggest mistake of my career was assuming that a Fed that had been wrong for three years would be right in the fourth." Worth pinning above the trading desk. The bell rings in two hours.</w:t>
      </w:r>
    </w:p>
    <w:p>
      <w:pPr>
        <w:pBdr>
          <w:top w:val="single" w:color="C9A227" w:sz="8" w:space="6"/>
        </w:pBdr>
        <w:spacing w:after="0" w:before="320"/>
      </w:pPr>
      <w:r>
        <w:rPr>
          <w:rFonts w:ascii="Calibri" w:cs="Calibri" w:eastAsia="Calibri" w:hAnsi="Calibri"/>
          <w:i/>
          <w:iCs/>
          <w:color w:val="555555"/>
          <w:sz w:val="16"/>
          <w:szCs w:val="16"/>
        </w:rPr>
        <w:t xml:space="preserve">Daily Financial Brief  •  Compiled from Reuters, CNBC, Bloomberg, Yahoo Finance, FRED, CME FedWatch, Trading Economics, and other public sources.  Data is point-in-time and subject to revision.</w:t>
      </w:r>
    </w:p>
    <w:p>
      <w:r>
        <w:rPr>
          <w:rFonts w:ascii="Calibri" w:cs="Calibri" w:eastAsia="Calibri" w:hAnsi="Calibri"/>
          <w:i/>
          <w:iCs/>
          <w:color w:val="555555"/>
          <w:sz w:val="16"/>
          <w:szCs w:val="16"/>
        </w:rPr>
        <w:t xml:space="preserve">This brief is for informational purposes only and is not investment advice. Verify all data and consult a licensed advisor before acting.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0B2447"/>
        <w:sz w:val="16"/>
        <w:szCs w:val="16"/>
      </w:rPr>
      <w:t xml:space="preserve">Daily Financial Brief  •  May 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Financial Brief — May 5, 2026</dc:title>
  <dc:creator>Daily Financial Brief</dc:creator>
  <cp:lastModifiedBy>Un-named</cp:lastModifiedBy>
  <cp:revision>1</cp:revision>
  <dcterms:created xsi:type="dcterms:W3CDTF">2026-05-05T15:29:22.796Z</dcterms:created>
  <dcterms:modified xsi:type="dcterms:W3CDTF">2026-05-05T15:29:22.796Z</dcterms:modified>
</cp:coreProperties>
</file>

<file path=docProps/custom.xml><?xml version="1.0" encoding="utf-8"?>
<Properties xmlns="http://schemas.openxmlformats.org/officeDocument/2006/custom-properties" xmlns:vt="http://schemas.openxmlformats.org/officeDocument/2006/docPropsVTypes"/>
</file>