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227" w:sz="24"/>
              <w:left w:val="none" w:color="FFFFFF" w:sz="0"/>
              <w:bottom w:val="single" w:color="C9A227" w:sz="24"/>
              <w:right w:val="none" w:color="FFFFFF" w:sz="0"/>
            </w:tcBorders>
            <w:shd w:fill="0B1F3A" w:color="auto" w:val="clear"/>
            <w:tcMar>
              <w:top w:type="dxa" w:w="240"/>
              <w:left w:type="dxa" w:w="240"/>
              <w:bottom w:type="dxa" w:w="240"/>
              <w:right w:type="dxa" w:w="240"/>
            </w:tcMar>
          </w:tcPr>
          <w:p>
            <w:pPr>
              <w:spacing w:after="60"/>
              <w:jc w:val="left"/>
            </w:pPr>
            <w:r>
              <w:rPr>
                <w:rFonts w:ascii="Calibri" w:cs="Calibri" w:eastAsia="Calibri" w:hAnsi="Calibri"/>
                <w:b/>
                <w:bCs/>
                <w:color w:val="FFFFFF"/>
                <w:sz w:val="36"/>
                <w:szCs w:val="36"/>
              </w:rPr>
              <w:t xml:space="preserve">DAILY FINANCIAL BRIEF</w:t>
            </w:r>
          </w:p>
          <w:p>
            <w:pPr>
              <w:spacing w:after="60"/>
              <w:jc w:val="left"/>
            </w:pPr>
            <w:r>
              <w:rPr>
                <w:rFonts w:ascii="Calibri" w:cs="Calibri" w:eastAsia="Calibri" w:hAnsi="Calibri"/>
                <w:b/>
                <w:bCs/>
                <w:color w:val="C9A227"/>
                <w:sz w:val="22"/>
                <w:szCs w:val="22"/>
              </w:rPr>
              <w:t xml:space="preserve">Wednesday, May 6, 2026  |  9:30 AM ET</w:t>
            </w:r>
          </w:p>
          <w:p>
            <w:pPr>
              <w:jc w:val="left"/>
            </w:pPr>
            <w:r>
              <w:rPr>
                <w:rFonts w:ascii="Calibri" w:cs="Calibri" w:eastAsia="Calibri" w:hAnsi="Calibri"/>
                <w:i/>
                <w:iCs/>
                <w:color w:val="FFFFFF"/>
                <w:sz w:val="20"/>
                <w:szCs w:val="20"/>
              </w:rPr>
              <w:t xml:space="preserve">Markets, macro &amp; the morning's must-know.</w:t>
            </w:r>
          </w:p>
        </w:tc>
      </w:tr>
    </w:tbl>
    <w:p>
      <w:pPr>
        <w:spacing w:after="120" w:before="60" w:line="300"/>
        <w:jc w:val="left"/>
      </w:pPr>
      <w:r>
        <w:rPr>
          <w:rFonts w:ascii="Calibri" w:cs="Calibri" w:eastAsia="Calibri" w:hAnsi="Calibri"/>
          <w:b w:val="false"/>
          <w:bCs w:val="false"/>
          <w:i w:val="false"/>
          <w:iCs w:val="false"/>
          <w:color w:val="1A1A1A"/>
          <w:sz w:val="22"/>
          <w:szCs w:val="22"/>
        </w:rPr>
        <w:t xml:space="preserve"/>
      </w:r>
    </w:p>
    <w:p>
      <w:pPr>
        <w:pStyle w:val="Heading1"/>
        <w:pBdr>
          <w:bottom w:val="single" w:color="C9A227" w:sz="12" w:space="4"/>
        </w:pBdr>
        <w:spacing w:after="160" w:before="360"/>
      </w:pPr>
      <w:r>
        <w:rPr>
          <w:rFonts w:ascii="Calibri" w:cs="Calibri" w:eastAsia="Calibri" w:hAnsi="Calibri"/>
          <w:b/>
          <w:bCs/>
          <w:color w:val="0B1F3A"/>
          <w:sz w:val="30"/>
          <w:szCs w:val="30"/>
        </w:rPr>
        <w:t xml:space="preserve">1. The Morning Setup</w:t>
      </w:r>
    </w:p>
    <w:p>
      <w:pPr>
        <w:spacing w:after="120" w:before="60" w:line="300"/>
        <w:jc w:val="left"/>
      </w:pPr>
      <w:r>
        <w:rPr>
          <w:rFonts w:ascii="Calibri" w:cs="Calibri" w:eastAsia="Calibri" w:hAnsi="Calibri"/>
          <w:b w:val="false"/>
          <w:bCs w:val="false"/>
          <w:i w:val="false"/>
          <w:iCs w:val="false"/>
          <w:color w:val="1A1A1A"/>
          <w:sz w:val="22"/>
          <w:szCs w:val="22"/>
        </w:rPr>
        <w:t xml:space="preserve">Markets are opening to the most consequential geopolitical pivot of the year. Brent crude has plunged below $104 a barrel and WTI is trading near $95, both off nearly 7%, after the White House signaled it is on the cusp of a one-page memorandum of understanding with Tehran that would freeze the two-month-long U.S.–Iran conflict and create a framework for nuclear talks. President Trump's overnight decision to pause "Project Freedom" — the naval escort operation through the Strait of Hormuz — was the tell. Risk assets ran on it.</w:t>
      </w:r>
    </w:p>
    <w:p>
      <w:pPr>
        <w:spacing w:after="120" w:before="60" w:line="300"/>
        <w:jc w:val="left"/>
      </w:pPr>
      <w:r>
        <w:rPr>
          <w:rFonts w:ascii="Calibri" w:cs="Calibri" w:eastAsia="Calibri" w:hAnsi="Calibri"/>
          <w:b w:val="false"/>
          <w:bCs w:val="false"/>
          <w:i w:val="false"/>
          <w:iCs w:val="false"/>
          <w:color w:val="1A1A1A"/>
          <w:sz w:val="22"/>
          <w:szCs w:val="22"/>
        </w:rPr>
        <w:t xml:space="preserve">U.S. equity futures are pointing to a fresh leg higher after Tuesday's all-time closing high in the S&amp;P 500. Small caps are again the standout in pre-market, with Russell 2000 contracts up roughly 1%, a sign that the rotation is broadening beyond the AI complex. The dollar is on its back foot, the yen is ripping toward 156, gold is firm above $4,600, and silver is screaming higher. The bond market is acting almost philosophically — yields are nudging lower, but the 30-year is still pinned near 5%, a reminder that a peace dividend on oil does not erase a sticky-3% inflation print or a fiscal trajectory the Treasury has yet to confront.</w:t>
      </w:r>
    </w:p>
    <w:p>
      <w:pPr>
        <w:spacing w:after="120" w:before="60" w:line="300"/>
        <w:jc w:val="left"/>
      </w:pPr>
      <w:r>
        <w:rPr>
          <w:rFonts w:ascii="Calibri" w:cs="Calibri" w:eastAsia="Calibri" w:hAnsi="Calibri"/>
          <w:b w:val="false"/>
          <w:bCs w:val="false"/>
          <w:i w:val="false"/>
          <w:iCs w:val="false"/>
          <w:color w:val="1A1A1A"/>
          <w:sz w:val="22"/>
          <w:szCs w:val="22"/>
        </w:rPr>
        <w:t xml:space="preserve">The setup today is unusual: a risk-on tape powered by lower oil, a Fed leadership transition nine days away, a pivotal ADP print at 8:15, and a 10-year auction at 1:00 that will measure whether this rally is being bought by the people who can actually move the curve.</w:t>
      </w:r>
    </w:p>
    <w:p>
      <w:pPr>
        <w:pStyle w:val="Heading1"/>
        <w:pBdr>
          <w:bottom w:val="single" w:color="C9A227" w:sz="12" w:space="4"/>
        </w:pBdr>
        <w:spacing w:after="160" w:before="360"/>
      </w:pPr>
      <w:r>
        <w:rPr>
          <w:rFonts w:ascii="Calibri" w:cs="Calibri" w:eastAsia="Calibri" w:hAnsi="Calibri"/>
          <w:b/>
          <w:bCs/>
          <w:color w:val="0B1F3A"/>
          <w:sz w:val="30"/>
          <w:szCs w:val="30"/>
        </w:rPr>
        <w:t xml:space="preserve">2. Markets at a Glance</w:t>
      </w:r>
    </w:p>
    <w:p>
      <w:pPr>
        <w:spacing w:after="120" w:before="60" w:line="300"/>
        <w:jc w:val="left"/>
      </w:pPr>
      <w:r>
        <w:rPr>
          <w:rFonts w:ascii="Calibri" w:cs="Calibri" w:eastAsia="Calibri" w:hAnsi="Calibri"/>
          <w:b w:val="false"/>
          <w:bCs w:val="false"/>
          <w:i/>
          <w:iCs/>
          <w:color w:val="5A6273"/>
          <w:sz w:val="20"/>
          <w:szCs w:val="20"/>
        </w:rPr>
        <w:t xml:space="preserve">Pre-market snapshot, prior session closes, overnight Asia and early-trade Europe, plus rates, FX, commodities and crypto.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1980"/>
        <w:gridCol w:w="1980"/>
      </w:tblGrid>
      <w:tr>
        <w:trPr>
          <w:tblHeader/>
        </w:trPr>
        <w:tc>
          <w:tcPr>
            <w:tcW w:type="dxa" w:w="3000"/>
            <w:tcBorders>
              <w:top w:val="single" w:color="0B1F3A" w:sz="4"/>
              <w:left w:val="single" w:color="0B1F3A" w:sz="4"/>
              <w:bottom w:val="single" w:color="0B1F3A" w:sz="4"/>
              <w:right w:val="single" w:color="0B1F3A" w:sz="4"/>
            </w:tcBorders>
            <w:shd w:fill="0B1F3A" w:color="auto"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Asset</w:t>
            </w:r>
          </w:p>
        </w:tc>
        <w:tc>
          <w:tcPr>
            <w:tcW w:type="dxa" w:w="2400"/>
            <w:tcBorders>
              <w:top w:val="single" w:color="0B1F3A" w:sz="4"/>
              <w:left w:val="single" w:color="0B1F3A" w:sz="4"/>
              <w:bottom w:val="single" w:color="0B1F3A" w:sz="4"/>
              <w:right w:val="single" w:color="0B1F3A" w:sz="4"/>
            </w:tcBorders>
            <w:shd w:fill="0B1F3A" w:color="auto" w:val="clear"/>
            <w:tcMar>
              <w:top w:type="dxa" w:w="100"/>
              <w:left w:type="dxa" w:w="120"/>
              <w:bottom w:type="dxa" w:w="100"/>
              <w:right w:type="dxa" w:w="120"/>
            </w:tcMar>
            <w:vAlign w:val="center"/>
          </w:tcPr>
          <w:p>
            <w:pPr>
              <w:jc w:val="right"/>
            </w:pPr>
            <w:r>
              <w:rPr>
                <w:rFonts w:ascii="Calibri" w:cs="Calibri" w:eastAsia="Calibri" w:hAnsi="Calibri"/>
                <w:b/>
                <w:bCs/>
                <w:color w:val="FFFFFF"/>
                <w:sz w:val="20"/>
                <w:szCs w:val="20"/>
              </w:rPr>
              <w:t xml:space="preserve">Level</w:t>
            </w:r>
          </w:p>
        </w:tc>
        <w:tc>
          <w:tcPr>
            <w:tcW w:type="dxa" w:w="1980"/>
            <w:tcBorders>
              <w:top w:val="single" w:color="0B1F3A" w:sz="4"/>
              <w:left w:val="single" w:color="0B1F3A" w:sz="4"/>
              <w:bottom w:val="single" w:color="0B1F3A" w:sz="4"/>
              <w:right w:val="single" w:color="0B1F3A" w:sz="4"/>
            </w:tcBorders>
            <w:shd w:fill="0B1F3A" w:color="auto" w:val="clear"/>
            <w:tcMar>
              <w:top w:type="dxa" w:w="100"/>
              <w:left w:type="dxa" w:w="120"/>
              <w:bottom w:type="dxa" w:w="100"/>
              <w:right w:type="dxa" w:w="120"/>
            </w:tcMar>
            <w:vAlign w:val="center"/>
          </w:tcPr>
          <w:p>
            <w:pPr>
              <w:jc w:val="right"/>
            </w:pPr>
            <w:r>
              <w:rPr>
                <w:rFonts w:ascii="Calibri" w:cs="Calibri" w:eastAsia="Calibri" w:hAnsi="Calibri"/>
                <w:b/>
                <w:bCs/>
                <w:color w:val="FFFFFF"/>
                <w:sz w:val="20"/>
                <w:szCs w:val="20"/>
              </w:rPr>
              <w:t xml:space="preserve">Change</w:t>
            </w:r>
          </w:p>
        </w:tc>
        <w:tc>
          <w:tcPr>
            <w:tcW w:type="dxa" w:w="1980"/>
            <w:tcBorders>
              <w:top w:val="single" w:color="0B1F3A" w:sz="4"/>
              <w:left w:val="single" w:color="0B1F3A" w:sz="4"/>
              <w:bottom w:val="single" w:color="0B1F3A" w:sz="4"/>
              <w:right w:val="single" w:color="0B1F3A" w:sz="4"/>
            </w:tcBorders>
            <w:shd w:fill="0B1F3A" w:color="auto" w:val="clear"/>
            <w:tcMar>
              <w:top w:type="dxa" w:w="100"/>
              <w:left w:type="dxa" w:w="120"/>
              <w:bottom w:type="dxa" w:w="100"/>
              <w:right w:type="dxa" w:w="120"/>
            </w:tcMar>
            <w:vAlign w:val="center"/>
          </w:tcPr>
          <w:p>
            <w:pPr>
              <w:jc w:val="right"/>
            </w:pPr>
            <w:r>
              <w:rPr>
                <w:rFonts w:ascii="Calibri" w:cs="Calibri" w:eastAsia="Calibri" w:hAnsi="Calibri"/>
                <w:b/>
                <w:bCs/>
                <w:color w:val="FFFFFF"/>
                <w:sz w:val="20"/>
                <w:szCs w:val="20"/>
              </w:rPr>
              <w:t xml:space="preserve">% Change</w:t>
            </w:r>
          </w:p>
        </w:tc>
      </w:tr>
      <w:tr>
        <w:tc>
          <w:tcPr>
            <w:tcW w:type="dxa" w:w="9360"/>
            <w:gridSpan w:val="4"/>
            <w:tcBorders>
              <w:top w:val="single" w:color="0B1F3A" w:sz="4"/>
              <w:left w:val="single" w:color="0B1F3A" w:sz="4"/>
              <w:bottom w:val="single" w:color="0B1F3A" w:sz="4"/>
              <w:right w:val="single" w:color="0B1F3A" w:sz="4"/>
            </w:tcBorders>
            <w:shd w:fill="C9A227" w:color="auto" w:val="clear"/>
            <w:tcMar>
              <w:top w:type="dxa" w:w="80"/>
              <w:left w:type="dxa" w:w="120"/>
              <w:bottom w:type="dxa" w:w="80"/>
              <w:right w:type="dxa" w:w="120"/>
            </w:tcMar>
          </w:tcPr>
          <w:p>
            <w:r>
              <w:rPr>
                <w:rFonts w:ascii="Calibri" w:cs="Calibri" w:eastAsia="Calibri" w:hAnsi="Calibri"/>
                <w:b/>
                <w:bCs/>
                <w:color w:val="07152A"/>
                <w:sz w:val="20"/>
                <w:szCs w:val="20"/>
              </w:rPr>
              <w:t xml:space="preserve">U.S. Equity Futures (pre-mkt)</w:t>
            </w:r>
          </w:p>
        </w:tc>
      </w:tr>
      <w:tr>
        <w:tc>
          <w:tcPr>
            <w:tcW w:type="dxa" w:w="3000"/>
            <w:tcBorders>
              <w:top w:val="single" w:color="DADADA" w:sz="4"/>
              <w:left w:val="single" w:color="DADADA" w:sz="4"/>
              <w:bottom w:val="single" w:color="DADADA" w:sz="4"/>
              <w:right w:val="single" w:color="DADADA" w:sz="4"/>
            </w:tcBorders>
            <w:tcMar>
              <w:top w:type="dxa" w:w="80"/>
              <w:left w:type="dxa" w:w="120"/>
              <w:bottom w:type="dxa" w:w="80"/>
              <w:right w:type="dxa" w:w="120"/>
            </w:tcMar>
            <w:vAlign w:val="center"/>
          </w:tcPr>
          <w:p>
            <w:pPr>
              <w:spacing w:after="40" w:before="40"/>
              <w:jc w:val="left"/>
            </w:pPr>
            <w:r>
              <w:rPr>
                <w:rFonts w:ascii="Calibri" w:cs="Calibri" w:eastAsia="Calibri" w:hAnsi="Calibri"/>
                <w:b/>
                <w:bCs/>
                <w:color w:val="1A1A1A"/>
                <w:sz w:val="20"/>
                <w:szCs w:val="20"/>
              </w:rPr>
              <w:t xml:space="preserve">S&amp;P 500 (ESM6)</w:t>
            </w:r>
          </w:p>
        </w:tc>
        <w:tc>
          <w:tcPr>
            <w:tcW w:type="dxa" w:w="2400"/>
            <w:tcBorders>
              <w:top w:val="single" w:color="DADADA" w:sz="4"/>
              <w:left w:val="single" w:color="DADADA" w:sz="4"/>
              <w:bottom w:val="single" w:color="DADADA" w:sz="4"/>
              <w:right w:val="single" w:color="DADADA" w:sz="4"/>
            </w:tcBorders>
            <w:tcMar>
              <w:top w:type="dxa" w:w="80"/>
              <w:left w:type="dxa" w:w="120"/>
              <w:bottom w:type="dxa" w:w="80"/>
              <w:right w:type="dxa" w:w="120"/>
            </w:tcMar>
            <w:vAlign w:val="center"/>
          </w:tcPr>
          <w:p>
            <w:pPr>
              <w:spacing w:after="40" w:before="40"/>
              <w:jc w:val="right"/>
            </w:pPr>
            <w:r>
              <w:rPr>
                <w:rFonts w:ascii="Calibri" w:cs="Calibri" w:eastAsia="Calibri" w:hAnsi="Calibri"/>
                <w:b w:val="false"/>
                <w:bCs w:val="false"/>
                <w:color w:val="1A1A1A"/>
                <w:sz w:val="20"/>
                <w:szCs w:val="20"/>
              </w:rPr>
              <w:t xml:space="preserve">7,389</w:t>
            </w:r>
          </w:p>
        </w:tc>
        <w:tc>
          <w:tcPr>
            <w:tcW w:type="dxa" w:w="1980"/>
            <w:tcBorders>
              <w:top w:val="single" w:color="DADADA" w:sz="4"/>
              <w:left w:val="single" w:color="DADADA" w:sz="4"/>
              <w:bottom w:val="single" w:color="DADADA" w:sz="4"/>
              <w:right w:val="single" w:color="DADADA" w:sz="4"/>
            </w:tcBorders>
            <w:tcMar>
              <w:top w:type="dxa" w:w="80"/>
              <w:left w:type="dxa" w:w="120"/>
              <w:bottom w:type="dxa" w:w="80"/>
              <w:right w:type="dxa" w:w="120"/>
            </w:tcMar>
            <w:vAlign w:val="center"/>
          </w:tcPr>
          <w:p>
            <w:pPr>
              <w:jc w:val="right"/>
            </w:pPr>
            <w:r>
              <w:rPr>
                <w:rFonts w:ascii="Calibri" w:cs="Calibri" w:eastAsia="Calibri" w:hAnsi="Calibri"/>
                <w:color w:val="0E7C3A"/>
                <w:sz w:val="20"/>
                <w:szCs w:val="20"/>
              </w:rPr>
              <w:t xml:space="preserve">+51 pts</w:t>
            </w:r>
          </w:p>
        </w:tc>
        <w:tc>
          <w:tcPr>
            <w:tcW w:type="dxa" w:w="1980"/>
            <w:tcBorders>
              <w:top w:val="single" w:color="DADADA" w:sz="4"/>
              <w:left w:val="single" w:color="DADADA" w:sz="4"/>
              <w:bottom w:val="single" w:color="DADADA" w:sz="4"/>
              <w:right w:val="single" w:color="DADADA" w:sz="4"/>
            </w:tcBorders>
            <w:tcMar>
              <w:top w:type="dxa" w:w="80"/>
              <w:left w:type="dxa" w:w="120"/>
              <w:bottom w:type="dxa" w:w="80"/>
              <w:right w:type="dxa" w:w="120"/>
            </w:tcMar>
            <w:vAlign w:val="center"/>
          </w:tcPr>
          <w:p>
            <w:pPr>
              <w:jc w:val="right"/>
            </w:pPr>
            <w:r>
              <w:rPr>
                <w:rFonts w:ascii="Calibri" w:cs="Calibri" w:eastAsia="Calibri" w:hAnsi="Calibri"/>
                <w:b/>
                <w:bCs/>
                <w:color w:val="0E7C3A"/>
                <w:sz w:val="20"/>
                <w:szCs w:val="20"/>
              </w:rPr>
              <w:t xml:space="preserve">+0.70%</w:t>
            </w:r>
          </w:p>
        </w:tc>
      </w:tr>
      <w:tr>
        <w:tc>
          <w:tcPr>
            <w:tcW w:type="dxa" w:w="3000"/>
            <w:tcBorders>
              <w:top w:val="single" w:color="DADADA" w:sz="4"/>
              <w:left w:val="single" w:color="DADADA" w:sz="4"/>
              <w:bottom w:val="single" w:color="DADADA" w:sz="4"/>
              <w:right w:val="single" w:color="DADADA" w:sz="4"/>
            </w:tcBorders>
            <w:tcMar>
              <w:top w:type="dxa" w:w="80"/>
              <w:left w:type="dxa" w:w="120"/>
              <w:bottom w:type="dxa" w:w="80"/>
              <w:right w:type="dxa" w:w="120"/>
            </w:tcMar>
            <w:vAlign w:val="center"/>
          </w:tcPr>
          <w:p>
            <w:pPr>
              <w:spacing w:after="40" w:before="40"/>
              <w:jc w:val="left"/>
            </w:pPr>
            <w:r>
              <w:rPr>
                <w:rFonts w:ascii="Calibri" w:cs="Calibri" w:eastAsia="Calibri" w:hAnsi="Calibri"/>
                <w:b/>
                <w:bCs/>
                <w:color w:val="1A1A1A"/>
                <w:sz w:val="20"/>
                <w:szCs w:val="20"/>
              </w:rPr>
              <w:t xml:space="preserve">Nasdaq 100 (NQM6)</w:t>
            </w:r>
          </w:p>
        </w:tc>
        <w:tc>
          <w:tcPr>
            <w:tcW w:type="dxa" w:w="2400"/>
            <w:tcBorders>
              <w:top w:val="single" w:color="DADADA" w:sz="4"/>
              <w:left w:val="single" w:color="DADADA" w:sz="4"/>
              <w:bottom w:val="single" w:color="DADADA" w:sz="4"/>
              <w:right w:val="single" w:color="DADADA" w:sz="4"/>
            </w:tcBorders>
            <w:tcMar>
              <w:top w:type="dxa" w:w="80"/>
              <w:left w:type="dxa" w:w="120"/>
              <w:bottom w:type="dxa" w:w="80"/>
              <w:right w:type="dxa" w:w="120"/>
            </w:tcMar>
            <w:vAlign w:val="center"/>
          </w:tcPr>
          <w:p>
            <w:pPr>
              <w:spacing w:after="40" w:before="40"/>
              <w:jc w:val="right"/>
            </w:pPr>
            <w:r>
              <w:rPr>
                <w:rFonts w:ascii="Calibri" w:cs="Calibri" w:eastAsia="Calibri" w:hAnsi="Calibri"/>
                <w:b w:val="false"/>
                <w:bCs w:val="false"/>
                <w:color w:val="1A1A1A"/>
                <w:sz w:val="20"/>
                <w:szCs w:val="20"/>
              </w:rPr>
              <w:t xml:space="preserve">26,200</w:t>
            </w:r>
          </w:p>
        </w:tc>
        <w:tc>
          <w:tcPr>
            <w:tcW w:type="dxa" w:w="1980"/>
            <w:tcBorders>
              <w:top w:val="single" w:color="DADADA" w:sz="4"/>
              <w:left w:val="single" w:color="DADADA" w:sz="4"/>
              <w:bottom w:val="single" w:color="DADADA" w:sz="4"/>
              <w:right w:val="single" w:color="DADADA" w:sz="4"/>
            </w:tcBorders>
            <w:tcMar>
              <w:top w:type="dxa" w:w="80"/>
              <w:left w:type="dxa" w:w="120"/>
              <w:bottom w:type="dxa" w:w="80"/>
              <w:right w:type="dxa" w:w="120"/>
            </w:tcMar>
            <w:vAlign w:val="center"/>
          </w:tcPr>
          <w:p>
            <w:pPr>
              <w:jc w:val="right"/>
            </w:pPr>
            <w:r>
              <w:rPr>
                <w:rFonts w:ascii="Calibri" w:cs="Calibri" w:eastAsia="Calibri" w:hAnsi="Calibri"/>
                <w:color w:val="0E7C3A"/>
                <w:sz w:val="20"/>
                <w:szCs w:val="20"/>
              </w:rPr>
              <w:t xml:space="preserve">+205 pts</w:t>
            </w:r>
          </w:p>
        </w:tc>
        <w:tc>
          <w:tcPr>
            <w:tcW w:type="dxa" w:w="1980"/>
            <w:tcBorders>
              <w:top w:val="single" w:color="DADADA" w:sz="4"/>
              <w:left w:val="single" w:color="DADADA" w:sz="4"/>
              <w:bottom w:val="single" w:color="DADADA" w:sz="4"/>
              <w:right w:val="single" w:color="DADADA" w:sz="4"/>
            </w:tcBorders>
            <w:tcMar>
              <w:top w:type="dxa" w:w="80"/>
              <w:left w:type="dxa" w:w="120"/>
              <w:bottom w:type="dxa" w:w="80"/>
              <w:right w:type="dxa" w:w="120"/>
            </w:tcMar>
            <w:vAlign w:val="center"/>
          </w:tcPr>
          <w:p>
            <w:pPr>
              <w:jc w:val="right"/>
            </w:pPr>
            <w:r>
              <w:rPr>
                <w:rFonts w:ascii="Calibri" w:cs="Calibri" w:eastAsia="Calibri" w:hAnsi="Calibri"/>
                <w:b/>
                <w:bCs/>
                <w:color w:val="0E7C3A"/>
                <w:sz w:val="20"/>
                <w:szCs w:val="20"/>
              </w:rPr>
              <w:t xml:space="preserve">+0.79%</w:t>
            </w:r>
          </w:p>
        </w:tc>
      </w:tr>
      <w:tr>
        <w:tc>
          <w:tcPr>
            <w:tcW w:type="dxa" w:w="3000"/>
            <w:tcBorders>
              <w:top w:val="single" w:color="DADADA" w:sz="4"/>
              <w:left w:val="single" w:color="DADADA" w:sz="4"/>
              <w:bottom w:val="single" w:color="DADADA" w:sz="4"/>
              <w:right w:val="single" w:color="DADADA" w:sz="4"/>
            </w:tcBorders>
            <w:tcMar>
              <w:top w:type="dxa" w:w="80"/>
              <w:left w:type="dxa" w:w="120"/>
              <w:bottom w:type="dxa" w:w="80"/>
              <w:right w:type="dxa" w:w="120"/>
            </w:tcMar>
            <w:vAlign w:val="center"/>
          </w:tcPr>
          <w:p>
            <w:pPr>
              <w:spacing w:after="40" w:before="40"/>
              <w:jc w:val="left"/>
            </w:pPr>
            <w:r>
              <w:rPr>
                <w:rFonts w:ascii="Calibri" w:cs="Calibri" w:eastAsia="Calibri" w:hAnsi="Calibri"/>
                <w:b/>
                <w:bCs/>
                <w:color w:val="1A1A1A"/>
                <w:sz w:val="20"/>
                <w:szCs w:val="20"/>
              </w:rPr>
              <w:t xml:space="preserve">Dow Jones (YMM6)</w:t>
            </w:r>
          </w:p>
        </w:tc>
        <w:tc>
          <w:tcPr>
            <w:tcW w:type="dxa" w:w="2400"/>
            <w:tcBorders>
              <w:top w:val="single" w:color="DADADA" w:sz="4"/>
              <w:left w:val="single" w:color="DADADA" w:sz="4"/>
              <w:bottom w:val="single" w:color="DADADA" w:sz="4"/>
              <w:right w:val="single" w:color="DADADA" w:sz="4"/>
            </w:tcBorders>
            <w:tcMar>
              <w:top w:type="dxa" w:w="80"/>
              <w:left w:type="dxa" w:w="120"/>
              <w:bottom w:type="dxa" w:w="80"/>
              <w:right w:type="dxa" w:w="120"/>
            </w:tcMar>
            <w:vAlign w:val="center"/>
          </w:tcPr>
          <w:p>
            <w:pPr>
              <w:spacing w:after="40" w:before="40"/>
              <w:jc w:val="right"/>
            </w:pPr>
            <w:r>
              <w:rPr>
                <w:rFonts w:ascii="Calibri" w:cs="Calibri" w:eastAsia="Calibri" w:hAnsi="Calibri"/>
                <w:b w:val="false"/>
                <w:bCs w:val="false"/>
                <w:color w:val="1A1A1A"/>
                <w:sz w:val="20"/>
                <w:szCs w:val="20"/>
              </w:rPr>
              <w:t xml:space="preserve">50,250</w:t>
            </w:r>
          </w:p>
        </w:tc>
        <w:tc>
          <w:tcPr>
            <w:tcW w:type="dxa" w:w="1980"/>
            <w:tcBorders>
              <w:top w:val="single" w:color="DADADA" w:sz="4"/>
              <w:left w:val="single" w:color="DADADA" w:sz="4"/>
              <w:bottom w:val="single" w:color="DADADA" w:sz="4"/>
              <w:right w:val="single" w:color="DADADA" w:sz="4"/>
            </w:tcBorders>
            <w:tcMar>
              <w:top w:type="dxa" w:w="80"/>
              <w:left w:type="dxa" w:w="120"/>
              <w:bottom w:type="dxa" w:w="80"/>
              <w:right w:type="dxa" w:w="120"/>
            </w:tcMar>
            <w:vAlign w:val="center"/>
          </w:tcPr>
          <w:p>
            <w:pPr>
              <w:jc w:val="right"/>
            </w:pPr>
            <w:r>
              <w:rPr>
                <w:rFonts w:ascii="Calibri" w:cs="Calibri" w:eastAsia="Calibri" w:hAnsi="Calibri"/>
                <w:color w:val="0E7C3A"/>
                <w:sz w:val="20"/>
                <w:szCs w:val="20"/>
              </w:rPr>
              <w:t xml:space="preserve">+395 pts</w:t>
            </w:r>
          </w:p>
        </w:tc>
        <w:tc>
          <w:tcPr>
            <w:tcW w:type="dxa" w:w="1980"/>
            <w:tcBorders>
              <w:top w:val="single" w:color="DADADA" w:sz="4"/>
              <w:left w:val="single" w:color="DADADA" w:sz="4"/>
              <w:bottom w:val="single" w:color="DADADA" w:sz="4"/>
              <w:right w:val="single" w:color="DADADA" w:sz="4"/>
            </w:tcBorders>
            <w:tcMar>
              <w:top w:type="dxa" w:w="80"/>
              <w:left w:type="dxa" w:w="120"/>
              <w:bottom w:type="dxa" w:w="80"/>
              <w:right w:type="dxa" w:w="120"/>
            </w:tcMar>
            <w:vAlign w:val="center"/>
          </w:tcPr>
          <w:p>
            <w:pPr>
              <w:jc w:val="right"/>
            </w:pPr>
            <w:r>
              <w:rPr>
                <w:rFonts w:ascii="Calibri" w:cs="Calibri" w:eastAsia="Calibri" w:hAnsi="Calibri"/>
                <w:b/>
                <w:bCs/>
                <w:color w:val="0E7C3A"/>
                <w:sz w:val="20"/>
                <w:szCs w:val="20"/>
              </w:rPr>
              <w:t xml:space="preserve">+0.79%</w:t>
            </w:r>
          </w:p>
        </w:tc>
      </w:tr>
      <w:tr>
        <w:tc>
          <w:tcPr>
            <w:tcW w:type="dxa" w:w="3000"/>
            <w:tcBorders>
              <w:top w:val="single" w:color="DADADA" w:sz="4"/>
              <w:left w:val="single" w:color="DADADA" w:sz="4"/>
              <w:bottom w:val="single" w:color="DADADA" w:sz="4"/>
              <w:right w:val="single" w:color="DADADA" w:sz="4"/>
            </w:tcBorders>
            <w:tcMar>
              <w:top w:type="dxa" w:w="80"/>
              <w:left w:type="dxa" w:w="120"/>
              <w:bottom w:type="dxa" w:w="80"/>
              <w:right w:type="dxa" w:w="120"/>
            </w:tcMar>
            <w:vAlign w:val="center"/>
          </w:tcPr>
          <w:p>
            <w:pPr>
              <w:spacing w:after="40" w:before="40"/>
              <w:jc w:val="left"/>
            </w:pPr>
            <w:r>
              <w:rPr>
                <w:rFonts w:ascii="Calibri" w:cs="Calibri" w:eastAsia="Calibri" w:hAnsi="Calibri"/>
                <w:b/>
                <w:bCs/>
                <w:color w:val="1A1A1A"/>
                <w:sz w:val="20"/>
                <w:szCs w:val="20"/>
              </w:rPr>
              <w:t xml:space="preserve">Russell 2000 (RTYM6)</w:t>
            </w:r>
          </w:p>
        </w:tc>
        <w:tc>
          <w:tcPr>
            <w:tcW w:type="dxa" w:w="2400"/>
            <w:tcBorders>
              <w:top w:val="single" w:color="DADADA" w:sz="4"/>
              <w:left w:val="single" w:color="DADADA" w:sz="4"/>
              <w:bottom w:val="single" w:color="DADADA" w:sz="4"/>
              <w:right w:val="single" w:color="DADADA" w:sz="4"/>
            </w:tcBorders>
            <w:tcMar>
              <w:top w:type="dxa" w:w="80"/>
              <w:left w:type="dxa" w:w="120"/>
              <w:bottom w:type="dxa" w:w="80"/>
              <w:right w:type="dxa" w:w="120"/>
            </w:tcMar>
            <w:vAlign w:val="center"/>
          </w:tcPr>
          <w:p>
            <w:pPr>
              <w:spacing w:after="40" w:before="40"/>
              <w:jc w:val="right"/>
            </w:pPr>
            <w:r>
              <w:rPr>
                <w:rFonts w:ascii="Calibri" w:cs="Calibri" w:eastAsia="Calibri" w:hAnsi="Calibri"/>
                <w:b w:val="false"/>
                <w:bCs w:val="false"/>
                <w:color w:val="1A1A1A"/>
                <w:sz w:val="20"/>
                <w:szCs w:val="20"/>
              </w:rPr>
              <w:t xml:space="preserve">2,448</w:t>
            </w:r>
          </w:p>
        </w:tc>
        <w:tc>
          <w:tcPr>
            <w:tcW w:type="dxa" w:w="1980"/>
            <w:tcBorders>
              <w:top w:val="single" w:color="DADADA" w:sz="4"/>
              <w:left w:val="single" w:color="DADADA" w:sz="4"/>
              <w:bottom w:val="single" w:color="DADADA" w:sz="4"/>
              <w:right w:val="single" w:color="DADADA" w:sz="4"/>
            </w:tcBorders>
            <w:tcMar>
              <w:top w:type="dxa" w:w="80"/>
              <w:left w:type="dxa" w:w="120"/>
              <w:bottom w:type="dxa" w:w="80"/>
              <w:right w:type="dxa" w:w="120"/>
            </w:tcMar>
            <w:vAlign w:val="center"/>
          </w:tcPr>
          <w:p>
            <w:pPr>
              <w:jc w:val="right"/>
            </w:pPr>
            <w:r>
              <w:rPr>
                <w:rFonts w:ascii="Calibri" w:cs="Calibri" w:eastAsia="Calibri" w:hAnsi="Calibri"/>
                <w:color w:val="0E7C3A"/>
                <w:sz w:val="20"/>
                <w:szCs w:val="20"/>
              </w:rPr>
              <w:t xml:space="preserve">+24 pts</w:t>
            </w:r>
          </w:p>
        </w:tc>
        <w:tc>
          <w:tcPr>
            <w:tcW w:type="dxa" w:w="1980"/>
            <w:tcBorders>
              <w:top w:val="single" w:color="DADADA" w:sz="4"/>
              <w:left w:val="single" w:color="DADADA" w:sz="4"/>
              <w:bottom w:val="single" w:color="DADADA" w:sz="4"/>
              <w:right w:val="single" w:color="DADADA" w:sz="4"/>
            </w:tcBorders>
            <w:tcMar>
              <w:top w:type="dxa" w:w="80"/>
              <w:left w:type="dxa" w:w="120"/>
              <w:bottom w:type="dxa" w:w="80"/>
              <w:right w:type="dxa" w:w="120"/>
            </w:tcMar>
            <w:vAlign w:val="center"/>
          </w:tcPr>
          <w:p>
            <w:pPr>
              <w:jc w:val="right"/>
            </w:pPr>
            <w:r>
              <w:rPr>
                <w:rFonts w:ascii="Calibri" w:cs="Calibri" w:eastAsia="Calibri" w:hAnsi="Calibri"/>
                <w:b/>
                <w:bCs/>
                <w:color w:val="0E7C3A"/>
                <w:sz w:val="20"/>
                <w:szCs w:val="20"/>
              </w:rPr>
              <w:t xml:space="preserve">+1.00%</w:t>
            </w:r>
          </w:p>
        </w:tc>
      </w:tr>
      <w:tr>
        <w:tc>
          <w:tcPr>
            <w:tcW w:type="dxa" w:w="9360"/>
            <w:gridSpan w:val="4"/>
            <w:tcBorders>
              <w:top w:val="single" w:color="0B1F3A" w:sz="4"/>
              <w:left w:val="single" w:color="0B1F3A" w:sz="4"/>
              <w:bottom w:val="single" w:color="0B1F3A" w:sz="4"/>
              <w:right w:val="single" w:color="0B1F3A" w:sz="4"/>
            </w:tcBorders>
            <w:shd w:fill="C9A227" w:color="auto" w:val="clear"/>
            <w:tcMar>
              <w:top w:type="dxa" w:w="80"/>
              <w:left w:type="dxa" w:w="120"/>
              <w:bottom w:type="dxa" w:w="80"/>
              <w:right w:type="dxa" w:w="120"/>
            </w:tcMar>
          </w:tcPr>
          <w:p>
            <w:r>
              <w:rPr>
                <w:rFonts w:ascii="Calibri" w:cs="Calibri" w:eastAsia="Calibri" w:hAnsi="Calibri"/>
                <w:b/>
                <w:bCs/>
                <w:color w:val="07152A"/>
                <w:sz w:val="20"/>
                <w:szCs w:val="20"/>
              </w:rPr>
              <w:t xml:space="preserve">Prior U.S. Close (May 5)</w:t>
            </w:r>
          </w:p>
        </w:tc>
      </w:tr>
      <w:tr>
        <w:tc>
          <w:tcPr>
            <w:tcW w:type="dxa" w:w="3000"/>
            <w:tcBorders>
              <w:top w:val="single" w:color="DADADA" w:sz="4"/>
              <w:left w:val="single" w:color="DADADA" w:sz="4"/>
              <w:bottom w:val="single" w:color="DADADA" w:sz="4"/>
              <w:right w:val="single" w:color="DADADA" w:sz="4"/>
            </w:tcBorders>
            <w:tcMar>
              <w:top w:type="dxa" w:w="80"/>
              <w:left w:type="dxa" w:w="120"/>
              <w:bottom w:type="dxa" w:w="80"/>
              <w:right w:type="dxa" w:w="120"/>
            </w:tcMar>
            <w:vAlign w:val="center"/>
          </w:tcPr>
          <w:p>
            <w:pPr>
              <w:spacing w:after="40" w:before="40"/>
              <w:jc w:val="left"/>
            </w:pPr>
            <w:r>
              <w:rPr>
                <w:rFonts w:ascii="Calibri" w:cs="Calibri" w:eastAsia="Calibri" w:hAnsi="Calibri"/>
                <w:b/>
                <w:bCs/>
                <w:color w:val="1A1A1A"/>
                <w:sz w:val="20"/>
                <w:szCs w:val="20"/>
              </w:rPr>
              <w:t xml:space="preserve">S&amp;P 500</w:t>
            </w:r>
          </w:p>
        </w:tc>
        <w:tc>
          <w:tcPr>
            <w:tcW w:type="dxa" w:w="2400"/>
            <w:tcBorders>
              <w:top w:val="single" w:color="DADADA" w:sz="4"/>
              <w:left w:val="single" w:color="DADADA" w:sz="4"/>
              <w:bottom w:val="single" w:color="DADADA" w:sz="4"/>
              <w:right w:val="single" w:color="DADADA" w:sz="4"/>
            </w:tcBorders>
            <w:tcMar>
              <w:top w:type="dxa" w:w="80"/>
              <w:left w:type="dxa" w:w="120"/>
              <w:bottom w:type="dxa" w:w="80"/>
              <w:right w:type="dxa" w:w="120"/>
            </w:tcMar>
            <w:vAlign w:val="center"/>
          </w:tcPr>
          <w:p>
            <w:pPr>
              <w:spacing w:after="40" w:before="40"/>
              <w:jc w:val="right"/>
            </w:pPr>
            <w:r>
              <w:rPr>
                <w:rFonts w:ascii="Calibri" w:cs="Calibri" w:eastAsia="Calibri" w:hAnsi="Calibri"/>
                <w:b w:val="false"/>
                <w:bCs w:val="false"/>
                <w:color w:val="1A1A1A"/>
                <w:sz w:val="20"/>
                <w:szCs w:val="20"/>
              </w:rPr>
              <w:t xml:space="preserve">7,338.89</w:t>
            </w:r>
          </w:p>
        </w:tc>
        <w:tc>
          <w:tcPr>
            <w:tcW w:type="dxa" w:w="1980"/>
            <w:tcBorders>
              <w:top w:val="single" w:color="DADADA" w:sz="4"/>
              <w:left w:val="single" w:color="DADADA" w:sz="4"/>
              <w:bottom w:val="single" w:color="DADADA" w:sz="4"/>
              <w:right w:val="single" w:color="DADADA" w:sz="4"/>
            </w:tcBorders>
            <w:tcMar>
              <w:top w:type="dxa" w:w="80"/>
              <w:left w:type="dxa" w:w="120"/>
              <w:bottom w:type="dxa" w:w="80"/>
              <w:right w:type="dxa" w:w="120"/>
            </w:tcMar>
            <w:vAlign w:val="center"/>
          </w:tcPr>
          <w:p>
            <w:pPr>
              <w:jc w:val="right"/>
            </w:pPr>
            <w:r>
              <w:rPr>
                <w:rFonts w:ascii="Calibri" w:cs="Calibri" w:eastAsia="Calibri" w:hAnsi="Calibri"/>
                <w:color w:val="0E7C3A"/>
                <w:sz w:val="20"/>
                <w:szCs w:val="20"/>
              </w:rPr>
              <w:t xml:space="preserve">+79.85</w:t>
            </w:r>
          </w:p>
        </w:tc>
        <w:tc>
          <w:tcPr>
            <w:tcW w:type="dxa" w:w="1980"/>
            <w:tcBorders>
              <w:top w:val="single" w:color="DADADA" w:sz="4"/>
              <w:left w:val="single" w:color="DADADA" w:sz="4"/>
              <w:bottom w:val="single" w:color="DADADA" w:sz="4"/>
              <w:right w:val="single" w:color="DADADA" w:sz="4"/>
            </w:tcBorders>
            <w:tcMar>
              <w:top w:type="dxa" w:w="80"/>
              <w:left w:type="dxa" w:w="120"/>
              <w:bottom w:type="dxa" w:w="80"/>
              <w:right w:type="dxa" w:w="120"/>
            </w:tcMar>
            <w:vAlign w:val="center"/>
          </w:tcPr>
          <w:p>
            <w:pPr>
              <w:jc w:val="right"/>
            </w:pPr>
            <w:r>
              <w:rPr>
                <w:rFonts w:ascii="Calibri" w:cs="Calibri" w:eastAsia="Calibri" w:hAnsi="Calibri"/>
                <w:b/>
                <w:bCs/>
                <w:color w:val="0E7C3A"/>
                <w:sz w:val="20"/>
                <w:szCs w:val="20"/>
              </w:rPr>
              <w:t xml:space="preserve">+1.10%</w:t>
            </w:r>
          </w:p>
        </w:tc>
      </w:tr>
      <w:tr>
        <w:tc>
          <w:tcPr>
            <w:tcW w:type="dxa" w:w="3000"/>
            <w:tcBorders>
              <w:top w:val="single" w:color="DADADA" w:sz="4"/>
              <w:left w:val="single" w:color="DADADA" w:sz="4"/>
              <w:bottom w:val="single" w:color="DADADA" w:sz="4"/>
              <w:right w:val="single" w:color="DADADA" w:sz="4"/>
            </w:tcBorders>
            <w:tcMar>
              <w:top w:type="dxa" w:w="80"/>
              <w:left w:type="dxa" w:w="120"/>
              <w:bottom w:type="dxa" w:w="80"/>
              <w:right w:type="dxa" w:w="120"/>
            </w:tcMar>
            <w:vAlign w:val="center"/>
          </w:tcPr>
          <w:p>
            <w:pPr>
              <w:spacing w:after="40" w:before="40"/>
              <w:jc w:val="left"/>
            </w:pPr>
            <w:r>
              <w:rPr>
                <w:rFonts w:ascii="Calibri" w:cs="Calibri" w:eastAsia="Calibri" w:hAnsi="Calibri"/>
                <w:b/>
                <w:bCs/>
                <w:color w:val="1A1A1A"/>
                <w:sz w:val="20"/>
                <w:szCs w:val="20"/>
              </w:rPr>
              <w:t xml:space="preserve">Nasdaq Composite</w:t>
            </w:r>
          </w:p>
        </w:tc>
        <w:tc>
          <w:tcPr>
            <w:tcW w:type="dxa" w:w="2400"/>
            <w:tcBorders>
              <w:top w:val="single" w:color="DADADA" w:sz="4"/>
              <w:left w:val="single" w:color="DADADA" w:sz="4"/>
              <w:bottom w:val="single" w:color="DADADA" w:sz="4"/>
              <w:right w:val="single" w:color="DADADA" w:sz="4"/>
            </w:tcBorders>
            <w:tcMar>
              <w:top w:type="dxa" w:w="80"/>
              <w:left w:type="dxa" w:w="120"/>
              <w:bottom w:type="dxa" w:w="80"/>
              <w:right w:type="dxa" w:w="120"/>
            </w:tcMar>
            <w:vAlign w:val="center"/>
          </w:tcPr>
          <w:p>
            <w:pPr>
              <w:spacing w:after="40" w:before="40"/>
              <w:jc w:val="right"/>
            </w:pPr>
            <w:r>
              <w:rPr>
                <w:rFonts w:ascii="Calibri" w:cs="Calibri" w:eastAsia="Calibri" w:hAnsi="Calibri"/>
                <w:b w:val="false"/>
                <w:bCs w:val="false"/>
                <w:color w:val="1A1A1A"/>
                <w:sz w:val="20"/>
                <w:szCs w:val="20"/>
              </w:rPr>
              <w:t xml:space="preserve">25,670</w:t>
            </w:r>
          </w:p>
        </w:tc>
        <w:tc>
          <w:tcPr>
            <w:tcW w:type="dxa" w:w="1980"/>
            <w:tcBorders>
              <w:top w:val="single" w:color="DADADA" w:sz="4"/>
              <w:left w:val="single" w:color="DADADA" w:sz="4"/>
              <w:bottom w:val="single" w:color="DADADA" w:sz="4"/>
              <w:right w:val="single" w:color="DADADA" w:sz="4"/>
            </w:tcBorders>
            <w:tcMar>
              <w:top w:type="dxa" w:w="80"/>
              <w:left w:type="dxa" w:w="120"/>
              <w:bottom w:type="dxa" w:w="80"/>
              <w:right w:type="dxa" w:w="120"/>
            </w:tcMar>
            <w:vAlign w:val="center"/>
          </w:tcPr>
          <w:p>
            <w:pPr>
              <w:jc w:val="right"/>
            </w:pPr>
            <w:r>
              <w:rPr>
                <w:rFonts w:ascii="Calibri" w:cs="Calibri" w:eastAsia="Calibri" w:hAnsi="Calibri"/>
                <w:color w:val="0E7C3A"/>
                <w:sz w:val="20"/>
                <w:szCs w:val="20"/>
              </w:rPr>
              <w:t xml:space="preserve">+345</w:t>
            </w:r>
          </w:p>
        </w:tc>
        <w:tc>
          <w:tcPr>
            <w:tcW w:type="dxa" w:w="1980"/>
            <w:tcBorders>
              <w:top w:val="single" w:color="DADADA" w:sz="4"/>
              <w:left w:val="single" w:color="DADADA" w:sz="4"/>
              <w:bottom w:val="single" w:color="DADADA" w:sz="4"/>
              <w:right w:val="single" w:color="DADADA" w:sz="4"/>
            </w:tcBorders>
            <w:tcMar>
              <w:top w:type="dxa" w:w="80"/>
              <w:left w:type="dxa" w:w="120"/>
              <w:bottom w:type="dxa" w:w="80"/>
              <w:right w:type="dxa" w:w="120"/>
            </w:tcMar>
            <w:vAlign w:val="center"/>
          </w:tcPr>
          <w:p>
            <w:pPr>
              <w:jc w:val="right"/>
            </w:pPr>
            <w:r>
              <w:rPr>
                <w:rFonts w:ascii="Calibri" w:cs="Calibri" w:eastAsia="Calibri" w:hAnsi="Calibri"/>
                <w:b/>
                <w:bCs/>
                <w:color w:val="0E7C3A"/>
                <w:sz w:val="20"/>
                <w:szCs w:val="20"/>
              </w:rPr>
              <w:t xml:space="preserve">+1.36%</w:t>
            </w:r>
          </w:p>
        </w:tc>
      </w:tr>
      <w:tr>
        <w:tc>
          <w:tcPr>
            <w:tcW w:type="dxa" w:w="3000"/>
            <w:tcBorders>
              <w:top w:val="single" w:color="DADADA" w:sz="4"/>
              <w:left w:val="single" w:color="DADADA" w:sz="4"/>
              <w:bottom w:val="single" w:color="DADADA" w:sz="4"/>
              <w:right w:val="single" w:color="DADADA" w:sz="4"/>
            </w:tcBorders>
            <w:tcMar>
              <w:top w:type="dxa" w:w="80"/>
              <w:left w:type="dxa" w:w="120"/>
              <w:bottom w:type="dxa" w:w="80"/>
              <w:right w:type="dxa" w:w="120"/>
            </w:tcMar>
            <w:vAlign w:val="center"/>
          </w:tcPr>
          <w:p>
            <w:pPr>
              <w:spacing w:after="40" w:before="40"/>
              <w:jc w:val="left"/>
            </w:pPr>
            <w:r>
              <w:rPr>
                <w:rFonts w:ascii="Calibri" w:cs="Calibri" w:eastAsia="Calibri" w:hAnsi="Calibri"/>
                <w:b/>
                <w:bCs/>
                <w:color w:val="1A1A1A"/>
                <w:sz w:val="20"/>
                <w:szCs w:val="20"/>
              </w:rPr>
              <w:t xml:space="preserve">Dow Jones Industrial</w:t>
            </w:r>
          </w:p>
        </w:tc>
        <w:tc>
          <w:tcPr>
            <w:tcW w:type="dxa" w:w="2400"/>
            <w:tcBorders>
              <w:top w:val="single" w:color="DADADA" w:sz="4"/>
              <w:left w:val="single" w:color="DADADA" w:sz="4"/>
              <w:bottom w:val="single" w:color="DADADA" w:sz="4"/>
              <w:right w:val="single" w:color="DADADA" w:sz="4"/>
            </w:tcBorders>
            <w:tcMar>
              <w:top w:type="dxa" w:w="80"/>
              <w:left w:type="dxa" w:w="120"/>
              <w:bottom w:type="dxa" w:w="80"/>
              <w:right w:type="dxa" w:w="120"/>
            </w:tcMar>
            <w:vAlign w:val="center"/>
          </w:tcPr>
          <w:p>
            <w:pPr>
              <w:spacing w:after="40" w:before="40"/>
              <w:jc w:val="right"/>
            </w:pPr>
            <w:r>
              <w:rPr>
                <w:rFonts w:ascii="Calibri" w:cs="Calibri" w:eastAsia="Calibri" w:hAnsi="Calibri"/>
                <w:b w:val="false"/>
                <w:bCs w:val="false"/>
                <w:color w:val="1A1A1A"/>
                <w:sz w:val="20"/>
                <w:szCs w:val="20"/>
              </w:rPr>
              <w:t xml:space="preserve">49,854</w:t>
            </w:r>
          </w:p>
        </w:tc>
        <w:tc>
          <w:tcPr>
            <w:tcW w:type="dxa" w:w="1980"/>
            <w:tcBorders>
              <w:top w:val="single" w:color="DADADA" w:sz="4"/>
              <w:left w:val="single" w:color="DADADA" w:sz="4"/>
              <w:bottom w:val="single" w:color="DADADA" w:sz="4"/>
              <w:right w:val="single" w:color="DADADA" w:sz="4"/>
            </w:tcBorders>
            <w:tcMar>
              <w:top w:type="dxa" w:w="80"/>
              <w:left w:type="dxa" w:w="120"/>
              <w:bottom w:type="dxa" w:w="80"/>
              <w:right w:type="dxa" w:w="120"/>
            </w:tcMar>
            <w:vAlign w:val="center"/>
          </w:tcPr>
          <w:p>
            <w:pPr>
              <w:jc w:val="right"/>
            </w:pPr>
            <w:r>
              <w:rPr>
                <w:rFonts w:ascii="Calibri" w:cs="Calibri" w:eastAsia="Calibri" w:hAnsi="Calibri"/>
                <w:color w:val="0E7C3A"/>
                <w:sz w:val="20"/>
                <w:szCs w:val="20"/>
              </w:rPr>
              <w:t xml:space="preserve">+562</w:t>
            </w:r>
          </w:p>
        </w:tc>
        <w:tc>
          <w:tcPr>
            <w:tcW w:type="dxa" w:w="1980"/>
            <w:tcBorders>
              <w:top w:val="single" w:color="DADADA" w:sz="4"/>
              <w:left w:val="single" w:color="DADADA" w:sz="4"/>
              <w:bottom w:val="single" w:color="DADADA" w:sz="4"/>
              <w:right w:val="single" w:color="DADADA" w:sz="4"/>
            </w:tcBorders>
            <w:tcMar>
              <w:top w:type="dxa" w:w="80"/>
              <w:left w:type="dxa" w:w="120"/>
              <w:bottom w:type="dxa" w:w="80"/>
              <w:right w:type="dxa" w:w="120"/>
            </w:tcMar>
            <w:vAlign w:val="center"/>
          </w:tcPr>
          <w:p>
            <w:pPr>
              <w:jc w:val="right"/>
            </w:pPr>
            <w:r>
              <w:rPr>
                <w:rFonts w:ascii="Calibri" w:cs="Calibri" w:eastAsia="Calibri" w:hAnsi="Calibri"/>
                <w:b/>
                <w:bCs/>
                <w:color w:val="0E7C3A"/>
                <w:sz w:val="20"/>
                <w:szCs w:val="20"/>
              </w:rPr>
              <w:t xml:space="preserve">+1.14%</w:t>
            </w:r>
          </w:p>
        </w:tc>
      </w:tr>
      <w:tr>
        <w:tc>
          <w:tcPr>
            <w:tcW w:type="dxa" w:w="3000"/>
            <w:tcBorders>
              <w:top w:val="single" w:color="DADADA" w:sz="4"/>
              <w:left w:val="single" w:color="DADADA" w:sz="4"/>
              <w:bottom w:val="single" w:color="DADADA" w:sz="4"/>
              <w:right w:val="single" w:color="DADADA" w:sz="4"/>
            </w:tcBorders>
            <w:tcMar>
              <w:top w:type="dxa" w:w="80"/>
              <w:left w:type="dxa" w:w="120"/>
              <w:bottom w:type="dxa" w:w="80"/>
              <w:right w:type="dxa" w:w="120"/>
            </w:tcMar>
            <w:vAlign w:val="center"/>
          </w:tcPr>
          <w:p>
            <w:pPr>
              <w:spacing w:after="40" w:before="40"/>
              <w:jc w:val="left"/>
            </w:pPr>
            <w:r>
              <w:rPr>
                <w:rFonts w:ascii="Calibri" w:cs="Calibri" w:eastAsia="Calibri" w:hAnsi="Calibri"/>
                <w:b/>
                <w:bCs/>
                <w:color w:val="1A1A1A"/>
                <w:sz w:val="20"/>
                <w:szCs w:val="20"/>
              </w:rPr>
              <w:t xml:space="preserve">Russell 2000</w:t>
            </w:r>
          </w:p>
        </w:tc>
        <w:tc>
          <w:tcPr>
            <w:tcW w:type="dxa" w:w="2400"/>
            <w:tcBorders>
              <w:top w:val="single" w:color="DADADA" w:sz="4"/>
              <w:left w:val="single" w:color="DADADA" w:sz="4"/>
              <w:bottom w:val="single" w:color="DADADA" w:sz="4"/>
              <w:right w:val="single" w:color="DADADA" w:sz="4"/>
            </w:tcBorders>
            <w:tcMar>
              <w:top w:type="dxa" w:w="80"/>
              <w:left w:type="dxa" w:w="120"/>
              <w:bottom w:type="dxa" w:w="80"/>
              <w:right w:type="dxa" w:w="120"/>
            </w:tcMar>
            <w:vAlign w:val="center"/>
          </w:tcPr>
          <w:p>
            <w:pPr>
              <w:spacing w:after="40" w:before="40"/>
              <w:jc w:val="right"/>
            </w:pPr>
            <w:r>
              <w:rPr>
                <w:rFonts w:ascii="Calibri" w:cs="Calibri" w:eastAsia="Calibri" w:hAnsi="Calibri"/>
                <w:b w:val="false"/>
                <w:bCs w:val="false"/>
                <w:color w:val="1A1A1A"/>
                <w:sz w:val="20"/>
                <w:szCs w:val="20"/>
              </w:rPr>
              <w:t xml:space="preserve">2,424</w:t>
            </w:r>
          </w:p>
        </w:tc>
        <w:tc>
          <w:tcPr>
            <w:tcW w:type="dxa" w:w="1980"/>
            <w:tcBorders>
              <w:top w:val="single" w:color="DADADA" w:sz="4"/>
              <w:left w:val="single" w:color="DADADA" w:sz="4"/>
              <w:bottom w:val="single" w:color="DADADA" w:sz="4"/>
              <w:right w:val="single" w:color="DADADA" w:sz="4"/>
            </w:tcBorders>
            <w:tcMar>
              <w:top w:type="dxa" w:w="80"/>
              <w:left w:type="dxa" w:w="120"/>
              <w:bottom w:type="dxa" w:w="80"/>
              <w:right w:type="dxa" w:w="120"/>
            </w:tcMar>
            <w:vAlign w:val="center"/>
          </w:tcPr>
          <w:p>
            <w:pPr>
              <w:jc w:val="right"/>
            </w:pPr>
            <w:r>
              <w:rPr>
                <w:rFonts w:ascii="Calibri" w:cs="Calibri" w:eastAsia="Calibri" w:hAnsi="Calibri"/>
                <w:color w:val="0E7C3A"/>
                <w:sz w:val="20"/>
                <w:szCs w:val="20"/>
              </w:rPr>
              <w:t xml:space="preserve">+34</w:t>
            </w:r>
          </w:p>
        </w:tc>
        <w:tc>
          <w:tcPr>
            <w:tcW w:type="dxa" w:w="1980"/>
            <w:tcBorders>
              <w:top w:val="single" w:color="DADADA" w:sz="4"/>
              <w:left w:val="single" w:color="DADADA" w:sz="4"/>
              <w:bottom w:val="single" w:color="DADADA" w:sz="4"/>
              <w:right w:val="single" w:color="DADADA" w:sz="4"/>
            </w:tcBorders>
            <w:tcMar>
              <w:top w:type="dxa" w:w="80"/>
              <w:left w:type="dxa" w:w="120"/>
              <w:bottom w:type="dxa" w:w="80"/>
              <w:right w:type="dxa" w:w="120"/>
            </w:tcMar>
            <w:vAlign w:val="center"/>
          </w:tcPr>
          <w:p>
            <w:pPr>
              <w:jc w:val="right"/>
            </w:pPr>
            <w:r>
              <w:rPr>
                <w:rFonts w:ascii="Calibri" w:cs="Calibri" w:eastAsia="Calibri" w:hAnsi="Calibri"/>
                <w:b/>
                <w:bCs/>
                <w:color w:val="0E7C3A"/>
                <w:sz w:val="20"/>
                <w:szCs w:val="20"/>
              </w:rPr>
              <w:t xml:space="preserve">+1.41%</w:t>
            </w:r>
          </w:p>
        </w:tc>
      </w:tr>
      <w:tr>
        <w:tc>
          <w:tcPr>
            <w:tcW w:type="dxa" w:w="3000"/>
            <w:tcBorders>
              <w:top w:val="single" w:color="DADADA" w:sz="4"/>
              <w:left w:val="single" w:color="DADADA" w:sz="4"/>
              <w:bottom w:val="single" w:color="DADADA" w:sz="4"/>
              <w:right w:val="single" w:color="DADADA" w:sz="4"/>
            </w:tcBorders>
            <w:tcMar>
              <w:top w:type="dxa" w:w="80"/>
              <w:left w:type="dxa" w:w="120"/>
              <w:bottom w:type="dxa" w:w="80"/>
              <w:right w:type="dxa" w:w="120"/>
            </w:tcMar>
            <w:vAlign w:val="center"/>
          </w:tcPr>
          <w:p>
            <w:pPr>
              <w:spacing w:after="40" w:before="40"/>
              <w:jc w:val="left"/>
            </w:pPr>
            <w:r>
              <w:rPr>
                <w:rFonts w:ascii="Calibri" w:cs="Calibri" w:eastAsia="Calibri" w:hAnsi="Calibri"/>
                <w:b/>
                <w:bCs/>
                <w:color w:val="1A1A1A"/>
                <w:sz w:val="20"/>
                <w:szCs w:val="20"/>
              </w:rPr>
              <w:t xml:space="preserve">VIX</w:t>
            </w:r>
          </w:p>
        </w:tc>
        <w:tc>
          <w:tcPr>
            <w:tcW w:type="dxa" w:w="2400"/>
            <w:tcBorders>
              <w:top w:val="single" w:color="DADADA" w:sz="4"/>
              <w:left w:val="single" w:color="DADADA" w:sz="4"/>
              <w:bottom w:val="single" w:color="DADADA" w:sz="4"/>
              <w:right w:val="single" w:color="DADADA" w:sz="4"/>
            </w:tcBorders>
            <w:tcMar>
              <w:top w:type="dxa" w:w="80"/>
              <w:left w:type="dxa" w:w="120"/>
              <w:bottom w:type="dxa" w:w="80"/>
              <w:right w:type="dxa" w:w="120"/>
            </w:tcMar>
            <w:vAlign w:val="center"/>
          </w:tcPr>
          <w:p>
            <w:pPr>
              <w:spacing w:after="40" w:before="40"/>
              <w:jc w:val="right"/>
            </w:pPr>
            <w:r>
              <w:rPr>
                <w:rFonts w:ascii="Calibri" w:cs="Calibri" w:eastAsia="Calibri" w:hAnsi="Calibri"/>
                <w:b w:val="false"/>
                <w:bCs w:val="false"/>
                <w:color w:val="1A1A1A"/>
                <w:sz w:val="20"/>
                <w:szCs w:val="20"/>
              </w:rPr>
              <w:t xml:space="preserve">17.45</w:t>
            </w:r>
          </w:p>
        </w:tc>
        <w:tc>
          <w:tcPr>
            <w:tcW w:type="dxa" w:w="1980"/>
            <w:tcBorders>
              <w:top w:val="single" w:color="DADADA" w:sz="4"/>
              <w:left w:val="single" w:color="DADADA" w:sz="4"/>
              <w:bottom w:val="single" w:color="DADADA" w:sz="4"/>
              <w:right w:val="single" w:color="DADADA" w:sz="4"/>
            </w:tcBorders>
            <w:tcMar>
              <w:top w:type="dxa" w:w="80"/>
              <w:left w:type="dxa" w:w="120"/>
              <w:bottom w:type="dxa" w:w="80"/>
              <w:right w:type="dxa" w:w="120"/>
            </w:tcMar>
            <w:vAlign w:val="center"/>
          </w:tcPr>
          <w:p>
            <w:pPr>
              <w:jc w:val="right"/>
            </w:pPr>
            <w:r>
              <w:rPr>
                <w:rFonts w:ascii="Calibri" w:cs="Calibri" w:eastAsia="Calibri" w:hAnsi="Calibri"/>
                <w:color w:val="B3261E"/>
                <w:sz w:val="20"/>
                <w:szCs w:val="20"/>
              </w:rPr>
              <w:t xml:space="preserve">−0.84</w:t>
            </w:r>
          </w:p>
        </w:tc>
        <w:tc>
          <w:tcPr>
            <w:tcW w:type="dxa" w:w="1980"/>
            <w:tcBorders>
              <w:top w:val="single" w:color="DADADA" w:sz="4"/>
              <w:left w:val="single" w:color="DADADA" w:sz="4"/>
              <w:bottom w:val="single" w:color="DADADA" w:sz="4"/>
              <w:right w:val="single" w:color="DADADA" w:sz="4"/>
            </w:tcBorders>
            <w:tcMar>
              <w:top w:type="dxa" w:w="80"/>
              <w:left w:type="dxa" w:w="120"/>
              <w:bottom w:type="dxa" w:w="80"/>
              <w:right w:type="dxa" w:w="120"/>
            </w:tcMar>
            <w:vAlign w:val="center"/>
          </w:tcPr>
          <w:p>
            <w:pPr>
              <w:jc w:val="right"/>
            </w:pPr>
            <w:r>
              <w:rPr>
                <w:rFonts w:ascii="Calibri" w:cs="Calibri" w:eastAsia="Calibri" w:hAnsi="Calibri"/>
                <w:b/>
                <w:bCs/>
                <w:color w:val="B3261E"/>
                <w:sz w:val="20"/>
                <w:szCs w:val="20"/>
              </w:rPr>
              <w:t xml:space="preserve">−4.59%</w:t>
            </w:r>
          </w:p>
        </w:tc>
      </w:tr>
      <w:tr>
        <w:tc>
          <w:tcPr>
            <w:tcW w:type="dxa" w:w="9360"/>
            <w:gridSpan w:val="4"/>
            <w:tcBorders>
              <w:top w:val="single" w:color="0B1F3A" w:sz="4"/>
              <w:left w:val="single" w:color="0B1F3A" w:sz="4"/>
              <w:bottom w:val="single" w:color="0B1F3A" w:sz="4"/>
              <w:right w:val="single" w:color="0B1F3A" w:sz="4"/>
            </w:tcBorders>
            <w:shd w:fill="C9A227" w:color="auto" w:val="clear"/>
            <w:tcMar>
              <w:top w:type="dxa" w:w="80"/>
              <w:left w:type="dxa" w:w="120"/>
              <w:bottom w:type="dxa" w:w="80"/>
              <w:right w:type="dxa" w:w="120"/>
            </w:tcMar>
          </w:tcPr>
          <w:p>
            <w:r>
              <w:rPr>
                <w:rFonts w:ascii="Calibri" w:cs="Calibri" w:eastAsia="Calibri" w:hAnsi="Calibri"/>
                <w:b/>
                <w:bCs/>
                <w:color w:val="07152A"/>
                <w:sz w:val="20"/>
                <w:szCs w:val="20"/>
              </w:rPr>
              <w:t xml:space="preserve">Asia (today's close)</w:t>
            </w:r>
          </w:p>
        </w:tc>
      </w:tr>
      <w:tr>
        <w:tc>
          <w:tcPr>
            <w:tcW w:type="dxa" w:w="3000"/>
            <w:tcBorders>
              <w:top w:val="single" w:color="DADADA" w:sz="4"/>
              <w:left w:val="single" w:color="DADADA" w:sz="4"/>
              <w:bottom w:val="single" w:color="DADADA" w:sz="4"/>
              <w:right w:val="single" w:color="DADADA" w:sz="4"/>
            </w:tcBorders>
            <w:tcMar>
              <w:top w:type="dxa" w:w="80"/>
              <w:left w:type="dxa" w:w="120"/>
              <w:bottom w:type="dxa" w:w="80"/>
              <w:right w:type="dxa" w:w="120"/>
            </w:tcMar>
            <w:vAlign w:val="center"/>
          </w:tcPr>
          <w:p>
            <w:pPr>
              <w:spacing w:after="40" w:before="40"/>
              <w:jc w:val="left"/>
            </w:pPr>
            <w:r>
              <w:rPr>
                <w:rFonts w:ascii="Calibri" w:cs="Calibri" w:eastAsia="Calibri" w:hAnsi="Calibri"/>
                <w:b/>
                <w:bCs/>
                <w:color w:val="1A1A1A"/>
                <w:sz w:val="20"/>
                <w:szCs w:val="20"/>
              </w:rPr>
              <w:t xml:space="preserve">Nikkei 225</w:t>
            </w:r>
          </w:p>
        </w:tc>
        <w:tc>
          <w:tcPr>
            <w:tcW w:type="dxa" w:w="2400"/>
            <w:tcBorders>
              <w:top w:val="single" w:color="DADADA" w:sz="4"/>
              <w:left w:val="single" w:color="DADADA" w:sz="4"/>
              <w:bottom w:val="single" w:color="DADADA" w:sz="4"/>
              <w:right w:val="single" w:color="DADADA" w:sz="4"/>
            </w:tcBorders>
            <w:tcMar>
              <w:top w:type="dxa" w:w="80"/>
              <w:left w:type="dxa" w:w="120"/>
              <w:bottom w:type="dxa" w:w="80"/>
              <w:right w:type="dxa" w:w="120"/>
            </w:tcMar>
            <w:vAlign w:val="center"/>
          </w:tcPr>
          <w:p>
            <w:pPr>
              <w:spacing w:after="40" w:before="40"/>
              <w:jc w:val="right"/>
            </w:pPr>
            <w:r>
              <w:rPr>
                <w:rFonts w:ascii="Calibri" w:cs="Calibri" w:eastAsia="Calibri" w:hAnsi="Calibri"/>
                <w:b w:val="false"/>
                <w:bCs w:val="false"/>
                <w:color w:val="1A1A1A"/>
                <w:sz w:val="20"/>
                <w:szCs w:val="20"/>
              </w:rPr>
              <w:t xml:space="preserve">39,860</w:t>
            </w:r>
          </w:p>
        </w:tc>
        <w:tc>
          <w:tcPr>
            <w:tcW w:type="dxa" w:w="1980"/>
            <w:tcBorders>
              <w:top w:val="single" w:color="DADADA" w:sz="4"/>
              <w:left w:val="single" w:color="DADADA" w:sz="4"/>
              <w:bottom w:val="single" w:color="DADADA" w:sz="4"/>
              <w:right w:val="single" w:color="DADADA" w:sz="4"/>
            </w:tcBorders>
            <w:tcMar>
              <w:top w:type="dxa" w:w="80"/>
              <w:left w:type="dxa" w:w="120"/>
              <w:bottom w:type="dxa" w:w="80"/>
              <w:right w:type="dxa" w:w="120"/>
            </w:tcMar>
            <w:vAlign w:val="center"/>
          </w:tcPr>
          <w:p>
            <w:pPr>
              <w:jc w:val="right"/>
            </w:pPr>
            <w:r>
              <w:rPr>
                <w:rFonts w:ascii="Calibri" w:cs="Calibri" w:eastAsia="Calibri" w:hAnsi="Calibri"/>
                <w:color w:val="0E7C3A"/>
                <w:sz w:val="20"/>
                <w:szCs w:val="20"/>
              </w:rPr>
              <w:t xml:space="preserve">+352</w:t>
            </w:r>
          </w:p>
        </w:tc>
        <w:tc>
          <w:tcPr>
            <w:tcW w:type="dxa" w:w="1980"/>
            <w:tcBorders>
              <w:top w:val="single" w:color="DADADA" w:sz="4"/>
              <w:left w:val="single" w:color="DADADA" w:sz="4"/>
              <w:bottom w:val="single" w:color="DADADA" w:sz="4"/>
              <w:right w:val="single" w:color="DADADA" w:sz="4"/>
            </w:tcBorders>
            <w:tcMar>
              <w:top w:type="dxa" w:w="80"/>
              <w:left w:type="dxa" w:w="120"/>
              <w:bottom w:type="dxa" w:w="80"/>
              <w:right w:type="dxa" w:w="120"/>
            </w:tcMar>
            <w:vAlign w:val="center"/>
          </w:tcPr>
          <w:p>
            <w:pPr>
              <w:jc w:val="right"/>
            </w:pPr>
            <w:r>
              <w:rPr>
                <w:rFonts w:ascii="Calibri" w:cs="Calibri" w:eastAsia="Calibri" w:hAnsi="Calibri"/>
                <w:b/>
                <w:bCs/>
                <w:color w:val="0E7C3A"/>
                <w:sz w:val="20"/>
                <w:szCs w:val="20"/>
              </w:rPr>
              <w:t xml:space="preserve">+0.89%</w:t>
            </w:r>
          </w:p>
        </w:tc>
      </w:tr>
      <w:tr>
        <w:tc>
          <w:tcPr>
            <w:tcW w:type="dxa" w:w="3000"/>
            <w:tcBorders>
              <w:top w:val="single" w:color="DADADA" w:sz="4"/>
              <w:left w:val="single" w:color="DADADA" w:sz="4"/>
              <w:bottom w:val="single" w:color="DADADA" w:sz="4"/>
              <w:right w:val="single" w:color="DADADA" w:sz="4"/>
            </w:tcBorders>
            <w:tcMar>
              <w:top w:type="dxa" w:w="80"/>
              <w:left w:type="dxa" w:w="120"/>
              <w:bottom w:type="dxa" w:w="80"/>
              <w:right w:type="dxa" w:w="120"/>
            </w:tcMar>
            <w:vAlign w:val="center"/>
          </w:tcPr>
          <w:p>
            <w:pPr>
              <w:spacing w:after="40" w:before="40"/>
              <w:jc w:val="left"/>
            </w:pPr>
            <w:r>
              <w:rPr>
                <w:rFonts w:ascii="Calibri" w:cs="Calibri" w:eastAsia="Calibri" w:hAnsi="Calibri"/>
                <w:b/>
                <w:bCs/>
                <w:color w:val="1A1A1A"/>
                <w:sz w:val="20"/>
                <w:szCs w:val="20"/>
              </w:rPr>
              <w:t xml:space="preserve">Hang Seng</w:t>
            </w:r>
          </w:p>
        </w:tc>
        <w:tc>
          <w:tcPr>
            <w:tcW w:type="dxa" w:w="2400"/>
            <w:tcBorders>
              <w:top w:val="single" w:color="DADADA" w:sz="4"/>
              <w:left w:val="single" w:color="DADADA" w:sz="4"/>
              <w:bottom w:val="single" w:color="DADADA" w:sz="4"/>
              <w:right w:val="single" w:color="DADADA" w:sz="4"/>
            </w:tcBorders>
            <w:tcMar>
              <w:top w:type="dxa" w:w="80"/>
              <w:left w:type="dxa" w:w="120"/>
              <w:bottom w:type="dxa" w:w="80"/>
              <w:right w:type="dxa" w:w="120"/>
            </w:tcMar>
            <w:vAlign w:val="center"/>
          </w:tcPr>
          <w:p>
            <w:pPr>
              <w:spacing w:after="40" w:before="40"/>
              <w:jc w:val="right"/>
            </w:pPr>
            <w:r>
              <w:rPr>
                <w:rFonts w:ascii="Calibri" w:cs="Calibri" w:eastAsia="Calibri" w:hAnsi="Calibri"/>
                <w:b w:val="false"/>
                <w:bCs w:val="false"/>
                <w:color w:val="1A1A1A"/>
                <w:sz w:val="20"/>
                <w:szCs w:val="20"/>
              </w:rPr>
              <w:t xml:space="preserve">23,140</w:t>
            </w:r>
          </w:p>
        </w:tc>
        <w:tc>
          <w:tcPr>
            <w:tcW w:type="dxa" w:w="1980"/>
            <w:tcBorders>
              <w:top w:val="single" w:color="DADADA" w:sz="4"/>
              <w:left w:val="single" w:color="DADADA" w:sz="4"/>
              <w:bottom w:val="single" w:color="DADADA" w:sz="4"/>
              <w:right w:val="single" w:color="DADADA" w:sz="4"/>
            </w:tcBorders>
            <w:tcMar>
              <w:top w:type="dxa" w:w="80"/>
              <w:left w:type="dxa" w:w="120"/>
              <w:bottom w:type="dxa" w:w="80"/>
              <w:right w:type="dxa" w:w="120"/>
            </w:tcMar>
            <w:vAlign w:val="center"/>
          </w:tcPr>
          <w:p>
            <w:pPr>
              <w:jc w:val="right"/>
            </w:pPr>
            <w:r>
              <w:rPr>
                <w:rFonts w:ascii="Calibri" w:cs="Calibri" w:eastAsia="Calibri" w:hAnsi="Calibri"/>
                <w:color w:val="0E7C3A"/>
                <w:sz w:val="20"/>
                <w:szCs w:val="20"/>
              </w:rPr>
              <w:t xml:space="preserve">+428</w:t>
            </w:r>
          </w:p>
        </w:tc>
        <w:tc>
          <w:tcPr>
            <w:tcW w:type="dxa" w:w="1980"/>
            <w:tcBorders>
              <w:top w:val="single" w:color="DADADA" w:sz="4"/>
              <w:left w:val="single" w:color="DADADA" w:sz="4"/>
              <w:bottom w:val="single" w:color="DADADA" w:sz="4"/>
              <w:right w:val="single" w:color="DADADA" w:sz="4"/>
            </w:tcBorders>
            <w:tcMar>
              <w:top w:type="dxa" w:w="80"/>
              <w:left w:type="dxa" w:w="120"/>
              <w:bottom w:type="dxa" w:w="80"/>
              <w:right w:type="dxa" w:w="120"/>
            </w:tcMar>
            <w:vAlign w:val="center"/>
          </w:tcPr>
          <w:p>
            <w:pPr>
              <w:jc w:val="right"/>
            </w:pPr>
            <w:r>
              <w:rPr>
                <w:rFonts w:ascii="Calibri" w:cs="Calibri" w:eastAsia="Calibri" w:hAnsi="Calibri"/>
                <w:b/>
                <w:bCs/>
                <w:color w:val="0E7C3A"/>
                <w:sz w:val="20"/>
                <w:szCs w:val="20"/>
              </w:rPr>
              <w:t xml:space="preserve">+1.88%</w:t>
            </w:r>
          </w:p>
        </w:tc>
      </w:tr>
      <w:tr>
        <w:tc>
          <w:tcPr>
            <w:tcW w:type="dxa" w:w="3000"/>
            <w:tcBorders>
              <w:top w:val="single" w:color="DADADA" w:sz="4"/>
              <w:left w:val="single" w:color="DADADA" w:sz="4"/>
              <w:bottom w:val="single" w:color="DADADA" w:sz="4"/>
              <w:right w:val="single" w:color="DADADA" w:sz="4"/>
            </w:tcBorders>
            <w:tcMar>
              <w:top w:type="dxa" w:w="80"/>
              <w:left w:type="dxa" w:w="120"/>
              <w:bottom w:type="dxa" w:w="80"/>
              <w:right w:type="dxa" w:w="120"/>
            </w:tcMar>
            <w:vAlign w:val="center"/>
          </w:tcPr>
          <w:p>
            <w:pPr>
              <w:spacing w:after="40" w:before="40"/>
              <w:jc w:val="left"/>
            </w:pPr>
            <w:r>
              <w:rPr>
                <w:rFonts w:ascii="Calibri" w:cs="Calibri" w:eastAsia="Calibri" w:hAnsi="Calibri"/>
                <w:b/>
                <w:bCs/>
                <w:color w:val="1A1A1A"/>
                <w:sz w:val="20"/>
                <w:szCs w:val="20"/>
              </w:rPr>
              <w:t xml:space="preserve">Shanghai Composite</w:t>
            </w:r>
          </w:p>
        </w:tc>
        <w:tc>
          <w:tcPr>
            <w:tcW w:type="dxa" w:w="2400"/>
            <w:tcBorders>
              <w:top w:val="single" w:color="DADADA" w:sz="4"/>
              <w:left w:val="single" w:color="DADADA" w:sz="4"/>
              <w:bottom w:val="single" w:color="DADADA" w:sz="4"/>
              <w:right w:val="single" w:color="DADADA" w:sz="4"/>
            </w:tcBorders>
            <w:tcMar>
              <w:top w:type="dxa" w:w="80"/>
              <w:left w:type="dxa" w:w="120"/>
              <w:bottom w:type="dxa" w:w="80"/>
              <w:right w:type="dxa" w:w="120"/>
            </w:tcMar>
            <w:vAlign w:val="center"/>
          </w:tcPr>
          <w:p>
            <w:pPr>
              <w:spacing w:after="40" w:before="40"/>
              <w:jc w:val="right"/>
            </w:pPr>
            <w:r>
              <w:rPr>
                <w:rFonts w:ascii="Calibri" w:cs="Calibri" w:eastAsia="Calibri" w:hAnsi="Calibri"/>
                <w:b w:val="false"/>
                <w:bCs w:val="false"/>
                <w:color w:val="1A1A1A"/>
                <w:sz w:val="20"/>
                <w:szCs w:val="20"/>
              </w:rPr>
              <w:t xml:space="preserve">3,418</w:t>
            </w:r>
          </w:p>
        </w:tc>
        <w:tc>
          <w:tcPr>
            <w:tcW w:type="dxa" w:w="1980"/>
            <w:tcBorders>
              <w:top w:val="single" w:color="DADADA" w:sz="4"/>
              <w:left w:val="single" w:color="DADADA" w:sz="4"/>
              <w:bottom w:val="single" w:color="DADADA" w:sz="4"/>
              <w:right w:val="single" w:color="DADADA" w:sz="4"/>
            </w:tcBorders>
            <w:tcMar>
              <w:top w:type="dxa" w:w="80"/>
              <w:left w:type="dxa" w:w="120"/>
              <w:bottom w:type="dxa" w:w="80"/>
              <w:right w:type="dxa" w:w="120"/>
            </w:tcMar>
            <w:vAlign w:val="center"/>
          </w:tcPr>
          <w:p>
            <w:pPr>
              <w:jc w:val="right"/>
            </w:pPr>
            <w:r>
              <w:rPr>
                <w:rFonts w:ascii="Calibri" w:cs="Calibri" w:eastAsia="Calibri" w:hAnsi="Calibri"/>
                <w:color w:val="0E7C3A"/>
                <w:sz w:val="20"/>
                <w:szCs w:val="20"/>
              </w:rPr>
              <w:t xml:space="preserve">+27</w:t>
            </w:r>
          </w:p>
        </w:tc>
        <w:tc>
          <w:tcPr>
            <w:tcW w:type="dxa" w:w="1980"/>
            <w:tcBorders>
              <w:top w:val="single" w:color="DADADA" w:sz="4"/>
              <w:left w:val="single" w:color="DADADA" w:sz="4"/>
              <w:bottom w:val="single" w:color="DADADA" w:sz="4"/>
              <w:right w:val="single" w:color="DADADA" w:sz="4"/>
            </w:tcBorders>
            <w:tcMar>
              <w:top w:type="dxa" w:w="80"/>
              <w:left w:type="dxa" w:w="120"/>
              <w:bottom w:type="dxa" w:w="80"/>
              <w:right w:type="dxa" w:w="120"/>
            </w:tcMar>
            <w:vAlign w:val="center"/>
          </w:tcPr>
          <w:p>
            <w:pPr>
              <w:jc w:val="right"/>
            </w:pPr>
            <w:r>
              <w:rPr>
                <w:rFonts w:ascii="Calibri" w:cs="Calibri" w:eastAsia="Calibri" w:hAnsi="Calibri"/>
                <w:b/>
                <w:bCs/>
                <w:color w:val="0E7C3A"/>
                <w:sz w:val="20"/>
                <w:szCs w:val="20"/>
              </w:rPr>
              <w:t xml:space="preserve">+0.80%</w:t>
            </w:r>
          </w:p>
        </w:tc>
      </w:tr>
      <w:tr>
        <w:tc>
          <w:tcPr>
            <w:tcW w:type="dxa" w:w="3000"/>
            <w:tcBorders>
              <w:top w:val="single" w:color="DADADA" w:sz="4"/>
              <w:left w:val="single" w:color="DADADA" w:sz="4"/>
              <w:bottom w:val="single" w:color="DADADA" w:sz="4"/>
              <w:right w:val="single" w:color="DADADA" w:sz="4"/>
            </w:tcBorders>
            <w:tcMar>
              <w:top w:type="dxa" w:w="80"/>
              <w:left w:type="dxa" w:w="120"/>
              <w:bottom w:type="dxa" w:w="80"/>
              <w:right w:type="dxa" w:w="120"/>
            </w:tcMar>
            <w:vAlign w:val="center"/>
          </w:tcPr>
          <w:p>
            <w:pPr>
              <w:spacing w:after="40" w:before="40"/>
              <w:jc w:val="left"/>
            </w:pPr>
            <w:r>
              <w:rPr>
                <w:rFonts w:ascii="Calibri" w:cs="Calibri" w:eastAsia="Calibri" w:hAnsi="Calibri"/>
                <w:b/>
                <w:bCs/>
                <w:color w:val="1A1A1A"/>
                <w:sz w:val="20"/>
                <w:szCs w:val="20"/>
              </w:rPr>
              <w:t xml:space="preserve">Kospi</w:t>
            </w:r>
          </w:p>
        </w:tc>
        <w:tc>
          <w:tcPr>
            <w:tcW w:type="dxa" w:w="2400"/>
            <w:tcBorders>
              <w:top w:val="single" w:color="DADADA" w:sz="4"/>
              <w:left w:val="single" w:color="DADADA" w:sz="4"/>
              <w:bottom w:val="single" w:color="DADADA" w:sz="4"/>
              <w:right w:val="single" w:color="DADADA" w:sz="4"/>
            </w:tcBorders>
            <w:tcMar>
              <w:top w:type="dxa" w:w="80"/>
              <w:left w:type="dxa" w:w="120"/>
              <w:bottom w:type="dxa" w:w="80"/>
              <w:right w:type="dxa" w:w="120"/>
            </w:tcMar>
            <w:vAlign w:val="center"/>
          </w:tcPr>
          <w:p>
            <w:pPr>
              <w:spacing w:after="40" w:before="40"/>
              <w:jc w:val="right"/>
            </w:pPr>
            <w:r>
              <w:rPr>
                <w:rFonts w:ascii="Calibri" w:cs="Calibri" w:eastAsia="Calibri" w:hAnsi="Calibri"/>
                <w:b w:val="false"/>
                <w:bCs w:val="false"/>
                <w:color w:val="1A1A1A"/>
                <w:sz w:val="20"/>
                <w:szCs w:val="20"/>
              </w:rPr>
              <w:t xml:space="preserve">2,748</w:t>
            </w:r>
          </w:p>
        </w:tc>
        <w:tc>
          <w:tcPr>
            <w:tcW w:type="dxa" w:w="1980"/>
            <w:tcBorders>
              <w:top w:val="single" w:color="DADADA" w:sz="4"/>
              <w:left w:val="single" w:color="DADADA" w:sz="4"/>
              <w:bottom w:val="single" w:color="DADADA" w:sz="4"/>
              <w:right w:val="single" w:color="DADADA" w:sz="4"/>
            </w:tcBorders>
            <w:tcMar>
              <w:top w:type="dxa" w:w="80"/>
              <w:left w:type="dxa" w:w="120"/>
              <w:bottom w:type="dxa" w:w="80"/>
              <w:right w:type="dxa" w:w="120"/>
            </w:tcMar>
            <w:vAlign w:val="center"/>
          </w:tcPr>
          <w:p>
            <w:pPr>
              <w:jc w:val="right"/>
            </w:pPr>
            <w:r>
              <w:rPr>
                <w:rFonts w:ascii="Calibri" w:cs="Calibri" w:eastAsia="Calibri" w:hAnsi="Calibri"/>
                <w:color w:val="0E7C3A"/>
                <w:sz w:val="20"/>
                <w:szCs w:val="20"/>
              </w:rPr>
              <w:t xml:space="preserve">+38</w:t>
            </w:r>
          </w:p>
        </w:tc>
        <w:tc>
          <w:tcPr>
            <w:tcW w:type="dxa" w:w="1980"/>
            <w:tcBorders>
              <w:top w:val="single" w:color="DADADA" w:sz="4"/>
              <w:left w:val="single" w:color="DADADA" w:sz="4"/>
              <w:bottom w:val="single" w:color="DADADA" w:sz="4"/>
              <w:right w:val="single" w:color="DADADA" w:sz="4"/>
            </w:tcBorders>
            <w:tcMar>
              <w:top w:type="dxa" w:w="80"/>
              <w:left w:type="dxa" w:w="120"/>
              <w:bottom w:type="dxa" w:w="80"/>
              <w:right w:type="dxa" w:w="120"/>
            </w:tcMar>
            <w:vAlign w:val="center"/>
          </w:tcPr>
          <w:p>
            <w:pPr>
              <w:jc w:val="right"/>
            </w:pPr>
            <w:r>
              <w:rPr>
                <w:rFonts w:ascii="Calibri" w:cs="Calibri" w:eastAsia="Calibri" w:hAnsi="Calibri"/>
                <w:b/>
                <w:bCs/>
                <w:color w:val="0E7C3A"/>
                <w:sz w:val="20"/>
                <w:szCs w:val="20"/>
              </w:rPr>
              <w:t xml:space="preserve">+1.40%</w:t>
            </w:r>
          </w:p>
        </w:tc>
      </w:tr>
      <w:tr>
        <w:tc>
          <w:tcPr>
            <w:tcW w:type="dxa" w:w="3000"/>
            <w:tcBorders>
              <w:top w:val="single" w:color="DADADA" w:sz="4"/>
              <w:left w:val="single" w:color="DADADA" w:sz="4"/>
              <w:bottom w:val="single" w:color="DADADA" w:sz="4"/>
              <w:right w:val="single" w:color="DADADA" w:sz="4"/>
            </w:tcBorders>
            <w:tcMar>
              <w:top w:type="dxa" w:w="80"/>
              <w:left w:type="dxa" w:w="120"/>
              <w:bottom w:type="dxa" w:w="80"/>
              <w:right w:type="dxa" w:w="120"/>
            </w:tcMar>
            <w:vAlign w:val="center"/>
          </w:tcPr>
          <w:p>
            <w:pPr>
              <w:spacing w:after="40" w:before="40"/>
              <w:jc w:val="left"/>
            </w:pPr>
            <w:r>
              <w:rPr>
                <w:rFonts w:ascii="Calibri" w:cs="Calibri" w:eastAsia="Calibri" w:hAnsi="Calibri"/>
                <w:b/>
                <w:bCs/>
                <w:color w:val="1A1A1A"/>
                <w:sz w:val="20"/>
                <w:szCs w:val="20"/>
              </w:rPr>
              <w:t xml:space="preserve">ASX 200</w:t>
            </w:r>
          </w:p>
        </w:tc>
        <w:tc>
          <w:tcPr>
            <w:tcW w:type="dxa" w:w="2400"/>
            <w:tcBorders>
              <w:top w:val="single" w:color="DADADA" w:sz="4"/>
              <w:left w:val="single" w:color="DADADA" w:sz="4"/>
              <w:bottom w:val="single" w:color="DADADA" w:sz="4"/>
              <w:right w:val="single" w:color="DADADA" w:sz="4"/>
            </w:tcBorders>
            <w:tcMar>
              <w:top w:type="dxa" w:w="80"/>
              <w:left w:type="dxa" w:w="120"/>
              <w:bottom w:type="dxa" w:w="80"/>
              <w:right w:type="dxa" w:w="120"/>
            </w:tcMar>
            <w:vAlign w:val="center"/>
          </w:tcPr>
          <w:p>
            <w:pPr>
              <w:spacing w:after="40" w:before="40"/>
              <w:jc w:val="right"/>
            </w:pPr>
            <w:r>
              <w:rPr>
                <w:rFonts w:ascii="Calibri" w:cs="Calibri" w:eastAsia="Calibri" w:hAnsi="Calibri"/>
                <w:b w:val="false"/>
                <w:bCs w:val="false"/>
                <w:color w:val="1A1A1A"/>
                <w:sz w:val="20"/>
                <w:szCs w:val="20"/>
              </w:rPr>
              <w:t xml:space="preserve">8,290</w:t>
            </w:r>
          </w:p>
        </w:tc>
        <w:tc>
          <w:tcPr>
            <w:tcW w:type="dxa" w:w="1980"/>
            <w:tcBorders>
              <w:top w:val="single" w:color="DADADA" w:sz="4"/>
              <w:left w:val="single" w:color="DADADA" w:sz="4"/>
              <w:bottom w:val="single" w:color="DADADA" w:sz="4"/>
              <w:right w:val="single" w:color="DADADA" w:sz="4"/>
            </w:tcBorders>
            <w:tcMar>
              <w:top w:type="dxa" w:w="80"/>
              <w:left w:type="dxa" w:w="120"/>
              <w:bottom w:type="dxa" w:w="80"/>
              <w:right w:type="dxa" w:w="120"/>
            </w:tcMar>
            <w:vAlign w:val="center"/>
          </w:tcPr>
          <w:p>
            <w:pPr>
              <w:jc w:val="right"/>
            </w:pPr>
            <w:r>
              <w:rPr>
                <w:rFonts w:ascii="Calibri" w:cs="Calibri" w:eastAsia="Calibri" w:hAnsi="Calibri"/>
                <w:color w:val="0E7C3A"/>
                <w:sz w:val="20"/>
                <w:szCs w:val="20"/>
              </w:rPr>
              <w:t xml:space="preserve">+58</w:t>
            </w:r>
          </w:p>
        </w:tc>
        <w:tc>
          <w:tcPr>
            <w:tcW w:type="dxa" w:w="1980"/>
            <w:tcBorders>
              <w:top w:val="single" w:color="DADADA" w:sz="4"/>
              <w:left w:val="single" w:color="DADADA" w:sz="4"/>
              <w:bottom w:val="single" w:color="DADADA" w:sz="4"/>
              <w:right w:val="single" w:color="DADADA" w:sz="4"/>
            </w:tcBorders>
            <w:tcMar>
              <w:top w:type="dxa" w:w="80"/>
              <w:left w:type="dxa" w:w="120"/>
              <w:bottom w:type="dxa" w:w="80"/>
              <w:right w:type="dxa" w:w="120"/>
            </w:tcMar>
            <w:vAlign w:val="center"/>
          </w:tcPr>
          <w:p>
            <w:pPr>
              <w:jc w:val="right"/>
            </w:pPr>
            <w:r>
              <w:rPr>
                <w:rFonts w:ascii="Calibri" w:cs="Calibri" w:eastAsia="Calibri" w:hAnsi="Calibri"/>
                <w:b/>
                <w:bCs/>
                <w:color w:val="0E7C3A"/>
                <w:sz w:val="20"/>
                <w:szCs w:val="20"/>
              </w:rPr>
              <w:t xml:space="preserve">+0.71%</w:t>
            </w:r>
          </w:p>
        </w:tc>
      </w:tr>
      <w:tr>
        <w:tc>
          <w:tcPr>
            <w:tcW w:type="dxa" w:w="9360"/>
            <w:gridSpan w:val="4"/>
            <w:tcBorders>
              <w:top w:val="single" w:color="0B1F3A" w:sz="4"/>
              <w:left w:val="single" w:color="0B1F3A" w:sz="4"/>
              <w:bottom w:val="single" w:color="0B1F3A" w:sz="4"/>
              <w:right w:val="single" w:color="0B1F3A" w:sz="4"/>
            </w:tcBorders>
            <w:shd w:fill="C9A227" w:color="auto" w:val="clear"/>
            <w:tcMar>
              <w:top w:type="dxa" w:w="80"/>
              <w:left w:type="dxa" w:w="120"/>
              <w:bottom w:type="dxa" w:w="80"/>
              <w:right w:type="dxa" w:w="120"/>
            </w:tcMar>
          </w:tcPr>
          <w:p>
            <w:r>
              <w:rPr>
                <w:rFonts w:ascii="Calibri" w:cs="Calibri" w:eastAsia="Calibri" w:hAnsi="Calibri"/>
                <w:b/>
                <w:bCs/>
                <w:color w:val="07152A"/>
                <w:sz w:val="20"/>
                <w:szCs w:val="20"/>
              </w:rPr>
              <w:t xml:space="preserve">Europe (early trade)</w:t>
            </w:r>
          </w:p>
        </w:tc>
      </w:tr>
      <w:tr>
        <w:tc>
          <w:tcPr>
            <w:tcW w:type="dxa" w:w="3000"/>
            <w:tcBorders>
              <w:top w:val="single" w:color="DADADA" w:sz="4"/>
              <w:left w:val="single" w:color="DADADA" w:sz="4"/>
              <w:bottom w:val="single" w:color="DADADA" w:sz="4"/>
              <w:right w:val="single" w:color="DADADA" w:sz="4"/>
            </w:tcBorders>
            <w:tcMar>
              <w:top w:type="dxa" w:w="80"/>
              <w:left w:type="dxa" w:w="120"/>
              <w:bottom w:type="dxa" w:w="80"/>
              <w:right w:type="dxa" w:w="120"/>
            </w:tcMar>
            <w:vAlign w:val="center"/>
          </w:tcPr>
          <w:p>
            <w:pPr>
              <w:spacing w:after="40" w:before="40"/>
              <w:jc w:val="left"/>
            </w:pPr>
            <w:r>
              <w:rPr>
                <w:rFonts w:ascii="Calibri" w:cs="Calibri" w:eastAsia="Calibri" w:hAnsi="Calibri"/>
                <w:b/>
                <w:bCs/>
                <w:color w:val="1A1A1A"/>
                <w:sz w:val="20"/>
                <w:szCs w:val="20"/>
              </w:rPr>
              <w:t xml:space="preserve">Stoxx 600</w:t>
            </w:r>
          </w:p>
        </w:tc>
        <w:tc>
          <w:tcPr>
            <w:tcW w:type="dxa" w:w="2400"/>
            <w:tcBorders>
              <w:top w:val="single" w:color="DADADA" w:sz="4"/>
              <w:left w:val="single" w:color="DADADA" w:sz="4"/>
              <w:bottom w:val="single" w:color="DADADA" w:sz="4"/>
              <w:right w:val="single" w:color="DADADA" w:sz="4"/>
            </w:tcBorders>
            <w:tcMar>
              <w:top w:type="dxa" w:w="80"/>
              <w:left w:type="dxa" w:w="120"/>
              <w:bottom w:type="dxa" w:w="80"/>
              <w:right w:type="dxa" w:w="120"/>
            </w:tcMar>
            <w:vAlign w:val="center"/>
          </w:tcPr>
          <w:p>
            <w:pPr>
              <w:spacing w:after="40" w:before="40"/>
              <w:jc w:val="right"/>
            </w:pPr>
            <w:r>
              <w:rPr>
                <w:rFonts w:ascii="Calibri" w:cs="Calibri" w:eastAsia="Calibri" w:hAnsi="Calibri"/>
                <w:b w:val="false"/>
                <w:bCs w:val="false"/>
                <w:color w:val="1A1A1A"/>
                <w:sz w:val="20"/>
                <w:szCs w:val="20"/>
              </w:rPr>
              <w:t xml:space="preserve">568.4</w:t>
            </w:r>
          </w:p>
        </w:tc>
        <w:tc>
          <w:tcPr>
            <w:tcW w:type="dxa" w:w="1980"/>
            <w:tcBorders>
              <w:top w:val="single" w:color="DADADA" w:sz="4"/>
              <w:left w:val="single" w:color="DADADA" w:sz="4"/>
              <w:bottom w:val="single" w:color="DADADA" w:sz="4"/>
              <w:right w:val="single" w:color="DADADA" w:sz="4"/>
            </w:tcBorders>
            <w:tcMar>
              <w:top w:type="dxa" w:w="80"/>
              <w:left w:type="dxa" w:w="120"/>
              <w:bottom w:type="dxa" w:w="80"/>
              <w:right w:type="dxa" w:w="120"/>
            </w:tcMar>
            <w:vAlign w:val="center"/>
          </w:tcPr>
          <w:p>
            <w:pPr>
              <w:jc w:val="right"/>
            </w:pPr>
            <w:r>
              <w:rPr>
                <w:rFonts w:ascii="Calibri" w:cs="Calibri" w:eastAsia="Calibri" w:hAnsi="Calibri"/>
                <w:color w:val="0E7C3A"/>
                <w:sz w:val="20"/>
                <w:szCs w:val="20"/>
              </w:rPr>
              <w:t xml:space="preserve">+3.1</w:t>
            </w:r>
          </w:p>
        </w:tc>
        <w:tc>
          <w:tcPr>
            <w:tcW w:type="dxa" w:w="1980"/>
            <w:tcBorders>
              <w:top w:val="single" w:color="DADADA" w:sz="4"/>
              <w:left w:val="single" w:color="DADADA" w:sz="4"/>
              <w:bottom w:val="single" w:color="DADADA" w:sz="4"/>
              <w:right w:val="single" w:color="DADADA" w:sz="4"/>
            </w:tcBorders>
            <w:tcMar>
              <w:top w:type="dxa" w:w="80"/>
              <w:left w:type="dxa" w:w="120"/>
              <w:bottom w:type="dxa" w:w="80"/>
              <w:right w:type="dxa" w:w="120"/>
            </w:tcMar>
            <w:vAlign w:val="center"/>
          </w:tcPr>
          <w:p>
            <w:pPr>
              <w:jc w:val="right"/>
            </w:pPr>
            <w:r>
              <w:rPr>
                <w:rFonts w:ascii="Calibri" w:cs="Calibri" w:eastAsia="Calibri" w:hAnsi="Calibri"/>
                <w:b/>
                <w:bCs/>
                <w:color w:val="0E7C3A"/>
                <w:sz w:val="20"/>
                <w:szCs w:val="20"/>
              </w:rPr>
              <w:t xml:space="preserve">+0.55%</w:t>
            </w:r>
          </w:p>
        </w:tc>
      </w:tr>
      <w:tr>
        <w:tc>
          <w:tcPr>
            <w:tcW w:type="dxa" w:w="3000"/>
            <w:tcBorders>
              <w:top w:val="single" w:color="DADADA" w:sz="4"/>
              <w:left w:val="single" w:color="DADADA" w:sz="4"/>
              <w:bottom w:val="single" w:color="DADADA" w:sz="4"/>
              <w:right w:val="single" w:color="DADADA" w:sz="4"/>
            </w:tcBorders>
            <w:tcMar>
              <w:top w:type="dxa" w:w="80"/>
              <w:left w:type="dxa" w:w="120"/>
              <w:bottom w:type="dxa" w:w="80"/>
              <w:right w:type="dxa" w:w="120"/>
            </w:tcMar>
            <w:vAlign w:val="center"/>
          </w:tcPr>
          <w:p>
            <w:pPr>
              <w:spacing w:after="40" w:before="40"/>
              <w:jc w:val="left"/>
            </w:pPr>
            <w:r>
              <w:rPr>
                <w:rFonts w:ascii="Calibri" w:cs="Calibri" w:eastAsia="Calibri" w:hAnsi="Calibri"/>
                <w:b/>
                <w:bCs/>
                <w:color w:val="1A1A1A"/>
                <w:sz w:val="20"/>
                <w:szCs w:val="20"/>
              </w:rPr>
              <w:t xml:space="preserve">FTSE 100</w:t>
            </w:r>
          </w:p>
        </w:tc>
        <w:tc>
          <w:tcPr>
            <w:tcW w:type="dxa" w:w="2400"/>
            <w:tcBorders>
              <w:top w:val="single" w:color="DADADA" w:sz="4"/>
              <w:left w:val="single" w:color="DADADA" w:sz="4"/>
              <w:bottom w:val="single" w:color="DADADA" w:sz="4"/>
              <w:right w:val="single" w:color="DADADA" w:sz="4"/>
            </w:tcBorders>
            <w:tcMar>
              <w:top w:type="dxa" w:w="80"/>
              <w:left w:type="dxa" w:w="120"/>
              <w:bottom w:type="dxa" w:w="80"/>
              <w:right w:type="dxa" w:w="120"/>
            </w:tcMar>
            <w:vAlign w:val="center"/>
          </w:tcPr>
          <w:p>
            <w:pPr>
              <w:spacing w:after="40" w:before="40"/>
              <w:jc w:val="right"/>
            </w:pPr>
            <w:r>
              <w:rPr>
                <w:rFonts w:ascii="Calibri" w:cs="Calibri" w:eastAsia="Calibri" w:hAnsi="Calibri"/>
                <w:b w:val="false"/>
                <w:bCs w:val="false"/>
                <w:color w:val="1A1A1A"/>
                <w:sz w:val="20"/>
                <w:szCs w:val="20"/>
              </w:rPr>
              <w:t xml:space="preserve">8,612</w:t>
            </w:r>
          </w:p>
        </w:tc>
        <w:tc>
          <w:tcPr>
            <w:tcW w:type="dxa" w:w="1980"/>
            <w:tcBorders>
              <w:top w:val="single" w:color="DADADA" w:sz="4"/>
              <w:left w:val="single" w:color="DADADA" w:sz="4"/>
              <w:bottom w:val="single" w:color="DADADA" w:sz="4"/>
              <w:right w:val="single" w:color="DADADA" w:sz="4"/>
            </w:tcBorders>
            <w:tcMar>
              <w:top w:type="dxa" w:w="80"/>
              <w:left w:type="dxa" w:w="120"/>
              <w:bottom w:type="dxa" w:w="80"/>
              <w:right w:type="dxa" w:w="120"/>
            </w:tcMar>
            <w:vAlign w:val="center"/>
          </w:tcPr>
          <w:p>
            <w:pPr>
              <w:jc w:val="right"/>
            </w:pPr>
            <w:r>
              <w:rPr>
                <w:rFonts w:ascii="Calibri" w:cs="Calibri" w:eastAsia="Calibri" w:hAnsi="Calibri"/>
                <w:color w:val="0E7C3A"/>
                <w:sz w:val="20"/>
                <w:szCs w:val="20"/>
              </w:rPr>
              <w:t xml:space="preserve">+115</w:t>
            </w:r>
          </w:p>
        </w:tc>
        <w:tc>
          <w:tcPr>
            <w:tcW w:type="dxa" w:w="1980"/>
            <w:tcBorders>
              <w:top w:val="single" w:color="DADADA" w:sz="4"/>
              <w:left w:val="single" w:color="DADADA" w:sz="4"/>
              <w:bottom w:val="single" w:color="DADADA" w:sz="4"/>
              <w:right w:val="single" w:color="DADADA" w:sz="4"/>
            </w:tcBorders>
            <w:tcMar>
              <w:top w:type="dxa" w:w="80"/>
              <w:left w:type="dxa" w:w="120"/>
              <w:bottom w:type="dxa" w:w="80"/>
              <w:right w:type="dxa" w:w="120"/>
            </w:tcMar>
            <w:vAlign w:val="center"/>
          </w:tcPr>
          <w:p>
            <w:pPr>
              <w:jc w:val="right"/>
            </w:pPr>
            <w:r>
              <w:rPr>
                <w:rFonts w:ascii="Calibri" w:cs="Calibri" w:eastAsia="Calibri" w:hAnsi="Calibri"/>
                <w:b/>
                <w:bCs/>
                <w:color w:val="0E7C3A"/>
                <w:sz w:val="20"/>
                <w:szCs w:val="20"/>
              </w:rPr>
              <w:t xml:space="preserve">+1.35%</w:t>
            </w:r>
          </w:p>
        </w:tc>
      </w:tr>
      <w:tr>
        <w:tc>
          <w:tcPr>
            <w:tcW w:type="dxa" w:w="3000"/>
            <w:tcBorders>
              <w:top w:val="single" w:color="DADADA" w:sz="4"/>
              <w:left w:val="single" w:color="DADADA" w:sz="4"/>
              <w:bottom w:val="single" w:color="DADADA" w:sz="4"/>
              <w:right w:val="single" w:color="DADADA" w:sz="4"/>
            </w:tcBorders>
            <w:tcMar>
              <w:top w:type="dxa" w:w="80"/>
              <w:left w:type="dxa" w:w="120"/>
              <w:bottom w:type="dxa" w:w="80"/>
              <w:right w:type="dxa" w:w="120"/>
            </w:tcMar>
            <w:vAlign w:val="center"/>
          </w:tcPr>
          <w:p>
            <w:pPr>
              <w:spacing w:after="40" w:before="40"/>
              <w:jc w:val="left"/>
            </w:pPr>
            <w:r>
              <w:rPr>
                <w:rFonts w:ascii="Calibri" w:cs="Calibri" w:eastAsia="Calibri" w:hAnsi="Calibri"/>
                <w:b/>
                <w:bCs/>
                <w:color w:val="1A1A1A"/>
                <w:sz w:val="20"/>
                <w:szCs w:val="20"/>
              </w:rPr>
              <w:t xml:space="preserve">DAX</w:t>
            </w:r>
          </w:p>
        </w:tc>
        <w:tc>
          <w:tcPr>
            <w:tcW w:type="dxa" w:w="2400"/>
            <w:tcBorders>
              <w:top w:val="single" w:color="DADADA" w:sz="4"/>
              <w:left w:val="single" w:color="DADADA" w:sz="4"/>
              <w:bottom w:val="single" w:color="DADADA" w:sz="4"/>
              <w:right w:val="single" w:color="DADADA" w:sz="4"/>
            </w:tcBorders>
            <w:tcMar>
              <w:top w:type="dxa" w:w="80"/>
              <w:left w:type="dxa" w:w="120"/>
              <w:bottom w:type="dxa" w:w="80"/>
              <w:right w:type="dxa" w:w="120"/>
            </w:tcMar>
            <w:vAlign w:val="center"/>
          </w:tcPr>
          <w:p>
            <w:pPr>
              <w:spacing w:after="40" w:before="40"/>
              <w:jc w:val="right"/>
            </w:pPr>
            <w:r>
              <w:rPr>
                <w:rFonts w:ascii="Calibri" w:cs="Calibri" w:eastAsia="Calibri" w:hAnsi="Calibri"/>
                <w:b w:val="false"/>
                <w:bCs w:val="false"/>
                <w:color w:val="1A1A1A"/>
                <w:sz w:val="20"/>
                <w:szCs w:val="20"/>
              </w:rPr>
              <w:t xml:space="preserve">23,840</w:t>
            </w:r>
          </w:p>
        </w:tc>
        <w:tc>
          <w:tcPr>
            <w:tcW w:type="dxa" w:w="1980"/>
            <w:tcBorders>
              <w:top w:val="single" w:color="DADADA" w:sz="4"/>
              <w:left w:val="single" w:color="DADADA" w:sz="4"/>
              <w:bottom w:val="single" w:color="DADADA" w:sz="4"/>
              <w:right w:val="single" w:color="DADADA" w:sz="4"/>
            </w:tcBorders>
            <w:tcMar>
              <w:top w:type="dxa" w:w="80"/>
              <w:left w:type="dxa" w:w="120"/>
              <w:bottom w:type="dxa" w:w="80"/>
              <w:right w:type="dxa" w:w="120"/>
            </w:tcMar>
            <w:vAlign w:val="center"/>
          </w:tcPr>
          <w:p>
            <w:pPr>
              <w:jc w:val="right"/>
            </w:pPr>
            <w:r>
              <w:rPr>
                <w:rFonts w:ascii="Calibri" w:cs="Calibri" w:eastAsia="Calibri" w:hAnsi="Calibri"/>
                <w:color w:val="0E7C3A"/>
                <w:sz w:val="20"/>
                <w:szCs w:val="20"/>
              </w:rPr>
              <w:t xml:space="preserve">+158</w:t>
            </w:r>
          </w:p>
        </w:tc>
        <w:tc>
          <w:tcPr>
            <w:tcW w:type="dxa" w:w="1980"/>
            <w:tcBorders>
              <w:top w:val="single" w:color="DADADA" w:sz="4"/>
              <w:left w:val="single" w:color="DADADA" w:sz="4"/>
              <w:bottom w:val="single" w:color="DADADA" w:sz="4"/>
              <w:right w:val="single" w:color="DADADA" w:sz="4"/>
            </w:tcBorders>
            <w:tcMar>
              <w:top w:type="dxa" w:w="80"/>
              <w:left w:type="dxa" w:w="120"/>
              <w:bottom w:type="dxa" w:w="80"/>
              <w:right w:type="dxa" w:w="120"/>
            </w:tcMar>
            <w:vAlign w:val="center"/>
          </w:tcPr>
          <w:p>
            <w:pPr>
              <w:jc w:val="right"/>
            </w:pPr>
            <w:r>
              <w:rPr>
                <w:rFonts w:ascii="Calibri" w:cs="Calibri" w:eastAsia="Calibri" w:hAnsi="Calibri"/>
                <w:b/>
                <w:bCs/>
                <w:color w:val="0E7C3A"/>
                <w:sz w:val="20"/>
                <w:szCs w:val="20"/>
              </w:rPr>
              <w:t xml:space="preserve">+0.67%</w:t>
            </w:r>
          </w:p>
        </w:tc>
      </w:tr>
      <w:tr>
        <w:tc>
          <w:tcPr>
            <w:tcW w:type="dxa" w:w="3000"/>
            <w:tcBorders>
              <w:top w:val="single" w:color="DADADA" w:sz="4"/>
              <w:left w:val="single" w:color="DADADA" w:sz="4"/>
              <w:bottom w:val="single" w:color="DADADA" w:sz="4"/>
              <w:right w:val="single" w:color="DADADA" w:sz="4"/>
            </w:tcBorders>
            <w:tcMar>
              <w:top w:type="dxa" w:w="80"/>
              <w:left w:type="dxa" w:w="120"/>
              <w:bottom w:type="dxa" w:w="80"/>
              <w:right w:type="dxa" w:w="120"/>
            </w:tcMar>
            <w:vAlign w:val="center"/>
          </w:tcPr>
          <w:p>
            <w:pPr>
              <w:spacing w:after="40" w:before="40"/>
              <w:jc w:val="left"/>
            </w:pPr>
            <w:r>
              <w:rPr>
                <w:rFonts w:ascii="Calibri" w:cs="Calibri" w:eastAsia="Calibri" w:hAnsi="Calibri"/>
                <w:b/>
                <w:bCs/>
                <w:color w:val="1A1A1A"/>
                <w:sz w:val="20"/>
                <w:szCs w:val="20"/>
              </w:rPr>
              <w:t xml:space="preserve">CAC 40</w:t>
            </w:r>
          </w:p>
        </w:tc>
        <w:tc>
          <w:tcPr>
            <w:tcW w:type="dxa" w:w="2400"/>
            <w:tcBorders>
              <w:top w:val="single" w:color="DADADA" w:sz="4"/>
              <w:left w:val="single" w:color="DADADA" w:sz="4"/>
              <w:bottom w:val="single" w:color="DADADA" w:sz="4"/>
              <w:right w:val="single" w:color="DADADA" w:sz="4"/>
            </w:tcBorders>
            <w:tcMar>
              <w:top w:type="dxa" w:w="80"/>
              <w:left w:type="dxa" w:w="120"/>
              <w:bottom w:type="dxa" w:w="80"/>
              <w:right w:type="dxa" w:w="120"/>
            </w:tcMar>
            <w:vAlign w:val="center"/>
          </w:tcPr>
          <w:p>
            <w:pPr>
              <w:spacing w:after="40" w:before="40"/>
              <w:jc w:val="right"/>
            </w:pPr>
            <w:r>
              <w:rPr>
                <w:rFonts w:ascii="Calibri" w:cs="Calibri" w:eastAsia="Calibri" w:hAnsi="Calibri"/>
                <w:b w:val="false"/>
                <w:bCs w:val="false"/>
                <w:color w:val="1A1A1A"/>
                <w:sz w:val="20"/>
                <w:szCs w:val="20"/>
              </w:rPr>
              <w:t xml:space="preserve">8,144</w:t>
            </w:r>
          </w:p>
        </w:tc>
        <w:tc>
          <w:tcPr>
            <w:tcW w:type="dxa" w:w="1980"/>
            <w:tcBorders>
              <w:top w:val="single" w:color="DADADA" w:sz="4"/>
              <w:left w:val="single" w:color="DADADA" w:sz="4"/>
              <w:bottom w:val="single" w:color="DADADA" w:sz="4"/>
              <w:right w:val="single" w:color="DADADA" w:sz="4"/>
            </w:tcBorders>
            <w:tcMar>
              <w:top w:type="dxa" w:w="80"/>
              <w:left w:type="dxa" w:w="120"/>
              <w:bottom w:type="dxa" w:w="80"/>
              <w:right w:type="dxa" w:w="120"/>
            </w:tcMar>
            <w:vAlign w:val="center"/>
          </w:tcPr>
          <w:p>
            <w:pPr>
              <w:jc w:val="right"/>
            </w:pPr>
            <w:r>
              <w:rPr>
                <w:rFonts w:ascii="Calibri" w:cs="Calibri" w:eastAsia="Calibri" w:hAnsi="Calibri"/>
                <w:color w:val="0E7C3A"/>
                <w:sz w:val="20"/>
                <w:szCs w:val="20"/>
              </w:rPr>
              <w:t xml:space="preserve">+52</w:t>
            </w:r>
          </w:p>
        </w:tc>
        <w:tc>
          <w:tcPr>
            <w:tcW w:type="dxa" w:w="1980"/>
            <w:tcBorders>
              <w:top w:val="single" w:color="DADADA" w:sz="4"/>
              <w:left w:val="single" w:color="DADADA" w:sz="4"/>
              <w:bottom w:val="single" w:color="DADADA" w:sz="4"/>
              <w:right w:val="single" w:color="DADADA" w:sz="4"/>
            </w:tcBorders>
            <w:tcMar>
              <w:top w:type="dxa" w:w="80"/>
              <w:left w:type="dxa" w:w="120"/>
              <w:bottom w:type="dxa" w:w="80"/>
              <w:right w:type="dxa" w:w="120"/>
            </w:tcMar>
            <w:vAlign w:val="center"/>
          </w:tcPr>
          <w:p>
            <w:pPr>
              <w:jc w:val="right"/>
            </w:pPr>
            <w:r>
              <w:rPr>
                <w:rFonts w:ascii="Calibri" w:cs="Calibri" w:eastAsia="Calibri" w:hAnsi="Calibri"/>
                <w:b/>
                <w:bCs/>
                <w:color w:val="0E7C3A"/>
                <w:sz w:val="20"/>
                <w:szCs w:val="20"/>
              </w:rPr>
              <w:t xml:space="preserve">+0.64%</w:t>
            </w:r>
          </w:p>
        </w:tc>
      </w:tr>
      <w:tr>
        <w:tc>
          <w:tcPr>
            <w:tcW w:type="dxa" w:w="9360"/>
            <w:gridSpan w:val="4"/>
            <w:tcBorders>
              <w:top w:val="single" w:color="0B1F3A" w:sz="4"/>
              <w:left w:val="single" w:color="0B1F3A" w:sz="4"/>
              <w:bottom w:val="single" w:color="0B1F3A" w:sz="4"/>
              <w:right w:val="single" w:color="0B1F3A" w:sz="4"/>
            </w:tcBorders>
            <w:shd w:fill="C9A227" w:color="auto" w:val="clear"/>
            <w:tcMar>
              <w:top w:type="dxa" w:w="80"/>
              <w:left w:type="dxa" w:w="120"/>
              <w:bottom w:type="dxa" w:w="80"/>
              <w:right w:type="dxa" w:w="120"/>
            </w:tcMar>
          </w:tcPr>
          <w:p>
            <w:r>
              <w:rPr>
                <w:rFonts w:ascii="Calibri" w:cs="Calibri" w:eastAsia="Calibri" w:hAnsi="Calibri"/>
                <w:b/>
                <w:bCs/>
                <w:color w:val="07152A"/>
                <w:sz w:val="20"/>
                <w:szCs w:val="20"/>
              </w:rPr>
              <w:t xml:space="preserve">Treasuries / Rates</w:t>
            </w:r>
          </w:p>
        </w:tc>
      </w:tr>
      <w:tr>
        <w:tc>
          <w:tcPr>
            <w:tcW w:type="dxa" w:w="3000"/>
            <w:tcBorders>
              <w:top w:val="single" w:color="DADADA" w:sz="4"/>
              <w:left w:val="single" w:color="DADADA" w:sz="4"/>
              <w:bottom w:val="single" w:color="DADADA" w:sz="4"/>
              <w:right w:val="single" w:color="DADADA" w:sz="4"/>
            </w:tcBorders>
            <w:tcMar>
              <w:top w:type="dxa" w:w="80"/>
              <w:left w:type="dxa" w:w="120"/>
              <w:bottom w:type="dxa" w:w="80"/>
              <w:right w:type="dxa" w:w="120"/>
            </w:tcMar>
            <w:vAlign w:val="center"/>
          </w:tcPr>
          <w:p>
            <w:pPr>
              <w:spacing w:after="40" w:before="40"/>
              <w:jc w:val="left"/>
            </w:pPr>
            <w:r>
              <w:rPr>
                <w:rFonts w:ascii="Calibri" w:cs="Calibri" w:eastAsia="Calibri" w:hAnsi="Calibri"/>
                <w:b/>
                <w:bCs/>
                <w:color w:val="1A1A1A"/>
                <w:sz w:val="20"/>
                <w:szCs w:val="20"/>
              </w:rPr>
              <w:t xml:space="preserve">2Y Yield</w:t>
            </w:r>
          </w:p>
        </w:tc>
        <w:tc>
          <w:tcPr>
            <w:tcW w:type="dxa" w:w="2400"/>
            <w:tcBorders>
              <w:top w:val="single" w:color="DADADA" w:sz="4"/>
              <w:left w:val="single" w:color="DADADA" w:sz="4"/>
              <w:bottom w:val="single" w:color="DADADA" w:sz="4"/>
              <w:right w:val="single" w:color="DADADA" w:sz="4"/>
            </w:tcBorders>
            <w:tcMar>
              <w:top w:type="dxa" w:w="80"/>
              <w:left w:type="dxa" w:w="120"/>
              <w:bottom w:type="dxa" w:w="80"/>
              <w:right w:type="dxa" w:w="120"/>
            </w:tcMar>
            <w:vAlign w:val="center"/>
          </w:tcPr>
          <w:p>
            <w:pPr>
              <w:spacing w:after="40" w:before="40"/>
              <w:jc w:val="right"/>
            </w:pPr>
            <w:r>
              <w:rPr>
                <w:rFonts w:ascii="Calibri" w:cs="Calibri" w:eastAsia="Calibri" w:hAnsi="Calibri"/>
                <w:b w:val="false"/>
                <w:bCs w:val="false"/>
                <w:color w:val="1A1A1A"/>
                <w:sz w:val="20"/>
                <w:szCs w:val="20"/>
              </w:rPr>
              <w:t xml:space="preserve">3.92%</w:t>
            </w:r>
          </w:p>
        </w:tc>
        <w:tc>
          <w:tcPr>
            <w:tcW w:type="dxa" w:w="1980"/>
            <w:tcBorders>
              <w:top w:val="single" w:color="DADADA" w:sz="4"/>
              <w:left w:val="single" w:color="DADADA" w:sz="4"/>
              <w:bottom w:val="single" w:color="DADADA" w:sz="4"/>
              <w:right w:val="single" w:color="DADADA" w:sz="4"/>
            </w:tcBorders>
            <w:tcMar>
              <w:top w:type="dxa" w:w="80"/>
              <w:left w:type="dxa" w:w="120"/>
              <w:bottom w:type="dxa" w:w="80"/>
              <w:right w:type="dxa" w:w="120"/>
            </w:tcMar>
            <w:vAlign w:val="center"/>
          </w:tcPr>
          <w:p>
            <w:pPr>
              <w:jc w:val="right"/>
            </w:pPr>
            <w:r>
              <w:rPr>
                <w:rFonts w:ascii="Calibri" w:cs="Calibri" w:eastAsia="Calibri" w:hAnsi="Calibri"/>
                <w:color w:val="B3261E"/>
                <w:sz w:val="20"/>
                <w:szCs w:val="20"/>
              </w:rPr>
              <w:t xml:space="preserve">−4 bps</w:t>
            </w:r>
          </w:p>
        </w:tc>
        <w:tc>
          <w:tcPr>
            <w:tcW w:type="dxa" w:w="1980"/>
            <w:tcBorders>
              <w:top w:val="single" w:color="DADADA" w:sz="4"/>
              <w:left w:val="single" w:color="DADADA" w:sz="4"/>
              <w:bottom w:val="single" w:color="DADADA" w:sz="4"/>
              <w:right w:val="single" w:color="DADADA" w:sz="4"/>
            </w:tcBorders>
            <w:tcMar>
              <w:top w:type="dxa" w:w="80"/>
              <w:left w:type="dxa" w:w="120"/>
              <w:bottom w:type="dxa" w:w="80"/>
              <w:right w:type="dxa" w:w="120"/>
            </w:tcMar>
            <w:vAlign w:val="center"/>
          </w:tcPr>
          <w:p>
            <w:pPr>
              <w:jc w:val="right"/>
            </w:pPr>
            <w:r>
              <w:rPr>
                <w:rFonts w:ascii="Calibri" w:cs="Calibri" w:eastAsia="Calibri" w:hAnsi="Calibri"/>
                <w:b/>
                <w:bCs/>
                <w:color w:val="1A1A1A"/>
                <w:sz w:val="20"/>
                <w:szCs w:val="20"/>
              </w:rPr>
              <w:t xml:space="preserve">—</w:t>
            </w:r>
          </w:p>
        </w:tc>
      </w:tr>
      <w:tr>
        <w:tc>
          <w:tcPr>
            <w:tcW w:type="dxa" w:w="3000"/>
            <w:tcBorders>
              <w:top w:val="single" w:color="DADADA" w:sz="4"/>
              <w:left w:val="single" w:color="DADADA" w:sz="4"/>
              <w:bottom w:val="single" w:color="DADADA" w:sz="4"/>
              <w:right w:val="single" w:color="DADADA" w:sz="4"/>
            </w:tcBorders>
            <w:tcMar>
              <w:top w:type="dxa" w:w="80"/>
              <w:left w:type="dxa" w:w="120"/>
              <w:bottom w:type="dxa" w:w="80"/>
              <w:right w:type="dxa" w:w="120"/>
            </w:tcMar>
            <w:vAlign w:val="center"/>
          </w:tcPr>
          <w:p>
            <w:pPr>
              <w:spacing w:after="40" w:before="40"/>
              <w:jc w:val="left"/>
            </w:pPr>
            <w:r>
              <w:rPr>
                <w:rFonts w:ascii="Calibri" w:cs="Calibri" w:eastAsia="Calibri" w:hAnsi="Calibri"/>
                <w:b/>
                <w:bCs/>
                <w:color w:val="1A1A1A"/>
                <w:sz w:val="20"/>
                <w:szCs w:val="20"/>
              </w:rPr>
              <w:t xml:space="preserve">5Y Yield</w:t>
            </w:r>
          </w:p>
        </w:tc>
        <w:tc>
          <w:tcPr>
            <w:tcW w:type="dxa" w:w="2400"/>
            <w:tcBorders>
              <w:top w:val="single" w:color="DADADA" w:sz="4"/>
              <w:left w:val="single" w:color="DADADA" w:sz="4"/>
              <w:bottom w:val="single" w:color="DADADA" w:sz="4"/>
              <w:right w:val="single" w:color="DADADA" w:sz="4"/>
            </w:tcBorders>
            <w:tcMar>
              <w:top w:type="dxa" w:w="80"/>
              <w:left w:type="dxa" w:w="120"/>
              <w:bottom w:type="dxa" w:w="80"/>
              <w:right w:type="dxa" w:w="120"/>
            </w:tcMar>
            <w:vAlign w:val="center"/>
          </w:tcPr>
          <w:p>
            <w:pPr>
              <w:spacing w:after="40" w:before="40"/>
              <w:jc w:val="right"/>
            </w:pPr>
            <w:r>
              <w:rPr>
                <w:rFonts w:ascii="Calibri" w:cs="Calibri" w:eastAsia="Calibri" w:hAnsi="Calibri"/>
                <w:b w:val="false"/>
                <w:bCs w:val="false"/>
                <w:color w:val="1A1A1A"/>
                <w:sz w:val="20"/>
                <w:szCs w:val="20"/>
              </w:rPr>
              <w:t xml:space="preserve">4.10%</w:t>
            </w:r>
          </w:p>
        </w:tc>
        <w:tc>
          <w:tcPr>
            <w:tcW w:type="dxa" w:w="1980"/>
            <w:tcBorders>
              <w:top w:val="single" w:color="DADADA" w:sz="4"/>
              <w:left w:val="single" w:color="DADADA" w:sz="4"/>
              <w:bottom w:val="single" w:color="DADADA" w:sz="4"/>
              <w:right w:val="single" w:color="DADADA" w:sz="4"/>
            </w:tcBorders>
            <w:tcMar>
              <w:top w:type="dxa" w:w="80"/>
              <w:left w:type="dxa" w:w="120"/>
              <w:bottom w:type="dxa" w:w="80"/>
              <w:right w:type="dxa" w:w="120"/>
            </w:tcMar>
            <w:vAlign w:val="center"/>
          </w:tcPr>
          <w:p>
            <w:pPr>
              <w:jc w:val="right"/>
            </w:pPr>
            <w:r>
              <w:rPr>
                <w:rFonts w:ascii="Calibri" w:cs="Calibri" w:eastAsia="Calibri" w:hAnsi="Calibri"/>
                <w:color w:val="B3261E"/>
                <w:sz w:val="20"/>
                <w:szCs w:val="20"/>
              </w:rPr>
              <w:t xml:space="preserve">−3 bps</w:t>
            </w:r>
          </w:p>
        </w:tc>
        <w:tc>
          <w:tcPr>
            <w:tcW w:type="dxa" w:w="1980"/>
            <w:tcBorders>
              <w:top w:val="single" w:color="DADADA" w:sz="4"/>
              <w:left w:val="single" w:color="DADADA" w:sz="4"/>
              <w:bottom w:val="single" w:color="DADADA" w:sz="4"/>
              <w:right w:val="single" w:color="DADADA" w:sz="4"/>
            </w:tcBorders>
            <w:tcMar>
              <w:top w:type="dxa" w:w="80"/>
              <w:left w:type="dxa" w:w="120"/>
              <w:bottom w:type="dxa" w:w="80"/>
              <w:right w:type="dxa" w:w="120"/>
            </w:tcMar>
            <w:vAlign w:val="center"/>
          </w:tcPr>
          <w:p>
            <w:pPr>
              <w:jc w:val="right"/>
            </w:pPr>
            <w:r>
              <w:rPr>
                <w:rFonts w:ascii="Calibri" w:cs="Calibri" w:eastAsia="Calibri" w:hAnsi="Calibri"/>
                <w:b/>
                <w:bCs/>
                <w:color w:val="1A1A1A"/>
                <w:sz w:val="20"/>
                <w:szCs w:val="20"/>
              </w:rPr>
              <w:t xml:space="preserve">—</w:t>
            </w:r>
          </w:p>
        </w:tc>
      </w:tr>
      <w:tr>
        <w:tc>
          <w:tcPr>
            <w:tcW w:type="dxa" w:w="3000"/>
            <w:tcBorders>
              <w:top w:val="single" w:color="DADADA" w:sz="4"/>
              <w:left w:val="single" w:color="DADADA" w:sz="4"/>
              <w:bottom w:val="single" w:color="DADADA" w:sz="4"/>
              <w:right w:val="single" w:color="DADADA" w:sz="4"/>
            </w:tcBorders>
            <w:tcMar>
              <w:top w:type="dxa" w:w="80"/>
              <w:left w:type="dxa" w:w="120"/>
              <w:bottom w:type="dxa" w:w="80"/>
              <w:right w:type="dxa" w:w="120"/>
            </w:tcMar>
            <w:vAlign w:val="center"/>
          </w:tcPr>
          <w:p>
            <w:pPr>
              <w:spacing w:after="40" w:before="40"/>
              <w:jc w:val="left"/>
            </w:pPr>
            <w:r>
              <w:rPr>
                <w:rFonts w:ascii="Calibri" w:cs="Calibri" w:eastAsia="Calibri" w:hAnsi="Calibri"/>
                <w:b/>
                <w:bCs/>
                <w:color w:val="1A1A1A"/>
                <w:sz w:val="20"/>
                <w:szCs w:val="20"/>
              </w:rPr>
              <w:t xml:space="preserve">10Y Yield</w:t>
            </w:r>
          </w:p>
        </w:tc>
        <w:tc>
          <w:tcPr>
            <w:tcW w:type="dxa" w:w="2400"/>
            <w:tcBorders>
              <w:top w:val="single" w:color="DADADA" w:sz="4"/>
              <w:left w:val="single" w:color="DADADA" w:sz="4"/>
              <w:bottom w:val="single" w:color="DADADA" w:sz="4"/>
              <w:right w:val="single" w:color="DADADA" w:sz="4"/>
            </w:tcBorders>
            <w:tcMar>
              <w:top w:type="dxa" w:w="80"/>
              <w:left w:type="dxa" w:w="120"/>
              <w:bottom w:type="dxa" w:w="80"/>
              <w:right w:type="dxa" w:w="120"/>
            </w:tcMar>
            <w:vAlign w:val="center"/>
          </w:tcPr>
          <w:p>
            <w:pPr>
              <w:spacing w:after="40" w:before="40"/>
              <w:jc w:val="right"/>
            </w:pPr>
            <w:r>
              <w:rPr>
                <w:rFonts w:ascii="Calibri" w:cs="Calibri" w:eastAsia="Calibri" w:hAnsi="Calibri"/>
                <w:b w:val="false"/>
                <w:bCs w:val="false"/>
                <w:color w:val="1A1A1A"/>
                <w:sz w:val="20"/>
                <w:szCs w:val="20"/>
              </w:rPr>
              <w:t xml:space="preserve">4.42%</w:t>
            </w:r>
          </w:p>
        </w:tc>
        <w:tc>
          <w:tcPr>
            <w:tcW w:type="dxa" w:w="1980"/>
            <w:tcBorders>
              <w:top w:val="single" w:color="DADADA" w:sz="4"/>
              <w:left w:val="single" w:color="DADADA" w:sz="4"/>
              <w:bottom w:val="single" w:color="DADADA" w:sz="4"/>
              <w:right w:val="single" w:color="DADADA" w:sz="4"/>
            </w:tcBorders>
            <w:tcMar>
              <w:top w:type="dxa" w:w="80"/>
              <w:left w:type="dxa" w:w="120"/>
              <w:bottom w:type="dxa" w:w="80"/>
              <w:right w:type="dxa" w:w="120"/>
            </w:tcMar>
            <w:vAlign w:val="center"/>
          </w:tcPr>
          <w:p>
            <w:pPr>
              <w:jc w:val="right"/>
            </w:pPr>
            <w:r>
              <w:rPr>
                <w:rFonts w:ascii="Calibri" w:cs="Calibri" w:eastAsia="Calibri" w:hAnsi="Calibri"/>
                <w:color w:val="B3261E"/>
                <w:sz w:val="20"/>
                <w:szCs w:val="20"/>
              </w:rPr>
              <w:t xml:space="preserve">−3 bps</w:t>
            </w:r>
          </w:p>
        </w:tc>
        <w:tc>
          <w:tcPr>
            <w:tcW w:type="dxa" w:w="1980"/>
            <w:tcBorders>
              <w:top w:val="single" w:color="DADADA" w:sz="4"/>
              <w:left w:val="single" w:color="DADADA" w:sz="4"/>
              <w:bottom w:val="single" w:color="DADADA" w:sz="4"/>
              <w:right w:val="single" w:color="DADADA" w:sz="4"/>
            </w:tcBorders>
            <w:tcMar>
              <w:top w:type="dxa" w:w="80"/>
              <w:left w:type="dxa" w:w="120"/>
              <w:bottom w:type="dxa" w:w="80"/>
              <w:right w:type="dxa" w:w="120"/>
            </w:tcMar>
            <w:vAlign w:val="center"/>
          </w:tcPr>
          <w:p>
            <w:pPr>
              <w:jc w:val="right"/>
            </w:pPr>
            <w:r>
              <w:rPr>
                <w:rFonts w:ascii="Calibri" w:cs="Calibri" w:eastAsia="Calibri" w:hAnsi="Calibri"/>
                <w:b/>
                <w:bCs/>
                <w:color w:val="1A1A1A"/>
                <w:sz w:val="20"/>
                <w:szCs w:val="20"/>
              </w:rPr>
              <w:t xml:space="preserve">—</w:t>
            </w:r>
          </w:p>
        </w:tc>
      </w:tr>
      <w:tr>
        <w:tc>
          <w:tcPr>
            <w:tcW w:type="dxa" w:w="3000"/>
            <w:tcBorders>
              <w:top w:val="single" w:color="DADADA" w:sz="4"/>
              <w:left w:val="single" w:color="DADADA" w:sz="4"/>
              <w:bottom w:val="single" w:color="DADADA" w:sz="4"/>
              <w:right w:val="single" w:color="DADADA" w:sz="4"/>
            </w:tcBorders>
            <w:tcMar>
              <w:top w:type="dxa" w:w="80"/>
              <w:left w:type="dxa" w:w="120"/>
              <w:bottom w:type="dxa" w:w="80"/>
              <w:right w:type="dxa" w:w="120"/>
            </w:tcMar>
            <w:vAlign w:val="center"/>
          </w:tcPr>
          <w:p>
            <w:pPr>
              <w:spacing w:after="40" w:before="40"/>
              <w:jc w:val="left"/>
            </w:pPr>
            <w:r>
              <w:rPr>
                <w:rFonts w:ascii="Calibri" w:cs="Calibri" w:eastAsia="Calibri" w:hAnsi="Calibri"/>
                <w:b/>
                <w:bCs/>
                <w:color w:val="1A1A1A"/>
                <w:sz w:val="20"/>
                <w:szCs w:val="20"/>
              </w:rPr>
              <w:t xml:space="preserve">30Y Yield</w:t>
            </w:r>
          </w:p>
        </w:tc>
        <w:tc>
          <w:tcPr>
            <w:tcW w:type="dxa" w:w="2400"/>
            <w:tcBorders>
              <w:top w:val="single" w:color="DADADA" w:sz="4"/>
              <w:left w:val="single" w:color="DADADA" w:sz="4"/>
              <w:bottom w:val="single" w:color="DADADA" w:sz="4"/>
              <w:right w:val="single" w:color="DADADA" w:sz="4"/>
            </w:tcBorders>
            <w:tcMar>
              <w:top w:type="dxa" w:w="80"/>
              <w:left w:type="dxa" w:w="120"/>
              <w:bottom w:type="dxa" w:w="80"/>
              <w:right w:type="dxa" w:w="120"/>
            </w:tcMar>
            <w:vAlign w:val="center"/>
          </w:tcPr>
          <w:p>
            <w:pPr>
              <w:spacing w:after="40" w:before="40"/>
              <w:jc w:val="right"/>
            </w:pPr>
            <w:r>
              <w:rPr>
                <w:rFonts w:ascii="Calibri" w:cs="Calibri" w:eastAsia="Calibri" w:hAnsi="Calibri"/>
                <w:b w:val="false"/>
                <w:bCs w:val="false"/>
                <w:color w:val="1A1A1A"/>
                <w:sz w:val="20"/>
                <w:szCs w:val="20"/>
              </w:rPr>
              <w:t xml:space="preserve">5.03%</w:t>
            </w:r>
          </w:p>
        </w:tc>
        <w:tc>
          <w:tcPr>
            <w:tcW w:type="dxa" w:w="1980"/>
            <w:tcBorders>
              <w:top w:val="single" w:color="DADADA" w:sz="4"/>
              <w:left w:val="single" w:color="DADADA" w:sz="4"/>
              <w:bottom w:val="single" w:color="DADADA" w:sz="4"/>
              <w:right w:val="single" w:color="DADADA" w:sz="4"/>
            </w:tcBorders>
            <w:tcMar>
              <w:top w:type="dxa" w:w="80"/>
              <w:left w:type="dxa" w:w="120"/>
              <w:bottom w:type="dxa" w:w="80"/>
              <w:right w:type="dxa" w:w="120"/>
            </w:tcMar>
            <w:vAlign w:val="center"/>
          </w:tcPr>
          <w:p>
            <w:pPr>
              <w:jc w:val="right"/>
            </w:pPr>
            <w:r>
              <w:rPr>
                <w:rFonts w:ascii="Calibri" w:cs="Calibri" w:eastAsia="Calibri" w:hAnsi="Calibri"/>
                <w:color w:val="B3261E"/>
                <w:sz w:val="20"/>
                <w:szCs w:val="20"/>
              </w:rPr>
              <w:t xml:space="preserve">−2 bps</w:t>
            </w:r>
          </w:p>
        </w:tc>
        <w:tc>
          <w:tcPr>
            <w:tcW w:type="dxa" w:w="1980"/>
            <w:tcBorders>
              <w:top w:val="single" w:color="DADADA" w:sz="4"/>
              <w:left w:val="single" w:color="DADADA" w:sz="4"/>
              <w:bottom w:val="single" w:color="DADADA" w:sz="4"/>
              <w:right w:val="single" w:color="DADADA" w:sz="4"/>
            </w:tcBorders>
            <w:tcMar>
              <w:top w:type="dxa" w:w="80"/>
              <w:left w:type="dxa" w:w="120"/>
              <w:bottom w:type="dxa" w:w="80"/>
              <w:right w:type="dxa" w:w="120"/>
            </w:tcMar>
            <w:vAlign w:val="center"/>
          </w:tcPr>
          <w:p>
            <w:pPr>
              <w:jc w:val="right"/>
            </w:pPr>
            <w:r>
              <w:rPr>
                <w:rFonts w:ascii="Calibri" w:cs="Calibri" w:eastAsia="Calibri" w:hAnsi="Calibri"/>
                <w:b/>
                <w:bCs/>
                <w:color w:val="1A1A1A"/>
                <w:sz w:val="20"/>
                <w:szCs w:val="20"/>
              </w:rPr>
              <w:t xml:space="preserve">—</w:t>
            </w:r>
          </w:p>
        </w:tc>
      </w:tr>
      <w:tr>
        <w:tc>
          <w:tcPr>
            <w:tcW w:type="dxa" w:w="9360"/>
            <w:gridSpan w:val="4"/>
            <w:tcBorders>
              <w:top w:val="single" w:color="0B1F3A" w:sz="4"/>
              <w:left w:val="single" w:color="0B1F3A" w:sz="4"/>
              <w:bottom w:val="single" w:color="0B1F3A" w:sz="4"/>
              <w:right w:val="single" w:color="0B1F3A" w:sz="4"/>
            </w:tcBorders>
            <w:shd w:fill="C9A227" w:color="auto" w:val="clear"/>
            <w:tcMar>
              <w:top w:type="dxa" w:w="80"/>
              <w:left w:type="dxa" w:w="120"/>
              <w:bottom w:type="dxa" w:w="80"/>
              <w:right w:type="dxa" w:w="120"/>
            </w:tcMar>
          </w:tcPr>
          <w:p>
            <w:r>
              <w:rPr>
                <w:rFonts w:ascii="Calibri" w:cs="Calibri" w:eastAsia="Calibri" w:hAnsi="Calibri"/>
                <w:b/>
                <w:bCs/>
                <w:color w:val="07152A"/>
                <w:sz w:val="20"/>
                <w:szCs w:val="20"/>
              </w:rPr>
              <w:t xml:space="preserve">Currencies</w:t>
            </w:r>
          </w:p>
        </w:tc>
      </w:tr>
      <w:tr>
        <w:tc>
          <w:tcPr>
            <w:tcW w:type="dxa" w:w="3000"/>
            <w:tcBorders>
              <w:top w:val="single" w:color="DADADA" w:sz="4"/>
              <w:left w:val="single" w:color="DADADA" w:sz="4"/>
              <w:bottom w:val="single" w:color="DADADA" w:sz="4"/>
              <w:right w:val="single" w:color="DADADA" w:sz="4"/>
            </w:tcBorders>
            <w:tcMar>
              <w:top w:type="dxa" w:w="80"/>
              <w:left w:type="dxa" w:w="120"/>
              <w:bottom w:type="dxa" w:w="80"/>
              <w:right w:type="dxa" w:w="120"/>
            </w:tcMar>
            <w:vAlign w:val="center"/>
          </w:tcPr>
          <w:p>
            <w:pPr>
              <w:spacing w:after="40" w:before="40"/>
              <w:jc w:val="left"/>
            </w:pPr>
            <w:r>
              <w:rPr>
                <w:rFonts w:ascii="Calibri" w:cs="Calibri" w:eastAsia="Calibri" w:hAnsi="Calibri"/>
                <w:b/>
                <w:bCs/>
                <w:color w:val="1A1A1A"/>
                <w:sz w:val="20"/>
                <w:szCs w:val="20"/>
              </w:rPr>
              <w:t xml:space="preserve">DXY (USD Index)</w:t>
            </w:r>
          </w:p>
        </w:tc>
        <w:tc>
          <w:tcPr>
            <w:tcW w:type="dxa" w:w="2400"/>
            <w:tcBorders>
              <w:top w:val="single" w:color="DADADA" w:sz="4"/>
              <w:left w:val="single" w:color="DADADA" w:sz="4"/>
              <w:bottom w:val="single" w:color="DADADA" w:sz="4"/>
              <w:right w:val="single" w:color="DADADA" w:sz="4"/>
            </w:tcBorders>
            <w:tcMar>
              <w:top w:type="dxa" w:w="80"/>
              <w:left w:type="dxa" w:w="120"/>
              <w:bottom w:type="dxa" w:w="80"/>
              <w:right w:type="dxa" w:w="120"/>
            </w:tcMar>
            <w:vAlign w:val="center"/>
          </w:tcPr>
          <w:p>
            <w:pPr>
              <w:spacing w:after="40" w:before="40"/>
              <w:jc w:val="right"/>
            </w:pPr>
            <w:r>
              <w:rPr>
                <w:rFonts w:ascii="Calibri" w:cs="Calibri" w:eastAsia="Calibri" w:hAnsi="Calibri"/>
                <w:b w:val="false"/>
                <w:bCs w:val="false"/>
                <w:color w:val="1A1A1A"/>
                <w:sz w:val="20"/>
                <w:szCs w:val="20"/>
              </w:rPr>
              <w:t xml:space="preserve">98.42</w:t>
            </w:r>
          </w:p>
        </w:tc>
        <w:tc>
          <w:tcPr>
            <w:tcW w:type="dxa" w:w="1980"/>
            <w:tcBorders>
              <w:top w:val="single" w:color="DADADA" w:sz="4"/>
              <w:left w:val="single" w:color="DADADA" w:sz="4"/>
              <w:bottom w:val="single" w:color="DADADA" w:sz="4"/>
              <w:right w:val="single" w:color="DADADA" w:sz="4"/>
            </w:tcBorders>
            <w:tcMar>
              <w:top w:type="dxa" w:w="80"/>
              <w:left w:type="dxa" w:w="120"/>
              <w:bottom w:type="dxa" w:w="80"/>
              <w:right w:type="dxa" w:w="120"/>
            </w:tcMar>
            <w:vAlign w:val="center"/>
          </w:tcPr>
          <w:p>
            <w:pPr>
              <w:jc w:val="right"/>
            </w:pPr>
            <w:r>
              <w:rPr>
                <w:rFonts w:ascii="Calibri" w:cs="Calibri" w:eastAsia="Calibri" w:hAnsi="Calibri"/>
                <w:color w:val="B3261E"/>
                <w:sz w:val="20"/>
                <w:szCs w:val="20"/>
              </w:rPr>
              <w:t xml:space="preserve">−0.55</w:t>
            </w:r>
          </w:p>
        </w:tc>
        <w:tc>
          <w:tcPr>
            <w:tcW w:type="dxa" w:w="1980"/>
            <w:tcBorders>
              <w:top w:val="single" w:color="DADADA" w:sz="4"/>
              <w:left w:val="single" w:color="DADADA" w:sz="4"/>
              <w:bottom w:val="single" w:color="DADADA" w:sz="4"/>
              <w:right w:val="single" w:color="DADADA" w:sz="4"/>
            </w:tcBorders>
            <w:tcMar>
              <w:top w:type="dxa" w:w="80"/>
              <w:left w:type="dxa" w:w="120"/>
              <w:bottom w:type="dxa" w:w="80"/>
              <w:right w:type="dxa" w:w="120"/>
            </w:tcMar>
            <w:vAlign w:val="center"/>
          </w:tcPr>
          <w:p>
            <w:pPr>
              <w:jc w:val="right"/>
            </w:pPr>
            <w:r>
              <w:rPr>
                <w:rFonts w:ascii="Calibri" w:cs="Calibri" w:eastAsia="Calibri" w:hAnsi="Calibri"/>
                <w:b/>
                <w:bCs/>
                <w:color w:val="B3261E"/>
                <w:sz w:val="20"/>
                <w:szCs w:val="20"/>
              </w:rPr>
              <w:t xml:space="preserve">−0.56%</w:t>
            </w:r>
          </w:p>
        </w:tc>
      </w:tr>
      <w:tr>
        <w:tc>
          <w:tcPr>
            <w:tcW w:type="dxa" w:w="3000"/>
            <w:tcBorders>
              <w:top w:val="single" w:color="DADADA" w:sz="4"/>
              <w:left w:val="single" w:color="DADADA" w:sz="4"/>
              <w:bottom w:val="single" w:color="DADADA" w:sz="4"/>
              <w:right w:val="single" w:color="DADADA" w:sz="4"/>
            </w:tcBorders>
            <w:tcMar>
              <w:top w:type="dxa" w:w="80"/>
              <w:left w:type="dxa" w:w="120"/>
              <w:bottom w:type="dxa" w:w="80"/>
              <w:right w:type="dxa" w:w="120"/>
            </w:tcMar>
            <w:vAlign w:val="center"/>
          </w:tcPr>
          <w:p>
            <w:pPr>
              <w:spacing w:after="40" w:before="40"/>
              <w:jc w:val="left"/>
            </w:pPr>
            <w:r>
              <w:rPr>
                <w:rFonts w:ascii="Calibri" w:cs="Calibri" w:eastAsia="Calibri" w:hAnsi="Calibri"/>
                <w:b/>
                <w:bCs/>
                <w:color w:val="1A1A1A"/>
                <w:sz w:val="20"/>
                <w:szCs w:val="20"/>
              </w:rPr>
              <w:t xml:space="preserve">EUR/USD</w:t>
            </w:r>
          </w:p>
        </w:tc>
        <w:tc>
          <w:tcPr>
            <w:tcW w:type="dxa" w:w="2400"/>
            <w:tcBorders>
              <w:top w:val="single" w:color="DADADA" w:sz="4"/>
              <w:left w:val="single" w:color="DADADA" w:sz="4"/>
              <w:bottom w:val="single" w:color="DADADA" w:sz="4"/>
              <w:right w:val="single" w:color="DADADA" w:sz="4"/>
            </w:tcBorders>
            <w:tcMar>
              <w:top w:type="dxa" w:w="80"/>
              <w:left w:type="dxa" w:w="120"/>
              <w:bottom w:type="dxa" w:w="80"/>
              <w:right w:type="dxa" w:w="120"/>
            </w:tcMar>
            <w:vAlign w:val="center"/>
          </w:tcPr>
          <w:p>
            <w:pPr>
              <w:spacing w:after="40" w:before="40"/>
              <w:jc w:val="right"/>
            </w:pPr>
            <w:r>
              <w:rPr>
                <w:rFonts w:ascii="Calibri" w:cs="Calibri" w:eastAsia="Calibri" w:hAnsi="Calibri"/>
                <w:b w:val="false"/>
                <w:bCs w:val="false"/>
                <w:color w:val="1A1A1A"/>
                <w:sz w:val="20"/>
                <w:szCs w:val="20"/>
              </w:rPr>
              <w:t xml:space="preserve">1.1485</w:t>
            </w:r>
          </w:p>
        </w:tc>
        <w:tc>
          <w:tcPr>
            <w:tcW w:type="dxa" w:w="1980"/>
            <w:tcBorders>
              <w:top w:val="single" w:color="DADADA" w:sz="4"/>
              <w:left w:val="single" w:color="DADADA" w:sz="4"/>
              <w:bottom w:val="single" w:color="DADADA" w:sz="4"/>
              <w:right w:val="single" w:color="DADADA" w:sz="4"/>
            </w:tcBorders>
            <w:tcMar>
              <w:top w:type="dxa" w:w="80"/>
              <w:left w:type="dxa" w:w="120"/>
              <w:bottom w:type="dxa" w:w="80"/>
              <w:right w:type="dxa" w:w="120"/>
            </w:tcMar>
            <w:vAlign w:val="center"/>
          </w:tcPr>
          <w:p>
            <w:pPr>
              <w:jc w:val="right"/>
            </w:pPr>
            <w:r>
              <w:rPr>
                <w:rFonts w:ascii="Calibri" w:cs="Calibri" w:eastAsia="Calibri" w:hAnsi="Calibri"/>
                <w:color w:val="0E7C3A"/>
                <w:sz w:val="20"/>
                <w:szCs w:val="20"/>
              </w:rPr>
              <w:t xml:space="preserve">+0.0061</w:t>
            </w:r>
          </w:p>
        </w:tc>
        <w:tc>
          <w:tcPr>
            <w:tcW w:type="dxa" w:w="1980"/>
            <w:tcBorders>
              <w:top w:val="single" w:color="DADADA" w:sz="4"/>
              <w:left w:val="single" w:color="DADADA" w:sz="4"/>
              <w:bottom w:val="single" w:color="DADADA" w:sz="4"/>
              <w:right w:val="single" w:color="DADADA" w:sz="4"/>
            </w:tcBorders>
            <w:tcMar>
              <w:top w:type="dxa" w:w="80"/>
              <w:left w:type="dxa" w:w="120"/>
              <w:bottom w:type="dxa" w:w="80"/>
              <w:right w:type="dxa" w:w="120"/>
            </w:tcMar>
            <w:vAlign w:val="center"/>
          </w:tcPr>
          <w:p>
            <w:pPr>
              <w:jc w:val="right"/>
            </w:pPr>
            <w:r>
              <w:rPr>
                <w:rFonts w:ascii="Calibri" w:cs="Calibri" w:eastAsia="Calibri" w:hAnsi="Calibri"/>
                <w:b/>
                <w:bCs/>
                <w:color w:val="0E7C3A"/>
                <w:sz w:val="20"/>
                <w:szCs w:val="20"/>
              </w:rPr>
              <w:t xml:space="preserve">+0.53%</w:t>
            </w:r>
          </w:p>
        </w:tc>
      </w:tr>
      <w:tr>
        <w:tc>
          <w:tcPr>
            <w:tcW w:type="dxa" w:w="3000"/>
            <w:tcBorders>
              <w:top w:val="single" w:color="DADADA" w:sz="4"/>
              <w:left w:val="single" w:color="DADADA" w:sz="4"/>
              <w:bottom w:val="single" w:color="DADADA" w:sz="4"/>
              <w:right w:val="single" w:color="DADADA" w:sz="4"/>
            </w:tcBorders>
            <w:tcMar>
              <w:top w:type="dxa" w:w="80"/>
              <w:left w:type="dxa" w:w="120"/>
              <w:bottom w:type="dxa" w:w="80"/>
              <w:right w:type="dxa" w:w="120"/>
            </w:tcMar>
            <w:vAlign w:val="center"/>
          </w:tcPr>
          <w:p>
            <w:pPr>
              <w:spacing w:after="40" w:before="40"/>
              <w:jc w:val="left"/>
            </w:pPr>
            <w:r>
              <w:rPr>
                <w:rFonts w:ascii="Calibri" w:cs="Calibri" w:eastAsia="Calibri" w:hAnsi="Calibri"/>
                <w:b/>
                <w:bCs/>
                <w:color w:val="1A1A1A"/>
                <w:sz w:val="20"/>
                <w:szCs w:val="20"/>
              </w:rPr>
              <w:t xml:space="preserve">GBP/USD</w:t>
            </w:r>
          </w:p>
        </w:tc>
        <w:tc>
          <w:tcPr>
            <w:tcW w:type="dxa" w:w="2400"/>
            <w:tcBorders>
              <w:top w:val="single" w:color="DADADA" w:sz="4"/>
              <w:left w:val="single" w:color="DADADA" w:sz="4"/>
              <w:bottom w:val="single" w:color="DADADA" w:sz="4"/>
              <w:right w:val="single" w:color="DADADA" w:sz="4"/>
            </w:tcBorders>
            <w:tcMar>
              <w:top w:type="dxa" w:w="80"/>
              <w:left w:type="dxa" w:w="120"/>
              <w:bottom w:type="dxa" w:w="80"/>
              <w:right w:type="dxa" w:w="120"/>
            </w:tcMar>
            <w:vAlign w:val="center"/>
          </w:tcPr>
          <w:p>
            <w:pPr>
              <w:spacing w:after="40" w:before="40"/>
              <w:jc w:val="right"/>
            </w:pPr>
            <w:r>
              <w:rPr>
                <w:rFonts w:ascii="Calibri" w:cs="Calibri" w:eastAsia="Calibri" w:hAnsi="Calibri"/>
                <w:b w:val="false"/>
                <w:bCs w:val="false"/>
                <w:color w:val="1A1A1A"/>
                <w:sz w:val="20"/>
                <w:szCs w:val="20"/>
              </w:rPr>
              <w:t xml:space="preserve">1.3620</w:t>
            </w:r>
          </w:p>
        </w:tc>
        <w:tc>
          <w:tcPr>
            <w:tcW w:type="dxa" w:w="1980"/>
            <w:tcBorders>
              <w:top w:val="single" w:color="DADADA" w:sz="4"/>
              <w:left w:val="single" w:color="DADADA" w:sz="4"/>
              <w:bottom w:val="single" w:color="DADADA" w:sz="4"/>
              <w:right w:val="single" w:color="DADADA" w:sz="4"/>
            </w:tcBorders>
            <w:tcMar>
              <w:top w:type="dxa" w:w="80"/>
              <w:left w:type="dxa" w:w="120"/>
              <w:bottom w:type="dxa" w:w="80"/>
              <w:right w:type="dxa" w:w="120"/>
            </w:tcMar>
            <w:vAlign w:val="center"/>
          </w:tcPr>
          <w:p>
            <w:pPr>
              <w:jc w:val="right"/>
            </w:pPr>
            <w:r>
              <w:rPr>
                <w:rFonts w:ascii="Calibri" w:cs="Calibri" w:eastAsia="Calibri" w:hAnsi="Calibri"/>
                <w:color w:val="0E7C3A"/>
                <w:sz w:val="20"/>
                <w:szCs w:val="20"/>
              </w:rPr>
              <w:t xml:space="preserve">+0.0048</w:t>
            </w:r>
          </w:p>
        </w:tc>
        <w:tc>
          <w:tcPr>
            <w:tcW w:type="dxa" w:w="1980"/>
            <w:tcBorders>
              <w:top w:val="single" w:color="DADADA" w:sz="4"/>
              <w:left w:val="single" w:color="DADADA" w:sz="4"/>
              <w:bottom w:val="single" w:color="DADADA" w:sz="4"/>
              <w:right w:val="single" w:color="DADADA" w:sz="4"/>
            </w:tcBorders>
            <w:tcMar>
              <w:top w:type="dxa" w:w="80"/>
              <w:left w:type="dxa" w:w="120"/>
              <w:bottom w:type="dxa" w:w="80"/>
              <w:right w:type="dxa" w:w="120"/>
            </w:tcMar>
            <w:vAlign w:val="center"/>
          </w:tcPr>
          <w:p>
            <w:pPr>
              <w:jc w:val="right"/>
            </w:pPr>
            <w:r>
              <w:rPr>
                <w:rFonts w:ascii="Calibri" w:cs="Calibri" w:eastAsia="Calibri" w:hAnsi="Calibri"/>
                <w:b/>
                <w:bCs/>
                <w:color w:val="0E7C3A"/>
                <w:sz w:val="20"/>
                <w:szCs w:val="20"/>
              </w:rPr>
              <w:t xml:space="preserve">+0.35%</w:t>
            </w:r>
          </w:p>
        </w:tc>
      </w:tr>
      <w:tr>
        <w:tc>
          <w:tcPr>
            <w:tcW w:type="dxa" w:w="3000"/>
            <w:tcBorders>
              <w:top w:val="single" w:color="DADADA" w:sz="4"/>
              <w:left w:val="single" w:color="DADADA" w:sz="4"/>
              <w:bottom w:val="single" w:color="DADADA" w:sz="4"/>
              <w:right w:val="single" w:color="DADADA" w:sz="4"/>
            </w:tcBorders>
            <w:tcMar>
              <w:top w:type="dxa" w:w="80"/>
              <w:left w:type="dxa" w:w="120"/>
              <w:bottom w:type="dxa" w:w="80"/>
              <w:right w:type="dxa" w:w="120"/>
            </w:tcMar>
            <w:vAlign w:val="center"/>
          </w:tcPr>
          <w:p>
            <w:pPr>
              <w:spacing w:after="40" w:before="40"/>
              <w:jc w:val="left"/>
            </w:pPr>
            <w:r>
              <w:rPr>
                <w:rFonts w:ascii="Calibri" w:cs="Calibri" w:eastAsia="Calibri" w:hAnsi="Calibri"/>
                <w:b/>
                <w:bCs/>
                <w:color w:val="1A1A1A"/>
                <w:sz w:val="20"/>
                <w:szCs w:val="20"/>
              </w:rPr>
              <w:t xml:space="preserve">USD/JPY</w:t>
            </w:r>
          </w:p>
        </w:tc>
        <w:tc>
          <w:tcPr>
            <w:tcW w:type="dxa" w:w="2400"/>
            <w:tcBorders>
              <w:top w:val="single" w:color="DADADA" w:sz="4"/>
              <w:left w:val="single" w:color="DADADA" w:sz="4"/>
              <w:bottom w:val="single" w:color="DADADA" w:sz="4"/>
              <w:right w:val="single" w:color="DADADA" w:sz="4"/>
            </w:tcBorders>
            <w:tcMar>
              <w:top w:type="dxa" w:w="80"/>
              <w:left w:type="dxa" w:w="120"/>
              <w:bottom w:type="dxa" w:w="80"/>
              <w:right w:type="dxa" w:w="120"/>
            </w:tcMar>
            <w:vAlign w:val="center"/>
          </w:tcPr>
          <w:p>
            <w:pPr>
              <w:spacing w:after="40" w:before="40"/>
              <w:jc w:val="right"/>
            </w:pPr>
            <w:r>
              <w:rPr>
                <w:rFonts w:ascii="Calibri" w:cs="Calibri" w:eastAsia="Calibri" w:hAnsi="Calibri"/>
                <w:b w:val="false"/>
                <w:bCs w:val="false"/>
                <w:color w:val="1A1A1A"/>
                <w:sz w:val="20"/>
                <w:szCs w:val="20"/>
              </w:rPr>
              <w:t xml:space="preserve">156.41</w:t>
            </w:r>
          </w:p>
        </w:tc>
        <w:tc>
          <w:tcPr>
            <w:tcW w:type="dxa" w:w="1980"/>
            <w:tcBorders>
              <w:top w:val="single" w:color="DADADA" w:sz="4"/>
              <w:left w:val="single" w:color="DADADA" w:sz="4"/>
              <w:bottom w:val="single" w:color="DADADA" w:sz="4"/>
              <w:right w:val="single" w:color="DADADA" w:sz="4"/>
            </w:tcBorders>
            <w:tcMar>
              <w:top w:type="dxa" w:w="80"/>
              <w:left w:type="dxa" w:w="120"/>
              <w:bottom w:type="dxa" w:w="80"/>
              <w:right w:type="dxa" w:w="120"/>
            </w:tcMar>
            <w:vAlign w:val="center"/>
          </w:tcPr>
          <w:p>
            <w:pPr>
              <w:jc w:val="right"/>
            </w:pPr>
            <w:r>
              <w:rPr>
                <w:rFonts w:ascii="Calibri" w:cs="Calibri" w:eastAsia="Calibri" w:hAnsi="Calibri"/>
                <w:color w:val="B3261E"/>
                <w:sz w:val="20"/>
                <w:szCs w:val="20"/>
              </w:rPr>
              <w:t xml:space="preserve">−1.47</w:t>
            </w:r>
          </w:p>
        </w:tc>
        <w:tc>
          <w:tcPr>
            <w:tcW w:type="dxa" w:w="1980"/>
            <w:tcBorders>
              <w:top w:val="single" w:color="DADADA" w:sz="4"/>
              <w:left w:val="single" w:color="DADADA" w:sz="4"/>
              <w:bottom w:val="single" w:color="DADADA" w:sz="4"/>
              <w:right w:val="single" w:color="DADADA" w:sz="4"/>
            </w:tcBorders>
            <w:tcMar>
              <w:top w:type="dxa" w:w="80"/>
              <w:left w:type="dxa" w:w="120"/>
              <w:bottom w:type="dxa" w:w="80"/>
              <w:right w:type="dxa" w:w="120"/>
            </w:tcMar>
            <w:vAlign w:val="center"/>
          </w:tcPr>
          <w:p>
            <w:pPr>
              <w:jc w:val="right"/>
            </w:pPr>
            <w:r>
              <w:rPr>
                <w:rFonts w:ascii="Calibri" w:cs="Calibri" w:eastAsia="Calibri" w:hAnsi="Calibri"/>
                <w:b/>
                <w:bCs/>
                <w:color w:val="B3261E"/>
                <w:sz w:val="20"/>
                <w:szCs w:val="20"/>
              </w:rPr>
              <w:t xml:space="preserve">−0.93%</w:t>
            </w:r>
          </w:p>
        </w:tc>
      </w:tr>
      <w:tr>
        <w:tc>
          <w:tcPr>
            <w:tcW w:type="dxa" w:w="3000"/>
            <w:tcBorders>
              <w:top w:val="single" w:color="DADADA" w:sz="4"/>
              <w:left w:val="single" w:color="DADADA" w:sz="4"/>
              <w:bottom w:val="single" w:color="DADADA" w:sz="4"/>
              <w:right w:val="single" w:color="DADADA" w:sz="4"/>
            </w:tcBorders>
            <w:tcMar>
              <w:top w:type="dxa" w:w="80"/>
              <w:left w:type="dxa" w:w="120"/>
              <w:bottom w:type="dxa" w:w="80"/>
              <w:right w:type="dxa" w:w="120"/>
            </w:tcMar>
            <w:vAlign w:val="center"/>
          </w:tcPr>
          <w:p>
            <w:pPr>
              <w:spacing w:after="40" w:before="40"/>
              <w:jc w:val="left"/>
            </w:pPr>
            <w:r>
              <w:rPr>
                <w:rFonts w:ascii="Calibri" w:cs="Calibri" w:eastAsia="Calibri" w:hAnsi="Calibri"/>
                <w:b/>
                <w:bCs/>
                <w:color w:val="1A1A1A"/>
                <w:sz w:val="20"/>
                <w:szCs w:val="20"/>
              </w:rPr>
              <w:t xml:space="preserve">USD/CNY</w:t>
            </w:r>
          </w:p>
        </w:tc>
        <w:tc>
          <w:tcPr>
            <w:tcW w:type="dxa" w:w="2400"/>
            <w:tcBorders>
              <w:top w:val="single" w:color="DADADA" w:sz="4"/>
              <w:left w:val="single" w:color="DADADA" w:sz="4"/>
              <w:bottom w:val="single" w:color="DADADA" w:sz="4"/>
              <w:right w:val="single" w:color="DADADA" w:sz="4"/>
            </w:tcBorders>
            <w:tcMar>
              <w:top w:type="dxa" w:w="80"/>
              <w:left w:type="dxa" w:w="120"/>
              <w:bottom w:type="dxa" w:w="80"/>
              <w:right w:type="dxa" w:w="120"/>
            </w:tcMar>
            <w:vAlign w:val="center"/>
          </w:tcPr>
          <w:p>
            <w:pPr>
              <w:spacing w:after="40" w:before="40"/>
              <w:jc w:val="right"/>
            </w:pPr>
            <w:r>
              <w:rPr>
                <w:rFonts w:ascii="Calibri" w:cs="Calibri" w:eastAsia="Calibri" w:hAnsi="Calibri"/>
                <w:b w:val="false"/>
                <w:bCs w:val="false"/>
                <w:color w:val="1A1A1A"/>
                <w:sz w:val="20"/>
                <w:szCs w:val="20"/>
              </w:rPr>
              <w:t xml:space="preserve">7.158</w:t>
            </w:r>
          </w:p>
        </w:tc>
        <w:tc>
          <w:tcPr>
            <w:tcW w:type="dxa" w:w="1980"/>
            <w:tcBorders>
              <w:top w:val="single" w:color="DADADA" w:sz="4"/>
              <w:left w:val="single" w:color="DADADA" w:sz="4"/>
              <w:bottom w:val="single" w:color="DADADA" w:sz="4"/>
              <w:right w:val="single" w:color="DADADA" w:sz="4"/>
            </w:tcBorders>
            <w:tcMar>
              <w:top w:type="dxa" w:w="80"/>
              <w:left w:type="dxa" w:w="120"/>
              <w:bottom w:type="dxa" w:w="80"/>
              <w:right w:type="dxa" w:w="120"/>
            </w:tcMar>
            <w:vAlign w:val="center"/>
          </w:tcPr>
          <w:p>
            <w:pPr>
              <w:jc w:val="right"/>
            </w:pPr>
            <w:r>
              <w:rPr>
                <w:rFonts w:ascii="Calibri" w:cs="Calibri" w:eastAsia="Calibri" w:hAnsi="Calibri"/>
                <w:color w:val="B3261E"/>
                <w:sz w:val="20"/>
                <w:szCs w:val="20"/>
              </w:rPr>
              <w:t xml:space="preserve">−0.022</w:t>
            </w:r>
          </w:p>
        </w:tc>
        <w:tc>
          <w:tcPr>
            <w:tcW w:type="dxa" w:w="1980"/>
            <w:tcBorders>
              <w:top w:val="single" w:color="DADADA" w:sz="4"/>
              <w:left w:val="single" w:color="DADADA" w:sz="4"/>
              <w:bottom w:val="single" w:color="DADADA" w:sz="4"/>
              <w:right w:val="single" w:color="DADADA" w:sz="4"/>
            </w:tcBorders>
            <w:tcMar>
              <w:top w:type="dxa" w:w="80"/>
              <w:left w:type="dxa" w:w="120"/>
              <w:bottom w:type="dxa" w:w="80"/>
              <w:right w:type="dxa" w:w="120"/>
            </w:tcMar>
            <w:vAlign w:val="center"/>
          </w:tcPr>
          <w:p>
            <w:pPr>
              <w:jc w:val="right"/>
            </w:pPr>
            <w:r>
              <w:rPr>
                <w:rFonts w:ascii="Calibri" w:cs="Calibri" w:eastAsia="Calibri" w:hAnsi="Calibri"/>
                <w:b/>
                <w:bCs/>
                <w:color w:val="B3261E"/>
                <w:sz w:val="20"/>
                <w:szCs w:val="20"/>
              </w:rPr>
              <w:t xml:space="preserve">−0.31%</w:t>
            </w:r>
          </w:p>
        </w:tc>
      </w:tr>
      <w:tr>
        <w:tc>
          <w:tcPr>
            <w:tcW w:type="dxa" w:w="9360"/>
            <w:gridSpan w:val="4"/>
            <w:tcBorders>
              <w:top w:val="single" w:color="0B1F3A" w:sz="4"/>
              <w:left w:val="single" w:color="0B1F3A" w:sz="4"/>
              <w:bottom w:val="single" w:color="0B1F3A" w:sz="4"/>
              <w:right w:val="single" w:color="0B1F3A" w:sz="4"/>
            </w:tcBorders>
            <w:shd w:fill="C9A227" w:color="auto" w:val="clear"/>
            <w:tcMar>
              <w:top w:type="dxa" w:w="80"/>
              <w:left w:type="dxa" w:w="120"/>
              <w:bottom w:type="dxa" w:w="80"/>
              <w:right w:type="dxa" w:w="120"/>
            </w:tcMar>
          </w:tcPr>
          <w:p>
            <w:r>
              <w:rPr>
                <w:rFonts w:ascii="Calibri" w:cs="Calibri" w:eastAsia="Calibri" w:hAnsi="Calibri"/>
                <w:b/>
                <w:bCs/>
                <w:color w:val="07152A"/>
                <w:sz w:val="20"/>
                <w:szCs w:val="20"/>
              </w:rPr>
              <w:t xml:space="preserve">Commodities</w:t>
            </w:r>
          </w:p>
        </w:tc>
      </w:tr>
      <w:tr>
        <w:tc>
          <w:tcPr>
            <w:tcW w:type="dxa" w:w="3000"/>
            <w:tcBorders>
              <w:top w:val="single" w:color="DADADA" w:sz="4"/>
              <w:left w:val="single" w:color="DADADA" w:sz="4"/>
              <w:bottom w:val="single" w:color="DADADA" w:sz="4"/>
              <w:right w:val="single" w:color="DADADA" w:sz="4"/>
            </w:tcBorders>
            <w:tcMar>
              <w:top w:type="dxa" w:w="80"/>
              <w:left w:type="dxa" w:w="120"/>
              <w:bottom w:type="dxa" w:w="80"/>
              <w:right w:type="dxa" w:w="120"/>
            </w:tcMar>
            <w:vAlign w:val="center"/>
          </w:tcPr>
          <w:p>
            <w:pPr>
              <w:spacing w:after="40" w:before="40"/>
              <w:jc w:val="left"/>
            </w:pPr>
            <w:r>
              <w:rPr>
                <w:rFonts w:ascii="Calibri" w:cs="Calibri" w:eastAsia="Calibri" w:hAnsi="Calibri"/>
                <w:b/>
                <w:bCs/>
                <w:color w:val="1A1A1A"/>
                <w:sz w:val="20"/>
                <w:szCs w:val="20"/>
              </w:rPr>
              <w:t xml:space="preserve">WTI Crude</w:t>
            </w:r>
          </w:p>
        </w:tc>
        <w:tc>
          <w:tcPr>
            <w:tcW w:type="dxa" w:w="2400"/>
            <w:tcBorders>
              <w:top w:val="single" w:color="DADADA" w:sz="4"/>
              <w:left w:val="single" w:color="DADADA" w:sz="4"/>
              <w:bottom w:val="single" w:color="DADADA" w:sz="4"/>
              <w:right w:val="single" w:color="DADADA" w:sz="4"/>
            </w:tcBorders>
            <w:tcMar>
              <w:top w:type="dxa" w:w="80"/>
              <w:left w:type="dxa" w:w="120"/>
              <w:bottom w:type="dxa" w:w="80"/>
              <w:right w:type="dxa" w:w="120"/>
            </w:tcMar>
            <w:vAlign w:val="center"/>
          </w:tcPr>
          <w:p>
            <w:pPr>
              <w:spacing w:after="40" w:before="40"/>
              <w:jc w:val="right"/>
            </w:pPr>
            <w:r>
              <w:rPr>
                <w:rFonts w:ascii="Calibri" w:cs="Calibri" w:eastAsia="Calibri" w:hAnsi="Calibri"/>
                <w:b w:val="false"/>
                <w:bCs w:val="false"/>
                <w:color w:val="1A1A1A"/>
                <w:sz w:val="20"/>
                <w:szCs w:val="20"/>
              </w:rPr>
              <w:t xml:space="preserve">$95.22</w:t>
            </w:r>
          </w:p>
        </w:tc>
        <w:tc>
          <w:tcPr>
            <w:tcW w:type="dxa" w:w="1980"/>
            <w:tcBorders>
              <w:top w:val="single" w:color="DADADA" w:sz="4"/>
              <w:left w:val="single" w:color="DADADA" w:sz="4"/>
              <w:bottom w:val="single" w:color="DADADA" w:sz="4"/>
              <w:right w:val="single" w:color="DADADA" w:sz="4"/>
            </w:tcBorders>
            <w:tcMar>
              <w:top w:type="dxa" w:w="80"/>
              <w:left w:type="dxa" w:w="120"/>
              <w:bottom w:type="dxa" w:w="80"/>
              <w:right w:type="dxa" w:w="120"/>
            </w:tcMar>
            <w:vAlign w:val="center"/>
          </w:tcPr>
          <w:p>
            <w:pPr>
              <w:jc w:val="right"/>
            </w:pPr>
            <w:r>
              <w:rPr>
                <w:rFonts w:ascii="Calibri" w:cs="Calibri" w:eastAsia="Calibri" w:hAnsi="Calibri"/>
                <w:color w:val="B3261E"/>
                <w:sz w:val="20"/>
                <w:szCs w:val="20"/>
              </w:rPr>
              <w:t xml:space="preserve">−$7.10</w:t>
            </w:r>
          </w:p>
        </w:tc>
        <w:tc>
          <w:tcPr>
            <w:tcW w:type="dxa" w:w="1980"/>
            <w:tcBorders>
              <w:top w:val="single" w:color="DADADA" w:sz="4"/>
              <w:left w:val="single" w:color="DADADA" w:sz="4"/>
              <w:bottom w:val="single" w:color="DADADA" w:sz="4"/>
              <w:right w:val="single" w:color="DADADA" w:sz="4"/>
            </w:tcBorders>
            <w:tcMar>
              <w:top w:type="dxa" w:w="80"/>
              <w:left w:type="dxa" w:w="120"/>
              <w:bottom w:type="dxa" w:w="80"/>
              <w:right w:type="dxa" w:w="120"/>
            </w:tcMar>
            <w:vAlign w:val="center"/>
          </w:tcPr>
          <w:p>
            <w:pPr>
              <w:jc w:val="right"/>
            </w:pPr>
            <w:r>
              <w:rPr>
                <w:rFonts w:ascii="Calibri" w:cs="Calibri" w:eastAsia="Calibri" w:hAnsi="Calibri"/>
                <w:b/>
                <w:bCs/>
                <w:color w:val="B3261E"/>
                <w:sz w:val="20"/>
                <w:szCs w:val="20"/>
              </w:rPr>
              <w:t xml:space="preserve">−6.93%</w:t>
            </w:r>
          </w:p>
        </w:tc>
      </w:tr>
      <w:tr>
        <w:tc>
          <w:tcPr>
            <w:tcW w:type="dxa" w:w="3000"/>
            <w:tcBorders>
              <w:top w:val="single" w:color="DADADA" w:sz="4"/>
              <w:left w:val="single" w:color="DADADA" w:sz="4"/>
              <w:bottom w:val="single" w:color="DADADA" w:sz="4"/>
              <w:right w:val="single" w:color="DADADA" w:sz="4"/>
            </w:tcBorders>
            <w:tcMar>
              <w:top w:type="dxa" w:w="80"/>
              <w:left w:type="dxa" w:w="120"/>
              <w:bottom w:type="dxa" w:w="80"/>
              <w:right w:type="dxa" w:w="120"/>
            </w:tcMar>
            <w:vAlign w:val="center"/>
          </w:tcPr>
          <w:p>
            <w:pPr>
              <w:spacing w:after="40" w:before="40"/>
              <w:jc w:val="left"/>
            </w:pPr>
            <w:r>
              <w:rPr>
                <w:rFonts w:ascii="Calibri" w:cs="Calibri" w:eastAsia="Calibri" w:hAnsi="Calibri"/>
                <w:b/>
                <w:bCs/>
                <w:color w:val="1A1A1A"/>
                <w:sz w:val="20"/>
                <w:szCs w:val="20"/>
              </w:rPr>
              <w:t xml:space="preserve">Brent Crude</w:t>
            </w:r>
          </w:p>
        </w:tc>
        <w:tc>
          <w:tcPr>
            <w:tcW w:type="dxa" w:w="2400"/>
            <w:tcBorders>
              <w:top w:val="single" w:color="DADADA" w:sz="4"/>
              <w:left w:val="single" w:color="DADADA" w:sz="4"/>
              <w:bottom w:val="single" w:color="DADADA" w:sz="4"/>
              <w:right w:val="single" w:color="DADADA" w:sz="4"/>
            </w:tcBorders>
            <w:tcMar>
              <w:top w:type="dxa" w:w="80"/>
              <w:left w:type="dxa" w:w="120"/>
              <w:bottom w:type="dxa" w:w="80"/>
              <w:right w:type="dxa" w:w="120"/>
            </w:tcMar>
            <w:vAlign w:val="center"/>
          </w:tcPr>
          <w:p>
            <w:pPr>
              <w:spacing w:after="40" w:before="40"/>
              <w:jc w:val="right"/>
            </w:pPr>
            <w:r>
              <w:rPr>
                <w:rFonts w:ascii="Calibri" w:cs="Calibri" w:eastAsia="Calibri" w:hAnsi="Calibri"/>
                <w:b w:val="false"/>
                <w:bCs w:val="false"/>
                <w:color w:val="1A1A1A"/>
                <w:sz w:val="20"/>
                <w:szCs w:val="20"/>
              </w:rPr>
              <w:t xml:space="preserve">$103.23</w:t>
            </w:r>
          </w:p>
        </w:tc>
        <w:tc>
          <w:tcPr>
            <w:tcW w:type="dxa" w:w="1980"/>
            <w:tcBorders>
              <w:top w:val="single" w:color="DADADA" w:sz="4"/>
              <w:left w:val="single" w:color="DADADA" w:sz="4"/>
              <w:bottom w:val="single" w:color="DADADA" w:sz="4"/>
              <w:right w:val="single" w:color="DADADA" w:sz="4"/>
            </w:tcBorders>
            <w:tcMar>
              <w:top w:type="dxa" w:w="80"/>
              <w:left w:type="dxa" w:w="120"/>
              <w:bottom w:type="dxa" w:w="80"/>
              <w:right w:type="dxa" w:w="120"/>
            </w:tcMar>
            <w:vAlign w:val="center"/>
          </w:tcPr>
          <w:p>
            <w:pPr>
              <w:jc w:val="right"/>
            </w:pPr>
            <w:r>
              <w:rPr>
                <w:rFonts w:ascii="Calibri" w:cs="Calibri" w:eastAsia="Calibri" w:hAnsi="Calibri"/>
                <w:color w:val="B3261E"/>
                <w:sz w:val="20"/>
                <w:szCs w:val="20"/>
              </w:rPr>
              <w:t xml:space="preserve">−$6.55</w:t>
            </w:r>
          </w:p>
        </w:tc>
        <w:tc>
          <w:tcPr>
            <w:tcW w:type="dxa" w:w="1980"/>
            <w:tcBorders>
              <w:top w:val="single" w:color="DADADA" w:sz="4"/>
              <w:left w:val="single" w:color="DADADA" w:sz="4"/>
              <w:bottom w:val="single" w:color="DADADA" w:sz="4"/>
              <w:right w:val="single" w:color="DADADA" w:sz="4"/>
            </w:tcBorders>
            <w:tcMar>
              <w:top w:type="dxa" w:w="80"/>
              <w:left w:type="dxa" w:w="120"/>
              <w:bottom w:type="dxa" w:w="80"/>
              <w:right w:type="dxa" w:w="120"/>
            </w:tcMar>
            <w:vAlign w:val="center"/>
          </w:tcPr>
          <w:p>
            <w:pPr>
              <w:jc w:val="right"/>
            </w:pPr>
            <w:r>
              <w:rPr>
                <w:rFonts w:ascii="Calibri" w:cs="Calibri" w:eastAsia="Calibri" w:hAnsi="Calibri"/>
                <w:b/>
                <w:bCs/>
                <w:color w:val="B3261E"/>
                <w:sz w:val="20"/>
                <w:szCs w:val="20"/>
              </w:rPr>
              <w:t xml:space="preserve">−5.97%</w:t>
            </w:r>
          </w:p>
        </w:tc>
      </w:tr>
      <w:tr>
        <w:tc>
          <w:tcPr>
            <w:tcW w:type="dxa" w:w="3000"/>
            <w:tcBorders>
              <w:top w:val="single" w:color="DADADA" w:sz="4"/>
              <w:left w:val="single" w:color="DADADA" w:sz="4"/>
              <w:bottom w:val="single" w:color="DADADA" w:sz="4"/>
              <w:right w:val="single" w:color="DADADA" w:sz="4"/>
            </w:tcBorders>
            <w:tcMar>
              <w:top w:type="dxa" w:w="80"/>
              <w:left w:type="dxa" w:w="120"/>
              <w:bottom w:type="dxa" w:w="80"/>
              <w:right w:type="dxa" w:w="120"/>
            </w:tcMar>
            <w:vAlign w:val="center"/>
          </w:tcPr>
          <w:p>
            <w:pPr>
              <w:spacing w:after="40" w:before="40"/>
              <w:jc w:val="left"/>
            </w:pPr>
            <w:r>
              <w:rPr>
                <w:rFonts w:ascii="Calibri" w:cs="Calibri" w:eastAsia="Calibri" w:hAnsi="Calibri"/>
                <w:b/>
                <w:bCs/>
                <w:color w:val="1A1A1A"/>
                <w:sz w:val="20"/>
                <w:szCs w:val="20"/>
              </w:rPr>
              <w:t xml:space="preserve">Natural Gas (HH)</w:t>
            </w:r>
          </w:p>
        </w:tc>
        <w:tc>
          <w:tcPr>
            <w:tcW w:type="dxa" w:w="2400"/>
            <w:tcBorders>
              <w:top w:val="single" w:color="DADADA" w:sz="4"/>
              <w:left w:val="single" w:color="DADADA" w:sz="4"/>
              <w:bottom w:val="single" w:color="DADADA" w:sz="4"/>
              <w:right w:val="single" w:color="DADADA" w:sz="4"/>
            </w:tcBorders>
            <w:tcMar>
              <w:top w:type="dxa" w:w="80"/>
              <w:left w:type="dxa" w:w="120"/>
              <w:bottom w:type="dxa" w:w="80"/>
              <w:right w:type="dxa" w:w="120"/>
            </w:tcMar>
            <w:vAlign w:val="center"/>
          </w:tcPr>
          <w:p>
            <w:pPr>
              <w:spacing w:after="40" w:before="40"/>
              <w:jc w:val="right"/>
            </w:pPr>
            <w:r>
              <w:rPr>
                <w:rFonts w:ascii="Calibri" w:cs="Calibri" w:eastAsia="Calibri" w:hAnsi="Calibri"/>
                <w:b w:val="false"/>
                <w:bCs w:val="false"/>
                <w:color w:val="1A1A1A"/>
                <w:sz w:val="20"/>
                <w:szCs w:val="20"/>
              </w:rPr>
              <w:t xml:space="preserve">$3.84</w:t>
            </w:r>
          </w:p>
        </w:tc>
        <w:tc>
          <w:tcPr>
            <w:tcW w:type="dxa" w:w="1980"/>
            <w:tcBorders>
              <w:top w:val="single" w:color="DADADA" w:sz="4"/>
              <w:left w:val="single" w:color="DADADA" w:sz="4"/>
              <w:bottom w:val="single" w:color="DADADA" w:sz="4"/>
              <w:right w:val="single" w:color="DADADA" w:sz="4"/>
            </w:tcBorders>
            <w:tcMar>
              <w:top w:type="dxa" w:w="80"/>
              <w:left w:type="dxa" w:w="120"/>
              <w:bottom w:type="dxa" w:w="80"/>
              <w:right w:type="dxa" w:w="120"/>
            </w:tcMar>
            <w:vAlign w:val="center"/>
          </w:tcPr>
          <w:p>
            <w:pPr>
              <w:jc w:val="right"/>
            </w:pPr>
            <w:r>
              <w:rPr>
                <w:rFonts w:ascii="Calibri" w:cs="Calibri" w:eastAsia="Calibri" w:hAnsi="Calibri"/>
                <w:color w:val="B3261E"/>
                <w:sz w:val="20"/>
                <w:szCs w:val="20"/>
              </w:rPr>
              <w:t xml:space="preserve">−$0.09</w:t>
            </w:r>
          </w:p>
        </w:tc>
        <w:tc>
          <w:tcPr>
            <w:tcW w:type="dxa" w:w="1980"/>
            <w:tcBorders>
              <w:top w:val="single" w:color="DADADA" w:sz="4"/>
              <w:left w:val="single" w:color="DADADA" w:sz="4"/>
              <w:bottom w:val="single" w:color="DADADA" w:sz="4"/>
              <w:right w:val="single" w:color="DADADA" w:sz="4"/>
            </w:tcBorders>
            <w:tcMar>
              <w:top w:type="dxa" w:w="80"/>
              <w:left w:type="dxa" w:w="120"/>
              <w:bottom w:type="dxa" w:w="80"/>
              <w:right w:type="dxa" w:w="120"/>
            </w:tcMar>
            <w:vAlign w:val="center"/>
          </w:tcPr>
          <w:p>
            <w:pPr>
              <w:jc w:val="right"/>
            </w:pPr>
            <w:r>
              <w:rPr>
                <w:rFonts w:ascii="Calibri" w:cs="Calibri" w:eastAsia="Calibri" w:hAnsi="Calibri"/>
                <w:b/>
                <w:bCs/>
                <w:color w:val="B3261E"/>
                <w:sz w:val="20"/>
                <w:szCs w:val="20"/>
              </w:rPr>
              <w:t xml:space="preserve">−2.24%</w:t>
            </w:r>
          </w:p>
        </w:tc>
      </w:tr>
      <w:tr>
        <w:tc>
          <w:tcPr>
            <w:tcW w:type="dxa" w:w="3000"/>
            <w:tcBorders>
              <w:top w:val="single" w:color="DADADA" w:sz="4"/>
              <w:left w:val="single" w:color="DADADA" w:sz="4"/>
              <w:bottom w:val="single" w:color="DADADA" w:sz="4"/>
              <w:right w:val="single" w:color="DADADA" w:sz="4"/>
            </w:tcBorders>
            <w:tcMar>
              <w:top w:type="dxa" w:w="80"/>
              <w:left w:type="dxa" w:w="120"/>
              <w:bottom w:type="dxa" w:w="80"/>
              <w:right w:type="dxa" w:w="120"/>
            </w:tcMar>
            <w:vAlign w:val="center"/>
          </w:tcPr>
          <w:p>
            <w:pPr>
              <w:spacing w:after="40" w:before="40"/>
              <w:jc w:val="left"/>
            </w:pPr>
            <w:r>
              <w:rPr>
                <w:rFonts w:ascii="Calibri" w:cs="Calibri" w:eastAsia="Calibri" w:hAnsi="Calibri"/>
                <w:b/>
                <w:bCs/>
                <w:color w:val="1A1A1A"/>
                <w:sz w:val="20"/>
                <w:szCs w:val="20"/>
              </w:rPr>
              <w:t xml:space="preserve">Gold (spot)</w:t>
            </w:r>
          </w:p>
        </w:tc>
        <w:tc>
          <w:tcPr>
            <w:tcW w:type="dxa" w:w="2400"/>
            <w:tcBorders>
              <w:top w:val="single" w:color="DADADA" w:sz="4"/>
              <w:left w:val="single" w:color="DADADA" w:sz="4"/>
              <w:bottom w:val="single" w:color="DADADA" w:sz="4"/>
              <w:right w:val="single" w:color="DADADA" w:sz="4"/>
            </w:tcBorders>
            <w:tcMar>
              <w:top w:type="dxa" w:w="80"/>
              <w:left w:type="dxa" w:w="120"/>
              <w:bottom w:type="dxa" w:w="80"/>
              <w:right w:type="dxa" w:w="120"/>
            </w:tcMar>
            <w:vAlign w:val="center"/>
          </w:tcPr>
          <w:p>
            <w:pPr>
              <w:spacing w:after="40" w:before="40"/>
              <w:jc w:val="right"/>
            </w:pPr>
            <w:r>
              <w:rPr>
                <w:rFonts w:ascii="Calibri" w:cs="Calibri" w:eastAsia="Calibri" w:hAnsi="Calibri"/>
                <w:b w:val="false"/>
                <w:bCs w:val="false"/>
                <w:color w:val="1A1A1A"/>
                <w:sz w:val="20"/>
                <w:szCs w:val="20"/>
              </w:rPr>
              <w:t xml:space="preserve">$4,628</w:t>
            </w:r>
          </w:p>
        </w:tc>
        <w:tc>
          <w:tcPr>
            <w:tcW w:type="dxa" w:w="1980"/>
            <w:tcBorders>
              <w:top w:val="single" w:color="DADADA" w:sz="4"/>
              <w:left w:val="single" w:color="DADADA" w:sz="4"/>
              <w:bottom w:val="single" w:color="DADADA" w:sz="4"/>
              <w:right w:val="single" w:color="DADADA" w:sz="4"/>
            </w:tcBorders>
            <w:tcMar>
              <w:top w:type="dxa" w:w="80"/>
              <w:left w:type="dxa" w:w="120"/>
              <w:bottom w:type="dxa" w:w="80"/>
              <w:right w:type="dxa" w:w="120"/>
            </w:tcMar>
            <w:vAlign w:val="center"/>
          </w:tcPr>
          <w:p>
            <w:pPr>
              <w:jc w:val="right"/>
            </w:pPr>
            <w:r>
              <w:rPr>
                <w:rFonts w:ascii="Calibri" w:cs="Calibri" w:eastAsia="Calibri" w:hAnsi="Calibri"/>
                <w:color w:val="0E7C3A"/>
                <w:sz w:val="20"/>
                <w:szCs w:val="20"/>
              </w:rPr>
              <w:t xml:space="preserve">+$78</w:t>
            </w:r>
          </w:p>
        </w:tc>
        <w:tc>
          <w:tcPr>
            <w:tcW w:type="dxa" w:w="1980"/>
            <w:tcBorders>
              <w:top w:val="single" w:color="DADADA" w:sz="4"/>
              <w:left w:val="single" w:color="DADADA" w:sz="4"/>
              <w:bottom w:val="single" w:color="DADADA" w:sz="4"/>
              <w:right w:val="single" w:color="DADADA" w:sz="4"/>
            </w:tcBorders>
            <w:tcMar>
              <w:top w:type="dxa" w:w="80"/>
              <w:left w:type="dxa" w:w="120"/>
              <w:bottom w:type="dxa" w:w="80"/>
              <w:right w:type="dxa" w:w="120"/>
            </w:tcMar>
            <w:vAlign w:val="center"/>
          </w:tcPr>
          <w:p>
            <w:pPr>
              <w:jc w:val="right"/>
            </w:pPr>
            <w:r>
              <w:rPr>
                <w:rFonts w:ascii="Calibri" w:cs="Calibri" w:eastAsia="Calibri" w:hAnsi="Calibri"/>
                <w:b/>
                <w:bCs/>
                <w:color w:val="0E7C3A"/>
                <w:sz w:val="20"/>
                <w:szCs w:val="20"/>
              </w:rPr>
              <w:t xml:space="preserve">+1.71%</w:t>
            </w:r>
          </w:p>
        </w:tc>
      </w:tr>
      <w:tr>
        <w:tc>
          <w:tcPr>
            <w:tcW w:type="dxa" w:w="3000"/>
            <w:tcBorders>
              <w:top w:val="single" w:color="DADADA" w:sz="4"/>
              <w:left w:val="single" w:color="DADADA" w:sz="4"/>
              <w:bottom w:val="single" w:color="DADADA" w:sz="4"/>
              <w:right w:val="single" w:color="DADADA" w:sz="4"/>
            </w:tcBorders>
            <w:tcMar>
              <w:top w:type="dxa" w:w="80"/>
              <w:left w:type="dxa" w:w="120"/>
              <w:bottom w:type="dxa" w:w="80"/>
              <w:right w:type="dxa" w:w="120"/>
            </w:tcMar>
            <w:vAlign w:val="center"/>
          </w:tcPr>
          <w:p>
            <w:pPr>
              <w:spacing w:after="40" w:before="40"/>
              <w:jc w:val="left"/>
            </w:pPr>
            <w:r>
              <w:rPr>
                <w:rFonts w:ascii="Calibri" w:cs="Calibri" w:eastAsia="Calibri" w:hAnsi="Calibri"/>
                <w:b/>
                <w:bCs/>
                <w:color w:val="1A1A1A"/>
                <w:sz w:val="20"/>
                <w:szCs w:val="20"/>
              </w:rPr>
              <w:t xml:space="preserve">Silver (spot)</w:t>
            </w:r>
          </w:p>
        </w:tc>
        <w:tc>
          <w:tcPr>
            <w:tcW w:type="dxa" w:w="2400"/>
            <w:tcBorders>
              <w:top w:val="single" w:color="DADADA" w:sz="4"/>
              <w:left w:val="single" w:color="DADADA" w:sz="4"/>
              <w:bottom w:val="single" w:color="DADADA" w:sz="4"/>
              <w:right w:val="single" w:color="DADADA" w:sz="4"/>
            </w:tcBorders>
            <w:tcMar>
              <w:top w:type="dxa" w:w="80"/>
              <w:left w:type="dxa" w:w="120"/>
              <w:bottom w:type="dxa" w:w="80"/>
              <w:right w:type="dxa" w:w="120"/>
            </w:tcMar>
            <w:vAlign w:val="center"/>
          </w:tcPr>
          <w:p>
            <w:pPr>
              <w:spacing w:after="40" w:before="40"/>
              <w:jc w:val="right"/>
            </w:pPr>
            <w:r>
              <w:rPr>
                <w:rFonts w:ascii="Calibri" w:cs="Calibri" w:eastAsia="Calibri" w:hAnsi="Calibri"/>
                <w:b w:val="false"/>
                <w:bCs w:val="false"/>
                <w:color w:val="1A1A1A"/>
                <w:sz w:val="20"/>
                <w:szCs w:val="20"/>
              </w:rPr>
              <w:t xml:space="preserve">$77.40</w:t>
            </w:r>
          </w:p>
        </w:tc>
        <w:tc>
          <w:tcPr>
            <w:tcW w:type="dxa" w:w="1980"/>
            <w:tcBorders>
              <w:top w:val="single" w:color="DADADA" w:sz="4"/>
              <w:left w:val="single" w:color="DADADA" w:sz="4"/>
              <w:bottom w:val="single" w:color="DADADA" w:sz="4"/>
              <w:right w:val="single" w:color="DADADA" w:sz="4"/>
            </w:tcBorders>
            <w:tcMar>
              <w:top w:type="dxa" w:w="80"/>
              <w:left w:type="dxa" w:w="120"/>
              <w:bottom w:type="dxa" w:w="80"/>
              <w:right w:type="dxa" w:w="120"/>
            </w:tcMar>
            <w:vAlign w:val="center"/>
          </w:tcPr>
          <w:p>
            <w:pPr>
              <w:jc w:val="right"/>
            </w:pPr>
            <w:r>
              <w:rPr>
                <w:rFonts w:ascii="Calibri" w:cs="Calibri" w:eastAsia="Calibri" w:hAnsi="Calibri"/>
                <w:color w:val="0E7C3A"/>
                <w:sz w:val="20"/>
                <w:szCs w:val="20"/>
              </w:rPr>
              <w:t xml:space="preserve">+$4.40</w:t>
            </w:r>
          </w:p>
        </w:tc>
        <w:tc>
          <w:tcPr>
            <w:tcW w:type="dxa" w:w="1980"/>
            <w:tcBorders>
              <w:top w:val="single" w:color="DADADA" w:sz="4"/>
              <w:left w:val="single" w:color="DADADA" w:sz="4"/>
              <w:bottom w:val="single" w:color="DADADA" w:sz="4"/>
              <w:right w:val="single" w:color="DADADA" w:sz="4"/>
            </w:tcBorders>
            <w:tcMar>
              <w:top w:type="dxa" w:w="80"/>
              <w:left w:type="dxa" w:w="120"/>
              <w:bottom w:type="dxa" w:w="80"/>
              <w:right w:type="dxa" w:w="120"/>
            </w:tcMar>
            <w:vAlign w:val="center"/>
          </w:tcPr>
          <w:p>
            <w:pPr>
              <w:jc w:val="right"/>
            </w:pPr>
            <w:r>
              <w:rPr>
                <w:rFonts w:ascii="Calibri" w:cs="Calibri" w:eastAsia="Calibri" w:hAnsi="Calibri"/>
                <w:b/>
                <w:bCs/>
                <w:color w:val="0E7C3A"/>
                <w:sz w:val="20"/>
                <w:szCs w:val="20"/>
              </w:rPr>
              <w:t xml:space="preserve">+6.03%</w:t>
            </w:r>
          </w:p>
        </w:tc>
      </w:tr>
      <w:tr>
        <w:tc>
          <w:tcPr>
            <w:tcW w:type="dxa" w:w="3000"/>
            <w:tcBorders>
              <w:top w:val="single" w:color="DADADA" w:sz="4"/>
              <w:left w:val="single" w:color="DADADA" w:sz="4"/>
              <w:bottom w:val="single" w:color="DADADA" w:sz="4"/>
              <w:right w:val="single" w:color="DADADA" w:sz="4"/>
            </w:tcBorders>
            <w:tcMar>
              <w:top w:type="dxa" w:w="80"/>
              <w:left w:type="dxa" w:w="120"/>
              <w:bottom w:type="dxa" w:w="80"/>
              <w:right w:type="dxa" w:w="120"/>
            </w:tcMar>
            <w:vAlign w:val="center"/>
          </w:tcPr>
          <w:p>
            <w:pPr>
              <w:spacing w:after="40" w:before="40"/>
              <w:jc w:val="left"/>
            </w:pPr>
            <w:r>
              <w:rPr>
                <w:rFonts w:ascii="Calibri" w:cs="Calibri" w:eastAsia="Calibri" w:hAnsi="Calibri"/>
                <w:b/>
                <w:bCs/>
                <w:color w:val="1A1A1A"/>
                <w:sz w:val="20"/>
                <w:szCs w:val="20"/>
              </w:rPr>
              <w:t xml:space="preserve">Copper (Comex)</w:t>
            </w:r>
          </w:p>
        </w:tc>
        <w:tc>
          <w:tcPr>
            <w:tcW w:type="dxa" w:w="2400"/>
            <w:tcBorders>
              <w:top w:val="single" w:color="DADADA" w:sz="4"/>
              <w:left w:val="single" w:color="DADADA" w:sz="4"/>
              <w:bottom w:val="single" w:color="DADADA" w:sz="4"/>
              <w:right w:val="single" w:color="DADADA" w:sz="4"/>
            </w:tcBorders>
            <w:tcMar>
              <w:top w:type="dxa" w:w="80"/>
              <w:left w:type="dxa" w:w="120"/>
              <w:bottom w:type="dxa" w:w="80"/>
              <w:right w:type="dxa" w:w="120"/>
            </w:tcMar>
            <w:vAlign w:val="center"/>
          </w:tcPr>
          <w:p>
            <w:pPr>
              <w:spacing w:after="40" w:before="40"/>
              <w:jc w:val="right"/>
            </w:pPr>
            <w:r>
              <w:rPr>
                <w:rFonts w:ascii="Calibri" w:cs="Calibri" w:eastAsia="Calibri" w:hAnsi="Calibri"/>
                <w:b w:val="false"/>
                <w:bCs w:val="false"/>
                <w:color w:val="1A1A1A"/>
                <w:sz w:val="20"/>
                <w:szCs w:val="20"/>
              </w:rPr>
              <w:t xml:space="preserve">$5.92</w:t>
            </w:r>
          </w:p>
        </w:tc>
        <w:tc>
          <w:tcPr>
            <w:tcW w:type="dxa" w:w="1980"/>
            <w:tcBorders>
              <w:top w:val="single" w:color="DADADA" w:sz="4"/>
              <w:left w:val="single" w:color="DADADA" w:sz="4"/>
              <w:bottom w:val="single" w:color="DADADA" w:sz="4"/>
              <w:right w:val="single" w:color="DADADA" w:sz="4"/>
            </w:tcBorders>
            <w:tcMar>
              <w:top w:type="dxa" w:w="80"/>
              <w:left w:type="dxa" w:w="120"/>
              <w:bottom w:type="dxa" w:w="80"/>
              <w:right w:type="dxa" w:w="120"/>
            </w:tcMar>
            <w:vAlign w:val="center"/>
          </w:tcPr>
          <w:p>
            <w:pPr>
              <w:jc w:val="right"/>
            </w:pPr>
            <w:r>
              <w:rPr>
                <w:rFonts w:ascii="Calibri" w:cs="Calibri" w:eastAsia="Calibri" w:hAnsi="Calibri"/>
                <w:color w:val="0E7C3A"/>
                <w:sz w:val="20"/>
                <w:szCs w:val="20"/>
              </w:rPr>
              <w:t xml:space="preserve">+$0.04</w:t>
            </w:r>
          </w:p>
        </w:tc>
        <w:tc>
          <w:tcPr>
            <w:tcW w:type="dxa" w:w="1980"/>
            <w:tcBorders>
              <w:top w:val="single" w:color="DADADA" w:sz="4"/>
              <w:left w:val="single" w:color="DADADA" w:sz="4"/>
              <w:bottom w:val="single" w:color="DADADA" w:sz="4"/>
              <w:right w:val="single" w:color="DADADA" w:sz="4"/>
            </w:tcBorders>
            <w:tcMar>
              <w:top w:type="dxa" w:w="80"/>
              <w:left w:type="dxa" w:w="120"/>
              <w:bottom w:type="dxa" w:w="80"/>
              <w:right w:type="dxa" w:w="120"/>
            </w:tcMar>
            <w:vAlign w:val="center"/>
          </w:tcPr>
          <w:p>
            <w:pPr>
              <w:jc w:val="right"/>
            </w:pPr>
            <w:r>
              <w:rPr>
                <w:rFonts w:ascii="Calibri" w:cs="Calibri" w:eastAsia="Calibri" w:hAnsi="Calibri"/>
                <w:b/>
                <w:bCs/>
                <w:color w:val="0E7C3A"/>
                <w:sz w:val="20"/>
                <w:szCs w:val="20"/>
              </w:rPr>
              <w:t xml:space="preserve">+0.68%</w:t>
            </w:r>
          </w:p>
        </w:tc>
      </w:tr>
      <w:tr>
        <w:tc>
          <w:tcPr>
            <w:tcW w:type="dxa" w:w="9360"/>
            <w:gridSpan w:val="4"/>
            <w:tcBorders>
              <w:top w:val="single" w:color="0B1F3A" w:sz="4"/>
              <w:left w:val="single" w:color="0B1F3A" w:sz="4"/>
              <w:bottom w:val="single" w:color="0B1F3A" w:sz="4"/>
              <w:right w:val="single" w:color="0B1F3A" w:sz="4"/>
            </w:tcBorders>
            <w:shd w:fill="C9A227" w:color="auto" w:val="clear"/>
            <w:tcMar>
              <w:top w:type="dxa" w:w="80"/>
              <w:left w:type="dxa" w:w="120"/>
              <w:bottom w:type="dxa" w:w="80"/>
              <w:right w:type="dxa" w:w="120"/>
            </w:tcMar>
          </w:tcPr>
          <w:p>
            <w:r>
              <w:rPr>
                <w:rFonts w:ascii="Calibri" w:cs="Calibri" w:eastAsia="Calibri" w:hAnsi="Calibri"/>
                <w:b/>
                <w:bCs/>
                <w:color w:val="07152A"/>
                <w:sz w:val="20"/>
                <w:szCs w:val="20"/>
              </w:rPr>
              <w:t xml:space="preserve">Crypto</w:t>
            </w:r>
          </w:p>
        </w:tc>
      </w:tr>
      <w:tr>
        <w:tc>
          <w:tcPr>
            <w:tcW w:type="dxa" w:w="3000"/>
            <w:tcBorders>
              <w:top w:val="single" w:color="DADADA" w:sz="4"/>
              <w:left w:val="single" w:color="DADADA" w:sz="4"/>
              <w:bottom w:val="single" w:color="DADADA" w:sz="4"/>
              <w:right w:val="single" w:color="DADADA" w:sz="4"/>
            </w:tcBorders>
            <w:tcMar>
              <w:top w:type="dxa" w:w="80"/>
              <w:left w:type="dxa" w:w="120"/>
              <w:bottom w:type="dxa" w:w="80"/>
              <w:right w:type="dxa" w:w="120"/>
            </w:tcMar>
            <w:vAlign w:val="center"/>
          </w:tcPr>
          <w:p>
            <w:pPr>
              <w:spacing w:after="40" w:before="40"/>
              <w:jc w:val="left"/>
            </w:pPr>
            <w:r>
              <w:rPr>
                <w:rFonts w:ascii="Calibri" w:cs="Calibri" w:eastAsia="Calibri" w:hAnsi="Calibri"/>
                <w:b/>
                <w:bCs/>
                <w:color w:val="1A1A1A"/>
                <w:sz w:val="20"/>
                <w:szCs w:val="20"/>
              </w:rPr>
              <w:t xml:space="preserve">Bitcoin (BTC)</w:t>
            </w:r>
          </w:p>
        </w:tc>
        <w:tc>
          <w:tcPr>
            <w:tcW w:type="dxa" w:w="2400"/>
            <w:tcBorders>
              <w:top w:val="single" w:color="DADADA" w:sz="4"/>
              <w:left w:val="single" w:color="DADADA" w:sz="4"/>
              <w:bottom w:val="single" w:color="DADADA" w:sz="4"/>
              <w:right w:val="single" w:color="DADADA" w:sz="4"/>
            </w:tcBorders>
            <w:tcMar>
              <w:top w:type="dxa" w:w="80"/>
              <w:left w:type="dxa" w:w="120"/>
              <w:bottom w:type="dxa" w:w="80"/>
              <w:right w:type="dxa" w:w="120"/>
            </w:tcMar>
            <w:vAlign w:val="center"/>
          </w:tcPr>
          <w:p>
            <w:pPr>
              <w:spacing w:after="40" w:before="40"/>
              <w:jc w:val="right"/>
            </w:pPr>
            <w:r>
              <w:rPr>
                <w:rFonts w:ascii="Calibri" w:cs="Calibri" w:eastAsia="Calibri" w:hAnsi="Calibri"/>
                <w:b w:val="false"/>
                <w:bCs w:val="false"/>
                <w:color w:val="1A1A1A"/>
                <w:sz w:val="20"/>
                <w:szCs w:val="20"/>
              </w:rPr>
              <w:t xml:space="preserve">$82,305</w:t>
            </w:r>
          </w:p>
        </w:tc>
        <w:tc>
          <w:tcPr>
            <w:tcW w:type="dxa" w:w="1980"/>
            <w:tcBorders>
              <w:top w:val="single" w:color="DADADA" w:sz="4"/>
              <w:left w:val="single" w:color="DADADA" w:sz="4"/>
              <w:bottom w:val="single" w:color="DADADA" w:sz="4"/>
              <w:right w:val="single" w:color="DADADA" w:sz="4"/>
            </w:tcBorders>
            <w:tcMar>
              <w:top w:type="dxa" w:w="80"/>
              <w:left w:type="dxa" w:w="120"/>
              <w:bottom w:type="dxa" w:w="80"/>
              <w:right w:type="dxa" w:w="120"/>
            </w:tcMar>
            <w:vAlign w:val="center"/>
          </w:tcPr>
          <w:p>
            <w:pPr>
              <w:jc w:val="right"/>
            </w:pPr>
            <w:r>
              <w:rPr>
                <w:rFonts w:ascii="Calibri" w:cs="Calibri" w:eastAsia="Calibri" w:hAnsi="Calibri"/>
                <w:color w:val="0E7C3A"/>
                <w:sz w:val="20"/>
                <w:szCs w:val="20"/>
              </w:rPr>
              <w:t xml:space="preserve">+$1,050</w:t>
            </w:r>
          </w:p>
        </w:tc>
        <w:tc>
          <w:tcPr>
            <w:tcW w:type="dxa" w:w="1980"/>
            <w:tcBorders>
              <w:top w:val="single" w:color="DADADA" w:sz="4"/>
              <w:left w:val="single" w:color="DADADA" w:sz="4"/>
              <w:bottom w:val="single" w:color="DADADA" w:sz="4"/>
              <w:right w:val="single" w:color="DADADA" w:sz="4"/>
            </w:tcBorders>
            <w:tcMar>
              <w:top w:type="dxa" w:w="80"/>
              <w:left w:type="dxa" w:w="120"/>
              <w:bottom w:type="dxa" w:w="80"/>
              <w:right w:type="dxa" w:w="120"/>
            </w:tcMar>
            <w:vAlign w:val="center"/>
          </w:tcPr>
          <w:p>
            <w:pPr>
              <w:jc w:val="right"/>
            </w:pPr>
            <w:r>
              <w:rPr>
                <w:rFonts w:ascii="Calibri" w:cs="Calibri" w:eastAsia="Calibri" w:hAnsi="Calibri"/>
                <w:b/>
                <w:bCs/>
                <w:color w:val="0E7C3A"/>
                <w:sz w:val="20"/>
                <w:szCs w:val="20"/>
              </w:rPr>
              <w:t xml:space="preserve">+1.29%</w:t>
            </w:r>
          </w:p>
        </w:tc>
      </w:tr>
      <w:tr>
        <w:tc>
          <w:tcPr>
            <w:tcW w:type="dxa" w:w="3000"/>
            <w:tcBorders>
              <w:top w:val="single" w:color="DADADA" w:sz="4"/>
              <w:left w:val="single" w:color="DADADA" w:sz="4"/>
              <w:bottom w:val="single" w:color="DADADA" w:sz="4"/>
              <w:right w:val="single" w:color="DADADA" w:sz="4"/>
            </w:tcBorders>
            <w:tcMar>
              <w:top w:type="dxa" w:w="80"/>
              <w:left w:type="dxa" w:w="120"/>
              <w:bottom w:type="dxa" w:w="80"/>
              <w:right w:type="dxa" w:w="120"/>
            </w:tcMar>
            <w:vAlign w:val="center"/>
          </w:tcPr>
          <w:p>
            <w:pPr>
              <w:spacing w:after="40" w:before="40"/>
              <w:jc w:val="left"/>
            </w:pPr>
            <w:r>
              <w:rPr>
                <w:rFonts w:ascii="Calibri" w:cs="Calibri" w:eastAsia="Calibri" w:hAnsi="Calibri"/>
                <w:b/>
                <w:bCs/>
                <w:color w:val="1A1A1A"/>
                <w:sz w:val="20"/>
                <w:szCs w:val="20"/>
              </w:rPr>
              <w:t xml:space="preserve">Ethereum (ETH)</w:t>
            </w:r>
          </w:p>
        </w:tc>
        <w:tc>
          <w:tcPr>
            <w:tcW w:type="dxa" w:w="2400"/>
            <w:tcBorders>
              <w:top w:val="single" w:color="DADADA" w:sz="4"/>
              <w:left w:val="single" w:color="DADADA" w:sz="4"/>
              <w:bottom w:val="single" w:color="DADADA" w:sz="4"/>
              <w:right w:val="single" w:color="DADADA" w:sz="4"/>
            </w:tcBorders>
            <w:tcMar>
              <w:top w:type="dxa" w:w="80"/>
              <w:left w:type="dxa" w:w="120"/>
              <w:bottom w:type="dxa" w:w="80"/>
              <w:right w:type="dxa" w:w="120"/>
            </w:tcMar>
            <w:vAlign w:val="center"/>
          </w:tcPr>
          <w:p>
            <w:pPr>
              <w:spacing w:after="40" w:before="40"/>
              <w:jc w:val="right"/>
            </w:pPr>
            <w:r>
              <w:rPr>
                <w:rFonts w:ascii="Calibri" w:cs="Calibri" w:eastAsia="Calibri" w:hAnsi="Calibri"/>
                <w:b w:val="false"/>
                <w:bCs w:val="false"/>
                <w:color w:val="1A1A1A"/>
                <w:sz w:val="20"/>
                <w:szCs w:val="20"/>
              </w:rPr>
              <w:t xml:space="preserve">$2,412</w:t>
            </w:r>
          </w:p>
        </w:tc>
        <w:tc>
          <w:tcPr>
            <w:tcW w:type="dxa" w:w="1980"/>
            <w:tcBorders>
              <w:top w:val="single" w:color="DADADA" w:sz="4"/>
              <w:left w:val="single" w:color="DADADA" w:sz="4"/>
              <w:bottom w:val="single" w:color="DADADA" w:sz="4"/>
              <w:right w:val="single" w:color="DADADA" w:sz="4"/>
            </w:tcBorders>
            <w:tcMar>
              <w:top w:type="dxa" w:w="80"/>
              <w:left w:type="dxa" w:w="120"/>
              <w:bottom w:type="dxa" w:w="80"/>
              <w:right w:type="dxa" w:w="120"/>
            </w:tcMar>
            <w:vAlign w:val="center"/>
          </w:tcPr>
          <w:p>
            <w:pPr>
              <w:jc w:val="right"/>
            </w:pPr>
            <w:r>
              <w:rPr>
                <w:rFonts w:ascii="Calibri" w:cs="Calibri" w:eastAsia="Calibri" w:hAnsi="Calibri"/>
                <w:color w:val="0E7C3A"/>
                <w:sz w:val="20"/>
                <w:szCs w:val="20"/>
              </w:rPr>
              <w:t xml:space="preserve">+$45</w:t>
            </w:r>
          </w:p>
        </w:tc>
        <w:tc>
          <w:tcPr>
            <w:tcW w:type="dxa" w:w="1980"/>
            <w:tcBorders>
              <w:top w:val="single" w:color="DADADA" w:sz="4"/>
              <w:left w:val="single" w:color="DADADA" w:sz="4"/>
              <w:bottom w:val="single" w:color="DADADA" w:sz="4"/>
              <w:right w:val="single" w:color="DADADA" w:sz="4"/>
            </w:tcBorders>
            <w:tcMar>
              <w:top w:type="dxa" w:w="80"/>
              <w:left w:type="dxa" w:w="120"/>
              <w:bottom w:type="dxa" w:w="80"/>
              <w:right w:type="dxa" w:w="120"/>
            </w:tcMar>
            <w:vAlign w:val="center"/>
          </w:tcPr>
          <w:p>
            <w:pPr>
              <w:jc w:val="right"/>
            </w:pPr>
            <w:r>
              <w:rPr>
                <w:rFonts w:ascii="Calibri" w:cs="Calibri" w:eastAsia="Calibri" w:hAnsi="Calibri"/>
                <w:b/>
                <w:bCs/>
                <w:color w:val="0E7C3A"/>
                <w:sz w:val="20"/>
                <w:szCs w:val="20"/>
              </w:rPr>
              <w:t xml:space="preserve">+1.90%</w:t>
            </w:r>
          </w:p>
        </w:tc>
      </w:tr>
    </w:tbl>
    <w:p>
      <w:pPr>
        <w:spacing w:after="120" w:before="60" w:line="300"/>
        <w:jc w:val="left"/>
      </w:pPr>
      <w:r>
        <w:rPr>
          <w:rFonts w:ascii="Calibri" w:cs="Calibri" w:eastAsia="Calibri" w:hAnsi="Calibri"/>
          <w:b w:val="false"/>
          <w:bCs w:val="false"/>
          <w:i/>
          <w:iCs/>
          <w:color w:val="5A6273"/>
          <w:sz w:val="20"/>
          <w:szCs w:val="20"/>
        </w:rPr>
        <w:t xml:space="preserve">Sector leadership Tuesday (S&amp;P 500): Technology +1.61%, Communication Services +1.10%, Consumer Discretionary +0.94%, Financials +0.58%, Energy +0.46% (despite oil weakness), Real Estate +0.42%. Laggards: Utilities −0.18%, Staples −0.12%. Breadth was solid, with 78% of S&amp;P 500 names higher and the equal-weight S&amp;P outperforming the cap-weight by 18 bps — a clean signal of broadening leadership rather than concentrated mega-cap rallying.</w:t>
      </w:r>
    </w:p>
    <w:p>
      <w:pPr>
        <w:pStyle w:val="Heading1"/>
        <w:pBdr>
          <w:bottom w:val="single" w:color="C9A227" w:sz="12" w:space="4"/>
        </w:pBdr>
        <w:spacing w:after="160" w:before="360"/>
      </w:pPr>
      <w:r>
        <w:rPr>
          <w:rFonts w:ascii="Calibri" w:cs="Calibri" w:eastAsia="Calibri" w:hAnsi="Calibri"/>
          <w:b/>
          <w:bCs/>
          <w:color w:val="0B1F3A"/>
          <w:sz w:val="30"/>
          <w:szCs w:val="30"/>
        </w:rPr>
        <w:t xml:space="preserve">3. Top Stories</w:t>
      </w:r>
    </w:p>
    <w:p>
      <w:pPr>
        <w:spacing w:after="120" w:before="240"/>
      </w:pPr>
      <w:r>
        <w:rPr>
          <w:rFonts w:ascii="Calibri" w:cs="Calibri" w:eastAsia="Calibri" w:hAnsi="Calibri"/>
          <w:b/>
          <w:bCs/>
          <w:color w:val="0B1F3A"/>
          <w:sz w:val="26"/>
          <w:szCs w:val="26"/>
        </w:rPr>
        <w:t xml:space="preserve">U.S.–Iran on the Cusp: A Memorandum, Not Yet a Peace</w:t>
      </w:r>
    </w:p>
    <w:p>
      <w:pPr>
        <w:spacing w:after="120" w:before="60" w:line="300"/>
        <w:jc w:val="left"/>
      </w:pPr>
      <w:r>
        <w:rPr>
          <w:rFonts w:ascii="Calibri" w:cs="Calibri" w:eastAsia="Calibri" w:hAnsi="Calibri"/>
          <w:b w:val="false"/>
          <w:bCs w:val="false"/>
          <w:i w:val="false"/>
          <w:iCs w:val="false"/>
          <w:color w:val="1A1A1A"/>
          <w:sz w:val="22"/>
          <w:szCs w:val="22"/>
        </w:rPr>
        <w:t xml:space="preserve">The most market-moving sentence of the night came from Axios reporting that the White House believes it is close to agreement with Tehran on a one-page memorandum of understanding to halt the conflict and lay the groundwork for a more comprehensive nuclear deal. Iran is reviewing the U.S.-backed proposal through Pakistani mediators and a response is expected within days. President Trump confirmed overnight that the U.S. is pausing the naval escort initiative through the Strait of Hormuz — a tangible de-escalation, not a rhetorical one.</w:t>
      </w:r>
    </w:p>
    <w:p>
      <w:pPr>
        <w:spacing w:after="120" w:before="60" w:line="300"/>
        <w:jc w:val="left"/>
      </w:pPr>
      <w:r>
        <w:rPr>
          <w:rFonts w:ascii="Calibri" w:cs="Calibri" w:eastAsia="Calibri" w:hAnsi="Calibri"/>
          <w:b w:val="false"/>
          <w:bCs w:val="false"/>
          <w:i w:val="false"/>
          <w:iCs w:val="false"/>
          <w:color w:val="1A1A1A"/>
          <w:sz w:val="22"/>
          <w:szCs w:val="22"/>
        </w:rPr>
        <w:t xml:space="preserve">The mechanics matter. Roughly 23,000 mariners remain stranded in the Persian Gulf, freight rates on the VLCC Middle East Gulf-to-Asia route are still up 65% from pre-conflict levels, and tanker insurance war-risk premia are at multi-year highs. Even a verified ceasefire will take weeks to feed through to physical oil flows. That is precisely why the front of the WTI curve is where the action is — June futures are off nearly 7%, while the December 2026 contract is down only 3%. The market is repricing risk premium, not demand.</w:t>
      </w:r>
    </w:p>
    <w:p>
      <w:pPr>
        <w:spacing w:after="120" w:before="60" w:line="300"/>
        <w:jc w:val="left"/>
      </w:pPr>
      <w:r>
        <w:rPr>
          <w:rFonts w:ascii="Calibri" w:cs="Calibri" w:eastAsia="Calibri" w:hAnsi="Calibri"/>
          <w:b w:val="false"/>
          <w:bCs w:val="false"/>
          <w:i w:val="false"/>
          <w:iCs w:val="false"/>
          <w:color w:val="1A1A1A"/>
          <w:sz w:val="22"/>
          <w:szCs w:val="22"/>
        </w:rPr>
        <w:t xml:space="preserve">What to watch next: Iranian state media tone over the next 36 hours; an OPEC+ pause or accelerated unwind of voluntary cuts (rumors building of an 800k bpd add at the June 1 ministerial); and whether the U.S. removes the additional sanctions on Iranian oil exports it imposed in late March.</w:t>
      </w:r>
    </w:p>
    <w:p>
      <w:pPr>
        <w:spacing w:after="120" w:before="240"/>
      </w:pPr>
      <w:r>
        <w:rPr>
          <w:rFonts w:ascii="Calibri" w:cs="Calibri" w:eastAsia="Calibri" w:hAnsi="Calibri"/>
          <w:b/>
          <w:bCs/>
          <w:color w:val="0B1F3A"/>
          <w:sz w:val="26"/>
          <w:szCs w:val="26"/>
        </w:rPr>
        <w:t xml:space="preserve">AMD: A 16% Pop, Two Wall Street Reactions</w:t>
      </w:r>
    </w:p>
    <w:p>
      <w:pPr>
        <w:spacing w:after="120" w:before="60" w:line="300"/>
        <w:jc w:val="left"/>
      </w:pPr>
      <w:r>
        <w:rPr>
          <w:rFonts w:ascii="Calibri" w:cs="Calibri" w:eastAsia="Calibri" w:hAnsi="Calibri"/>
          <w:b w:val="false"/>
          <w:bCs w:val="false"/>
          <w:i w:val="false"/>
          <w:iCs w:val="false"/>
          <w:color w:val="1A1A1A"/>
          <w:sz w:val="22"/>
          <w:szCs w:val="22"/>
        </w:rPr>
        <w:t xml:space="preserve">Advanced Micro Devices' Q1 was the catalyst that turned a constructive tape into a record close. Revenue of $7.6 billion topped consensus by roughly 9%, but the headline number was MI300X-related data center revenue, which crossed $4 billion for the first time, up 92% year-on-year. CEO Lisa Su raised full-year MI300 guidance to "north of $14 billion" — a number that would have been almost unimaginable three quarters ago. The shares ripped 16% Tuesday and are indicated up another 1.5% this morning.</w:t>
      </w:r>
    </w:p>
    <w:p>
      <w:pPr>
        <w:spacing w:after="120" w:before="60" w:line="300"/>
        <w:jc w:val="left"/>
      </w:pPr>
      <w:r>
        <w:rPr>
          <w:rFonts w:ascii="Calibri" w:cs="Calibri" w:eastAsia="Calibri" w:hAnsi="Calibri"/>
          <w:b w:val="false"/>
          <w:bCs w:val="false"/>
          <w:i w:val="false"/>
          <w:iCs w:val="false"/>
          <w:color w:val="1A1A1A"/>
          <w:sz w:val="22"/>
          <w:szCs w:val="22"/>
        </w:rPr>
        <w:t xml:space="preserve">The Street is split. Goldman Sachs upgraded to Buy this morning and slammed the price target up to $450 from $240, calling AMD "the only credible second source of merchant accelerator silicon" and arguing the multiple should converge with NVDA on a forward basis. HSBC took the opposite view, downgrading to Hold and noting the stock now discounts a near-perfect MI300X execution and an MI400 launch on schedule. With the stock up 78% year-to-date and consensus implied earnings power for 2027 already double 2025, the bar is meaningfully higher.</w:t>
      </w:r>
    </w:p>
    <w:p>
      <w:pPr>
        <w:spacing w:after="120" w:before="60" w:line="300"/>
        <w:jc w:val="left"/>
      </w:pPr>
      <w:r>
        <w:rPr>
          <w:rFonts w:ascii="Calibri" w:cs="Calibri" w:eastAsia="Calibri" w:hAnsi="Calibri"/>
          <w:b w:val="false"/>
          <w:bCs w:val="false"/>
          <w:i w:val="false"/>
          <w:iCs w:val="false"/>
          <w:color w:val="1A1A1A"/>
          <w:sz w:val="22"/>
          <w:szCs w:val="22"/>
        </w:rPr>
        <w:t xml:space="preserve">What to watch next: NVDA earnings May 28 — any softness on China H20 visibility could amplify the AMD pin-action; supplier signal from TSMC's monthly revenue release (May 9), which will read through on AMD's CoWoS-S allocation.</w:t>
      </w:r>
    </w:p>
    <w:p>
      <w:pPr>
        <w:spacing w:after="120" w:before="240"/>
      </w:pPr>
      <w:r>
        <w:rPr>
          <w:rFonts w:ascii="Calibri" w:cs="Calibri" w:eastAsia="Calibri" w:hAnsi="Calibri"/>
          <w:b/>
          <w:bCs/>
          <w:color w:val="0B1F3A"/>
          <w:sz w:val="26"/>
          <w:szCs w:val="26"/>
        </w:rPr>
        <w:t xml:space="preserve">Powell's Last Lap: Warsh Inherits a Hawkish Dissent</w:t>
      </w:r>
    </w:p>
    <w:p>
      <w:pPr>
        <w:spacing w:after="120" w:before="60" w:line="300"/>
        <w:jc w:val="left"/>
      </w:pPr>
      <w:r>
        <w:rPr>
          <w:rFonts w:ascii="Calibri" w:cs="Calibri" w:eastAsia="Calibri" w:hAnsi="Calibri"/>
          <w:b w:val="false"/>
          <w:bCs w:val="false"/>
          <w:i w:val="false"/>
          <w:iCs w:val="false"/>
          <w:color w:val="1A1A1A"/>
          <w:sz w:val="22"/>
          <w:szCs w:val="22"/>
        </w:rPr>
        <w:t xml:space="preserve">Federal Reserve Chair Jerome Powell's term ends May 15, and Kevin Warsh is set to be sworn in the same day after the Senate confirmed him 51-49 along party lines last week. Warsh inherits a committee that voted 8-4 at the April meeting to hold the funds rate at 3.50%–3.75% — the most dissents at a single FOMC meeting since October 1992. Two governors voted to cut, two regional bank presidents voted to hike. The center is fragmenting precisely as headline CPI runs at 3.3% and oil-driven goods inflation is now a tailwind to the disinflation story.</w:t>
      </w:r>
    </w:p>
    <w:p>
      <w:pPr>
        <w:spacing w:after="120" w:before="60" w:line="300"/>
        <w:jc w:val="left"/>
      </w:pPr>
      <w:r>
        <w:rPr>
          <w:rFonts w:ascii="Calibri" w:cs="Calibri" w:eastAsia="Calibri" w:hAnsi="Calibri"/>
          <w:b w:val="false"/>
          <w:bCs w:val="false"/>
          <w:i w:val="false"/>
          <w:iCs w:val="false"/>
          <w:color w:val="1A1A1A"/>
          <w:sz w:val="22"/>
          <w:szCs w:val="22"/>
        </w:rPr>
        <w:t xml:space="preserve">Fed funds futures are now pricing in 23 bps of cuts by year-end, down from 38 bps a week ago, and a non-trivial 18% probability of a hike at the September meeting. Warsh has hinted in interviews that he believes the Fed's neutral rate is structurally higher than the 2.875% dot-plot median, which would make the current stance "barely restrictive" in his framing. The yield curve continues to defy expectations — the 2s10s spread sits at +50 bps, the steepest since 2022, and the 30-year is now anchored above 5% on term-premium reset rather than growth optimism.</w:t>
      </w:r>
    </w:p>
    <w:p>
      <w:pPr>
        <w:spacing w:after="120" w:before="60" w:line="300"/>
        <w:jc w:val="left"/>
      </w:pPr>
      <w:r>
        <w:rPr>
          <w:rFonts w:ascii="Calibri" w:cs="Calibri" w:eastAsia="Calibri" w:hAnsi="Calibri"/>
          <w:b w:val="false"/>
          <w:bCs w:val="false"/>
          <w:i w:val="false"/>
          <w:iCs w:val="false"/>
          <w:color w:val="1A1A1A"/>
          <w:sz w:val="22"/>
          <w:szCs w:val="22"/>
        </w:rPr>
        <w:t xml:space="preserve">What to watch next: Warsh's confirmation testimony Q&amp;A from last week is being parsed for clues; SF Fed's Mary Daly speaks tonight at 7:30 ET — she dissented dovishly in April. Any softening in her tone would be the first hint that the dissenters are isolated, not a swing bloc.</w:t>
      </w:r>
    </w:p>
    <w:p>
      <w:pPr>
        <w:spacing w:after="120" w:before="240"/>
      </w:pPr>
      <w:r>
        <w:rPr>
          <w:rFonts w:ascii="Calibri" w:cs="Calibri" w:eastAsia="Calibri" w:hAnsi="Calibri"/>
          <w:b/>
          <w:bCs/>
          <w:color w:val="0B1F3A"/>
          <w:sz w:val="26"/>
          <w:szCs w:val="26"/>
        </w:rPr>
        <w:t xml:space="preserve">Disney's Streaming Inflection — and the Bull Case for Linear</w:t>
      </w:r>
    </w:p>
    <w:p>
      <w:pPr>
        <w:spacing w:after="120" w:before="60" w:line="300"/>
        <w:jc w:val="left"/>
      </w:pPr>
      <w:r>
        <w:rPr>
          <w:rFonts w:ascii="Calibri" w:cs="Calibri" w:eastAsia="Calibri" w:hAnsi="Calibri"/>
          <w:b w:val="false"/>
          <w:bCs w:val="false"/>
          <w:i w:val="false"/>
          <w:iCs w:val="false"/>
          <w:color w:val="1A1A1A"/>
          <w:sz w:val="22"/>
          <w:szCs w:val="22"/>
        </w:rPr>
        <w:t xml:space="preserve">Disney shares closed up 7.8% Tuesday after fiscal Q2 results showed direct-to-consumer operating income of $315 million, beating consensus of $145 million, and Parks &amp; Experiences operating income up 11% year-on-year to $2.3 billion. The streaming bull case has finally arrived in the P&amp;L: Disney+ added 4.1 million net subscribers (consensus 1.8 million) and ARPU expanded 6% on price increases that did not provoke the churn many feared. Bob Iger upped FY26 EPS guidance to "high-teens growth" from "double-digit growth."</w:t>
      </w:r>
    </w:p>
    <w:p>
      <w:pPr>
        <w:spacing w:after="120" w:before="60" w:line="300"/>
        <w:jc w:val="left"/>
      </w:pPr>
      <w:r>
        <w:rPr>
          <w:rFonts w:ascii="Calibri" w:cs="Calibri" w:eastAsia="Calibri" w:hAnsi="Calibri"/>
          <w:b w:val="false"/>
          <w:bCs w:val="false"/>
          <w:i w:val="false"/>
          <w:iCs w:val="false"/>
          <w:color w:val="1A1A1A"/>
          <w:sz w:val="22"/>
          <w:szCs w:val="22"/>
        </w:rPr>
        <w:t xml:space="preserve">The non-obvious takeaway is the linear-TV commentary. Disney guided to traditional networks operating income down only 7% this year — a meaningful walk-back from prior "down 15-20%" framing. If linear cash flow is more resilient than feared, the strategic optionality on a Hulu Live or ESPN spin transaction increases. Watch for catalyst dates: ESPN Bet integration (June), the Hulu/Disney+ unified app (Q3 FY26), and renewed M&amp;A chatter around YouTube TV partnership.</w:t>
      </w:r>
    </w:p>
    <w:p>
      <w:pPr>
        <w:spacing w:after="120" w:before="60" w:line="300"/>
        <w:jc w:val="left"/>
      </w:pPr>
      <w:r>
        <w:rPr>
          <w:rFonts w:ascii="Calibri" w:cs="Calibri" w:eastAsia="Calibri" w:hAnsi="Calibri"/>
          <w:b w:val="false"/>
          <w:bCs w:val="false"/>
          <w:i w:val="false"/>
          <w:iCs w:val="false"/>
          <w:color w:val="1A1A1A"/>
          <w:sz w:val="22"/>
          <w:szCs w:val="22"/>
        </w:rPr>
        <w:t xml:space="preserve">Sector pin-action: Netflix down 1.4% after-hours on a sympathy-trade reversal; Comcast +0.8% as the linear-isn't-dead narrative supports cable; Live Nation +2.1% on parks-demand readthrough.</w:t>
      </w:r>
    </w:p>
    <w:p>
      <w:pPr>
        <w:spacing w:after="120" w:before="240"/>
      </w:pPr>
      <w:r>
        <w:rPr>
          <w:rFonts w:ascii="Calibri" w:cs="Calibri" w:eastAsia="Calibri" w:hAnsi="Calibri"/>
          <w:b/>
          <w:bCs/>
          <w:color w:val="0B1F3A"/>
          <w:sz w:val="26"/>
          <w:szCs w:val="26"/>
        </w:rPr>
        <w:t xml:space="preserve">China's Tepid Stimulus, Property's Slow Burn</w:t>
      </w:r>
    </w:p>
    <w:p>
      <w:pPr>
        <w:spacing w:after="120" w:before="60" w:line="300"/>
        <w:jc w:val="left"/>
      </w:pPr>
      <w:r>
        <w:rPr>
          <w:rFonts w:ascii="Calibri" w:cs="Calibri" w:eastAsia="Calibri" w:hAnsi="Calibri"/>
          <w:b w:val="false"/>
          <w:bCs w:val="false"/>
          <w:i w:val="false"/>
          <w:iCs w:val="false"/>
          <w:color w:val="1A1A1A"/>
          <w:sz w:val="22"/>
          <w:szCs w:val="22"/>
        </w:rPr>
        <w:t xml:space="preserve">Beijing released the long-awaited Politburo readout overnight: a 100bp RRR cut signaled, a 30bp policy-rate cut to follow, and a CNY 2 trillion (USD 280bn) special bond issuance for local government infrastructure. Markets had been hoping for property-specific demand-side stimulus and didn't get it — Hang Seng Mainland Properties Index opened up 4% but faded to +1.2% by the close. New home prices in 70 cities fell 0.4% month-on-month in April, the 22nd consecutive decline.</w:t>
      </w:r>
    </w:p>
    <w:p>
      <w:pPr>
        <w:spacing w:after="120" w:before="60" w:line="300"/>
        <w:jc w:val="left"/>
      </w:pPr>
      <w:r>
        <w:rPr>
          <w:rFonts w:ascii="Calibri" w:cs="Calibri" w:eastAsia="Calibri" w:hAnsi="Calibri"/>
          <w:b w:val="false"/>
          <w:bCs w:val="false"/>
          <w:i w:val="false"/>
          <w:iCs w:val="false"/>
          <w:color w:val="1A1A1A"/>
          <w:sz w:val="22"/>
          <w:szCs w:val="22"/>
        </w:rPr>
        <w:t xml:space="preserve">The macro implication is that China's policy stance is incremental, not aggressive. That has two cross-asset consequences: first, the renminbi can stabilize but won't strengthen materially (USD/CNY +0.3% lower today is a function of dollar weakness, not yuan strength); second, copper and iron ore are likely to remain rangebound until a credible property-demand package emerges. Copper's modest +0.7% today is the right tell — global growth proxy, capped by China caution.</w:t>
      </w:r>
    </w:p>
    <w:p>
      <w:pPr>
        <w:spacing w:after="120" w:before="60" w:line="300"/>
        <w:jc w:val="left"/>
      </w:pPr>
      <w:r>
        <w:rPr>
          <w:rFonts w:ascii="Calibri" w:cs="Calibri" w:eastAsia="Calibri" w:hAnsi="Calibri"/>
          <w:b w:val="false"/>
          <w:bCs w:val="false"/>
          <w:i w:val="false"/>
          <w:iCs w:val="false"/>
          <w:color w:val="1A1A1A"/>
          <w:sz w:val="22"/>
          <w:szCs w:val="22"/>
        </w:rPr>
        <w:t xml:space="preserve">What to watch next: Caixin Services PMI Friday (consensus 51.0, prior 51.4); China April export data Sunday — front-loading ahead of the August 1 "reciprocal tariff" deadline could distort prints in both directions.</w:t>
      </w:r>
    </w:p>
    <w:p>
      <w:pPr>
        <w:spacing w:after="120" w:before="240"/>
      </w:pPr>
      <w:r>
        <w:rPr>
          <w:rFonts w:ascii="Calibri" w:cs="Calibri" w:eastAsia="Calibri" w:hAnsi="Calibri"/>
          <w:b/>
          <w:bCs/>
          <w:color w:val="0B1F3A"/>
          <w:sz w:val="26"/>
          <w:szCs w:val="26"/>
        </w:rPr>
        <w:t xml:space="preserve">Credit Markets Whisper That The Risk Rally Is Real</w:t>
      </w:r>
    </w:p>
    <w:p>
      <w:pPr>
        <w:spacing w:after="120" w:before="60" w:line="300"/>
        <w:jc w:val="left"/>
      </w:pPr>
      <w:r>
        <w:rPr>
          <w:rFonts w:ascii="Calibri" w:cs="Calibri" w:eastAsia="Calibri" w:hAnsi="Calibri"/>
          <w:b w:val="false"/>
          <w:bCs w:val="false"/>
          <w:i w:val="false"/>
          <w:iCs w:val="false"/>
          <w:color w:val="1A1A1A"/>
          <w:sz w:val="22"/>
          <w:szCs w:val="22"/>
        </w:rPr>
        <w:t xml:space="preserve">The investment-grade CDX index tightened 4 bps to 52, the lowest since February, and high-yield CDX is in another 18 bps to 318 — well below the 400+ panic levels of late March. The HYG ETF is showing fund inflows for an 11th consecutive session, the longest streak since November 2023. Beneath the index level, the dispersion is fascinating: energy high-yield names are tighter by 35 bps as oil collapses (counterintuitive, but driven by improved refining margins and demand confidence), while CCC-rated retailers are still 80 bps wider than year-end as consumer-credit data softens.</w:t>
      </w:r>
    </w:p>
    <w:p>
      <w:pPr>
        <w:spacing w:after="120" w:before="60" w:line="300"/>
        <w:jc w:val="left"/>
      </w:pPr>
      <w:r>
        <w:rPr>
          <w:rFonts w:ascii="Calibri" w:cs="Calibri" w:eastAsia="Calibri" w:hAnsi="Calibri"/>
          <w:b w:val="false"/>
          <w:bCs w:val="false"/>
          <w:i w:val="false"/>
          <w:iCs w:val="false"/>
          <w:color w:val="1A1A1A"/>
          <w:sz w:val="22"/>
          <w:szCs w:val="22"/>
        </w:rPr>
        <w:t xml:space="preserve">Loan-only issuers are in the sweet spot. The leveraged loan index is yielding 8.7% versus 7.2% for HY bonds, with default rates by issuer count holding at 1.8% — meaningfully below the 2.5% cycle peak from last September. Dispersion in HY between BB and CCC is at 425 bps, near the wide end of the 5-year range. That is opportunity for bottom-up credit pickers and a warning sign for index-level passive exposure.</w:t>
      </w:r>
    </w:p>
    <w:p>
      <w:pPr>
        <w:spacing w:after="120" w:before="60" w:line="300"/>
        <w:jc w:val="left"/>
      </w:pPr>
      <w:r>
        <w:rPr>
          <w:rFonts w:ascii="Calibri" w:cs="Calibri" w:eastAsia="Calibri" w:hAnsi="Calibri"/>
          <w:b w:val="false"/>
          <w:bCs w:val="false"/>
          <w:i w:val="false"/>
          <w:iCs w:val="false"/>
          <w:color w:val="1A1A1A"/>
          <w:sz w:val="22"/>
          <w:szCs w:val="22"/>
        </w:rPr>
        <w:t xml:space="preserve">What to watch next: Tomorrow's $2.5bn LBO financing for Astrana Health from KKR — pricing will tell us where new-issue demand really is. A coupon below 8.5% would signal credit froth; above 9.25% would suggest the index is running ahead of the underlying.</w:t>
      </w:r>
    </w:p>
    <w:p>
      <w:pPr>
        <w:pStyle w:val="Heading1"/>
        <w:pBdr>
          <w:bottom w:val="single" w:color="C9A227" w:sz="12" w:space="4"/>
        </w:pBdr>
        <w:spacing w:after="160" w:before="360"/>
      </w:pPr>
      <w:r>
        <w:rPr>
          <w:rFonts w:ascii="Calibri" w:cs="Calibri" w:eastAsia="Calibri" w:hAnsi="Calibri"/>
          <w:b/>
          <w:bCs/>
          <w:color w:val="0B1F3A"/>
          <w:sz w:val="30"/>
          <w:szCs w:val="30"/>
        </w:rPr>
        <w:t xml:space="preserve">4. Macro &amp; Fed Watch</w:t>
      </w:r>
    </w:p>
    <w:p>
      <w:pPr>
        <w:spacing w:after="120" w:before="60" w:line="300"/>
        <w:jc w:val="left"/>
      </w:pPr>
      <w:r>
        <w:rPr>
          <w:rFonts w:ascii="Calibri" w:cs="Calibri" w:eastAsia="Calibri" w:hAnsi="Calibri"/>
          <w:b w:val="false"/>
          <w:bCs w:val="false"/>
          <w:i w:val="false"/>
          <w:iCs w:val="false"/>
          <w:color w:val="1A1A1A"/>
          <w:sz w:val="22"/>
          <w:szCs w:val="22"/>
        </w:rPr>
        <w:t xml:space="preserve">The April CPI print at 3.3% — the highest since May 2024 — was the report that hardened the dissent at the Fed. Core CPI is running at 3.5%, with super-core (services ex-housing) at 4.1%. The energy contribution to headline has been roughly +60 bps over the past three months; if today's oil collapse holds for two weeks, the May CPI could mechanically print 30-50 bps lower than otherwise. That is the single most important fundamental shift markets are pricing this morning, even more so than the geopolitical headline. A May CPI handle in the high-2s would meaningfully change the Fed's path.</w:t>
      </w:r>
    </w:p>
    <w:p>
      <w:pPr>
        <w:spacing w:after="120" w:before="60" w:line="300"/>
        <w:jc w:val="left"/>
      </w:pPr>
      <w:r>
        <w:rPr>
          <w:rFonts w:ascii="Calibri" w:cs="Calibri" w:eastAsia="Calibri" w:hAnsi="Calibri"/>
          <w:b w:val="false"/>
          <w:bCs w:val="false"/>
          <w:i w:val="false"/>
          <w:iCs w:val="false"/>
          <w:color w:val="1A1A1A"/>
          <w:sz w:val="22"/>
          <w:szCs w:val="22"/>
        </w:rPr>
        <w:t xml:space="preserve">Fed funds futures pricing as of 8:00 AM ET: zero probability of a cut at the May 28-29 meeting (no live meeting), 14% at June, 35% at July, 62% at September, with 23 bps total cuts priced by year-end. The September meeting still carries an 18% hike probability — a barbell market that won't resolve until Warsh sets the tone in his first FOMC press conference June 11. Daly's remarks tonight will be the first chance to read whether the dovish dissenters from April are isolated or whether more committee members are leaning their way.</w:t>
      </w:r>
    </w:p>
    <w:p>
      <w:pPr>
        <w:spacing w:after="120" w:before="60" w:line="300"/>
        <w:jc w:val="left"/>
      </w:pPr>
      <w:r>
        <w:rPr>
          <w:rFonts w:ascii="Calibri" w:cs="Calibri" w:eastAsia="Calibri" w:hAnsi="Calibri"/>
          <w:b w:val="false"/>
          <w:bCs w:val="false"/>
          <w:i w:val="false"/>
          <w:iCs w:val="false"/>
          <w:color w:val="1A1A1A"/>
          <w:sz w:val="22"/>
          <w:szCs w:val="22"/>
        </w:rPr>
        <w:t xml:space="preserve">The yield curve is communicating something interesting. The 2s10s steepened 6 bps yesterday to +50 bps, the steepest since June 2022. But the steepening is bear-driven at the long end (term premium reset) rather than bull-driven at the front end (rate-cut expectations). The 30Y minus 10Y spread is 61 bps, the widest of the cycle. Translation: the curve is pricing more inflation persistence and a higher fiscal premium, not more growth. With 10Y real yields at 2.05% and 30Y reals at 2.45%, the long end is one of the highest real yields in the developed world. A successful 10Y auction at 1:00 ET today would mute the deficit anxiety; a tail of more than 1.5 bps would feed it.</w:t>
      </w:r>
    </w:p>
    <w:p>
      <w:pPr>
        <w:spacing w:after="120" w:before="60" w:line="300"/>
        <w:jc w:val="left"/>
      </w:pPr>
      <w:r>
        <w:rPr>
          <w:rFonts w:ascii="Calibri" w:cs="Calibri" w:eastAsia="Calibri" w:hAnsi="Calibri"/>
          <w:b w:val="false"/>
          <w:bCs w:val="false"/>
          <w:i w:val="false"/>
          <w:iCs w:val="false"/>
          <w:color w:val="1A1A1A"/>
          <w:sz w:val="22"/>
          <w:szCs w:val="22"/>
        </w:rPr>
        <w:t xml:space="preserve">Inflation breakevens: 5Y at 2.62%, 10Y at 2.42%, 5Y5Y forward at 2.22%. The market is pricing the geopolitical premium out of the front-end breakevens (5Y down 8 bps yesterday) but holding the 5Y5Y firm — a textbook "transitory" pattern. Whether it stays that way depends on Iran follow-through and tomorrow's Atlanta Fed wage growth tracker.</w:t>
      </w:r>
    </w:p>
    <w:p>
      <w:pPr>
        <w:pStyle w:val="Heading1"/>
        <w:pBdr>
          <w:bottom w:val="single" w:color="C9A227" w:sz="12" w:space="4"/>
        </w:pBdr>
        <w:spacing w:after="160" w:before="360"/>
      </w:pPr>
      <w:r>
        <w:rPr>
          <w:rFonts w:ascii="Calibri" w:cs="Calibri" w:eastAsia="Calibri" w:hAnsi="Calibri"/>
          <w:b/>
          <w:bCs/>
          <w:color w:val="0B1F3A"/>
          <w:sz w:val="30"/>
          <w:szCs w:val="30"/>
        </w:rPr>
        <w:t xml:space="preserve">5. Economic Calendar — Today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300"/>
        <w:gridCol w:w="1500"/>
        <w:gridCol w:w="1500"/>
        <w:gridCol w:w="1860"/>
      </w:tblGrid>
      <w:tr>
        <w:trPr>
          <w:tblHeader/>
        </w:trPr>
        <w:tc>
          <w:tcPr>
            <w:tcW w:type="dxa" w:w="1200"/>
            <w:tcBorders>
              <w:top w:val="single" w:color="0B1F3A" w:sz="4"/>
              <w:left w:val="single" w:color="0B1F3A" w:sz="4"/>
              <w:bottom w:val="single" w:color="0B1F3A" w:sz="4"/>
              <w:right w:val="single" w:color="0B1F3A" w:sz="4"/>
            </w:tcBorders>
            <w:shd w:fill="0B1F3A" w:color="auto" w:val="clear"/>
            <w:tcMar>
              <w:top w:type="dxa" w:w="100"/>
              <w:left w:type="dxa" w:w="120"/>
              <w:bottom w:type="dxa" w:w="100"/>
              <w:right w:type="dxa" w:w="120"/>
            </w:tcMar>
          </w:tcPr>
          <w:p>
            <w:r>
              <w:rPr>
                <w:rFonts w:ascii="Calibri" w:cs="Calibri" w:eastAsia="Calibri" w:hAnsi="Calibri"/>
                <w:b/>
                <w:bCs/>
                <w:color w:val="FFFFFF"/>
                <w:sz w:val="20"/>
                <w:szCs w:val="20"/>
              </w:rPr>
              <w:t xml:space="preserve">Time (ET)</w:t>
            </w:r>
          </w:p>
        </w:tc>
        <w:tc>
          <w:tcPr>
            <w:tcW w:type="dxa" w:w="3300"/>
            <w:tcBorders>
              <w:top w:val="single" w:color="0B1F3A" w:sz="4"/>
              <w:left w:val="single" w:color="0B1F3A" w:sz="4"/>
              <w:bottom w:val="single" w:color="0B1F3A" w:sz="4"/>
              <w:right w:val="single" w:color="0B1F3A" w:sz="4"/>
            </w:tcBorders>
            <w:shd w:fill="0B1F3A" w:color="auto" w:val="clear"/>
            <w:tcMar>
              <w:top w:type="dxa" w:w="100"/>
              <w:left w:type="dxa" w:w="120"/>
              <w:bottom w:type="dxa" w:w="100"/>
              <w:right w:type="dxa" w:w="120"/>
            </w:tcMar>
          </w:tcPr>
          <w:p>
            <w:r>
              <w:rPr>
                <w:rFonts w:ascii="Calibri" w:cs="Calibri" w:eastAsia="Calibri" w:hAnsi="Calibri"/>
                <w:b/>
                <w:bCs/>
                <w:color w:val="FFFFFF"/>
                <w:sz w:val="20"/>
                <w:szCs w:val="20"/>
              </w:rPr>
              <w:t xml:space="preserve">Indicator</w:t>
            </w:r>
          </w:p>
        </w:tc>
        <w:tc>
          <w:tcPr>
            <w:tcW w:type="dxa" w:w="1500"/>
            <w:tcBorders>
              <w:top w:val="single" w:color="0B1F3A" w:sz="4"/>
              <w:left w:val="single" w:color="0B1F3A" w:sz="4"/>
              <w:bottom w:val="single" w:color="0B1F3A" w:sz="4"/>
              <w:right w:val="single" w:color="0B1F3A" w:sz="4"/>
            </w:tcBorders>
            <w:shd w:fill="0B1F3A" w:color="auto" w:val="clear"/>
            <w:tcMar>
              <w:top w:type="dxa" w:w="100"/>
              <w:left w:type="dxa" w:w="120"/>
              <w:bottom w:type="dxa" w:w="100"/>
              <w:right w:type="dxa" w:w="120"/>
            </w:tcMar>
          </w:tcPr>
          <w:p>
            <w:r>
              <w:rPr>
                <w:rFonts w:ascii="Calibri" w:cs="Calibri" w:eastAsia="Calibri" w:hAnsi="Calibri"/>
                <w:b/>
                <w:bCs/>
                <w:color w:val="FFFFFF"/>
                <w:sz w:val="20"/>
                <w:szCs w:val="20"/>
              </w:rPr>
              <w:t xml:space="preserve">Prior</w:t>
            </w:r>
          </w:p>
        </w:tc>
        <w:tc>
          <w:tcPr>
            <w:tcW w:type="dxa" w:w="1500"/>
            <w:tcBorders>
              <w:top w:val="single" w:color="0B1F3A" w:sz="4"/>
              <w:left w:val="single" w:color="0B1F3A" w:sz="4"/>
              <w:bottom w:val="single" w:color="0B1F3A" w:sz="4"/>
              <w:right w:val="single" w:color="0B1F3A" w:sz="4"/>
            </w:tcBorders>
            <w:shd w:fill="0B1F3A" w:color="auto" w:val="clear"/>
            <w:tcMar>
              <w:top w:type="dxa" w:w="100"/>
              <w:left w:type="dxa" w:w="120"/>
              <w:bottom w:type="dxa" w:w="100"/>
              <w:right w:type="dxa" w:w="120"/>
            </w:tcMar>
          </w:tcPr>
          <w:p>
            <w:r>
              <w:rPr>
                <w:rFonts w:ascii="Calibri" w:cs="Calibri" w:eastAsia="Calibri" w:hAnsi="Calibri"/>
                <w:b/>
                <w:bCs/>
                <w:color w:val="FFFFFF"/>
                <w:sz w:val="20"/>
                <w:szCs w:val="20"/>
              </w:rPr>
              <w:t xml:space="preserve">Consensus</w:t>
            </w:r>
          </w:p>
        </w:tc>
        <w:tc>
          <w:tcPr>
            <w:tcW w:type="dxa" w:w="1860"/>
            <w:tcBorders>
              <w:top w:val="single" w:color="0B1F3A" w:sz="4"/>
              <w:left w:val="single" w:color="0B1F3A" w:sz="4"/>
              <w:bottom w:val="single" w:color="0B1F3A" w:sz="4"/>
              <w:right w:val="single" w:color="0B1F3A" w:sz="4"/>
            </w:tcBorders>
            <w:shd w:fill="0B1F3A" w:color="auto" w:val="clear"/>
            <w:tcMar>
              <w:top w:type="dxa" w:w="100"/>
              <w:left w:type="dxa" w:w="120"/>
              <w:bottom w:type="dxa" w:w="100"/>
              <w:right w:type="dxa" w:w="120"/>
            </w:tcMar>
          </w:tcPr>
          <w:p>
            <w:r>
              <w:rPr>
                <w:rFonts w:ascii="Calibri" w:cs="Calibri" w:eastAsia="Calibri" w:hAnsi="Calibri"/>
                <w:b/>
                <w:bCs/>
                <w:color w:val="FFFFFF"/>
                <w:sz w:val="20"/>
                <w:szCs w:val="20"/>
              </w:rPr>
              <w:t xml:space="preserve">Why It Matters</w:t>
            </w:r>
          </w:p>
        </w:tc>
      </w:tr>
      <w:tr>
        <w:tc>
          <w:tcPr>
            <w:tcW w:type="dxa" w:w="1200"/>
            <w:tcBorders>
              <w:top w:val="single" w:color="DADADA" w:sz="4"/>
              <w:left w:val="single" w:color="DADADA" w:sz="4"/>
              <w:bottom w:val="single" w:color="DADADA" w:sz="4"/>
              <w:right w:val="single" w:color="DADADA" w:sz="4"/>
            </w:tcBorders>
            <w:shd w:fill="F7F8FA" w:color="auto" w:val="clear"/>
            <w:tcMar>
              <w:top w:type="dxa" w:w="80"/>
              <w:left w:type="dxa" w:w="120"/>
              <w:bottom w:type="dxa" w:w="80"/>
              <w:right w:type="dxa" w:w="120"/>
            </w:tcMar>
            <w:vAlign w:val="center"/>
          </w:tcPr>
          <w:p>
            <w:pPr>
              <w:jc w:val="left"/>
            </w:pPr>
            <w:r>
              <w:rPr>
                <w:rFonts w:ascii="Calibri" w:cs="Calibri" w:eastAsia="Calibri" w:hAnsi="Calibri"/>
                <w:b/>
                <w:bCs/>
                <w:color w:val="1A1A1A"/>
                <w:sz w:val="19"/>
                <w:szCs w:val="19"/>
              </w:rPr>
              <w:t xml:space="preserve">7:00 AM</w:t>
            </w:r>
          </w:p>
        </w:tc>
        <w:tc>
          <w:tcPr>
            <w:tcW w:type="dxa" w:w="3300"/>
            <w:tcBorders>
              <w:top w:val="single" w:color="DADADA" w:sz="4"/>
              <w:left w:val="single" w:color="DADADA" w:sz="4"/>
              <w:bottom w:val="single" w:color="DADADA" w:sz="4"/>
              <w:right w:val="single" w:color="DADADA" w:sz="4"/>
            </w:tcBorders>
            <w:shd w:fill="F7F8FA" w:color="auto" w:val="clear"/>
            <w:tcMar>
              <w:top w:type="dxa" w:w="80"/>
              <w:left w:type="dxa" w:w="120"/>
              <w:bottom w:type="dxa" w:w="80"/>
              <w:right w:type="dxa" w:w="120"/>
            </w:tcMar>
            <w:vAlign w:val="center"/>
          </w:tcPr>
          <w:p>
            <w:pPr>
              <w:jc w:val="left"/>
            </w:pPr>
            <w:r>
              <w:rPr>
                <w:rFonts w:ascii="Calibri" w:cs="Calibri" w:eastAsia="Calibri" w:hAnsi="Calibri"/>
                <w:b/>
                <w:bCs/>
                <w:color w:val="1A1A1A"/>
                <w:sz w:val="19"/>
                <w:szCs w:val="19"/>
              </w:rPr>
              <w:t xml:space="preserve">MBA Mortgage Applications (w/e May 1)</w:t>
            </w:r>
          </w:p>
        </w:tc>
        <w:tc>
          <w:tcPr>
            <w:tcW w:type="dxa" w:w="1500"/>
            <w:tcBorders>
              <w:top w:val="single" w:color="DADADA" w:sz="4"/>
              <w:left w:val="single" w:color="DADADA" w:sz="4"/>
              <w:bottom w:val="single" w:color="DADADA" w:sz="4"/>
              <w:right w:val="single" w:color="DADADA" w:sz="4"/>
            </w:tcBorders>
            <w:shd w:fill="F7F8FA"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−4.2%</w:t>
            </w:r>
          </w:p>
        </w:tc>
        <w:tc>
          <w:tcPr>
            <w:tcW w:type="dxa" w:w="1500"/>
            <w:tcBorders>
              <w:top w:val="single" w:color="DADADA" w:sz="4"/>
              <w:left w:val="single" w:color="DADADA" w:sz="4"/>
              <w:bottom w:val="single" w:color="DADADA" w:sz="4"/>
              <w:right w:val="single" w:color="DADADA" w:sz="4"/>
            </w:tcBorders>
            <w:shd w:fill="F7F8FA"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w:t>
            </w:r>
          </w:p>
        </w:tc>
        <w:tc>
          <w:tcPr>
            <w:tcW w:type="dxa" w:w="1860"/>
            <w:tcBorders>
              <w:top w:val="single" w:color="DADADA" w:sz="4"/>
              <w:left w:val="single" w:color="DADADA" w:sz="4"/>
              <w:bottom w:val="single" w:color="DADADA" w:sz="4"/>
              <w:right w:val="single" w:color="DADADA" w:sz="4"/>
            </w:tcBorders>
            <w:shd w:fill="F7F8FA"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Reads consumer rate sensitivity as 30Y mortgage hovers near 7.10%.</w:t>
            </w:r>
          </w:p>
        </w:tc>
      </w:tr>
      <w:tr>
        <w:tc>
          <w:tcPr>
            <w:tcW w:type="dxa" w:w="1200"/>
            <w:tcBorders>
              <w:top w:val="single" w:color="DADADA" w:sz="4"/>
              <w:left w:val="single" w:color="DADADA" w:sz="4"/>
              <w:bottom w:val="single" w:color="DADADA" w:sz="4"/>
              <w:right w:val="single" w:color="DADADA" w:sz="4"/>
            </w:tcBorders>
            <w:tcMar>
              <w:top w:type="dxa" w:w="80"/>
              <w:left w:type="dxa" w:w="120"/>
              <w:bottom w:type="dxa" w:w="80"/>
              <w:right w:type="dxa" w:w="120"/>
            </w:tcMar>
            <w:vAlign w:val="center"/>
          </w:tcPr>
          <w:p>
            <w:pPr>
              <w:jc w:val="left"/>
            </w:pPr>
            <w:r>
              <w:rPr>
                <w:rFonts w:ascii="Calibri" w:cs="Calibri" w:eastAsia="Calibri" w:hAnsi="Calibri"/>
                <w:b/>
                <w:bCs/>
                <w:color w:val="1A1A1A"/>
                <w:sz w:val="19"/>
                <w:szCs w:val="19"/>
              </w:rPr>
              <w:t xml:space="preserve">8:15 AM</w:t>
            </w:r>
          </w:p>
        </w:tc>
        <w:tc>
          <w:tcPr>
            <w:tcW w:type="dxa" w:w="3300"/>
            <w:tcBorders>
              <w:top w:val="single" w:color="DADADA" w:sz="4"/>
              <w:left w:val="single" w:color="DADADA" w:sz="4"/>
              <w:bottom w:val="single" w:color="DADADA" w:sz="4"/>
              <w:right w:val="single" w:color="DADADA" w:sz="4"/>
            </w:tcBorders>
            <w:tcMar>
              <w:top w:type="dxa" w:w="80"/>
              <w:left w:type="dxa" w:w="120"/>
              <w:bottom w:type="dxa" w:w="80"/>
              <w:right w:type="dxa" w:w="120"/>
            </w:tcMar>
            <w:vAlign w:val="center"/>
          </w:tcPr>
          <w:p>
            <w:pPr>
              <w:jc w:val="left"/>
            </w:pPr>
            <w:r>
              <w:rPr>
                <w:rFonts w:ascii="Calibri" w:cs="Calibri" w:eastAsia="Calibri" w:hAnsi="Calibri"/>
                <w:b/>
                <w:bCs/>
                <w:color w:val="1A1A1A"/>
                <w:sz w:val="19"/>
                <w:szCs w:val="19"/>
              </w:rPr>
              <w:t xml:space="preserve">ADP Private Payrolls (Apr)</w:t>
            </w:r>
          </w:p>
        </w:tc>
        <w:tc>
          <w:tcPr>
            <w:tcW w:type="dxa" w:w="1500"/>
            <w:tcBorders>
              <w:top w:val="single" w:color="DADADA" w:sz="4"/>
              <w:left w:val="single" w:color="DADADA" w:sz="4"/>
              <w:bottom w:val="single" w:color="DADADA" w:sz="4"/>
              <w:right w:val="single" w:color="DADADA" w:sz="4"/>
            </w:tcBorders>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+155k</w:t>
            </w:r>
          </w:p>
        </w:tc>
        <w:tc>
          <w:tcPr>
            <w:tcW w:type="dxa" w:w="1500"/>
            <w:tcBorders>
              <w:top w:val="single" w:color="DADADA" w:sz="4"/>
              <w:left w:val="single" w:color="DADADA" w:sz="4"/>
              <w:bottom w:val="single" w:color="DADADA" w:sz="4"/>
              <w:right w:val="single" w:color="DADADA" w:sz="4"/>
            </w:tcBorders>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+125k</w:t>
            </w:r>
          </w:p>
        </w:tc>
        <w:tc>
          <w:tcPr>
            <w:tcW w:type="dxa" w:w="1860"/>
            <w:tcBorders>
              <w:top w:val="single" w:color="DADADA" w:sz="4"/>
              <w:left w:val="single" w:color="DADADA" w:sz="4"/>
              <w:bottom w:val="single" w:color="DADADA" w:sz="4"/>
              <w:right w:val="single" w:color="DADADA" w:sz="4"/>
            </w:tcBorders>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Read-through to Friday's BLS jobs report; weakness shifts the cuts narrative.</w:t>
            </w:r>
          </w:p>
        </w:tc>
      </w:tr>
      <w:tr>
        <w:tc>
          <w:tcPr>
            <w:tcW w:type="dxa" w:w="1200"/>
            <w:tcBorders>
              <w:top w:val="single" w:color="DADADA" w:sz="4"/>
              <w:left w:val="single" w:color="DADADA" w:sz="4"/>
              <w:bottom w:val="single" w:color="DADADA" w:sz="4"/>
              <w:right w:val="single" w:color="DADADA" w:sz="4"/>
            </w:tcBorders>
            <w:shd w:fill="F7F8FA" w:color="auto" w:val="clear"/>
            <w:tcMar>
              <w:top w:type="dxa" w:w="80"/>
              <w:left w:type="dxa" w:w="120"/>
              <w:bottom w:type="dxa" w:w="80"/>
              <w:right w:type="dxa" w:w="120"/>
            </w:tcMar>
            <w:vAlign w:val="center"/>
          </w:tcPr>
          <w:p>
            <w:pPr>
              <w:jc w:val="left"/>
            </w:pPr>
            <w:r>
              <w:rPr>
                <w:rFonts w:ascii="Calibri" w:cs="Calibri" w:eastAsia="Calibri" w:hAnsi="Calibri"/>
                <w:b/>
                <w:bCs/>
                <w:color w:val="1A1A1A"/>
                <w:sz w:val="19"/>
                <w:szCs w:val="19"/>
              </w:rPr>
              <w:t xml:space="preserve">8:30 AM</w:t>
            </w:r>
          </w:p>
        </w:tc>
        <w:tc>
          <w:tcPr>
            <w:tcW w:type="dxa" w:w="3300"/>
            <w:tcBorders>
              <w:top w:val="single" w:color="DADADA" w:sz="4"/>
              <w:left w:val="single" w:color="DADADA" w:sz="4"/>
              <w:bottom w:val="single" w:color="DADADA" w:sz="4"/>
              <w:right w:val="single" w:color="DADADA" w:sz="4"/>
            </w:tcBorders>
            <w:shd w:fill="F7F8FA" w:color="auto" w:val="clear"/>
            <w:tcMar>
              <w:top w:type="dxa" w:w="80"/>
              <w:left w:type="dxa" w:w="120"/>
              <w:bottom w:type="dxa" w:w="80"/>
              <w:right w:type="dxa" w:w="120"/>
            </w:tcMar>
            <w:vAlign w:val="center"/>
          </w:tcPr>
          <w:p>
            <w:pPr>
              <w:jc w:val="left"/>
            </w:pPr>
            <w:r>
              <w:rPr>
                <w:rFonts w:ascii="Calibri" w:cs="Calibri" w:eastAsia="Calibri" w:hAnsi="Calibri"/>
                <w:b/>
                <w:bCs/>
                <w:color w:val="1A1A1A"/>
                <w:sz w:val="19"/>
                <w:szCs w:val="19"/>
              </w:rPr>
              <w:t xml:space="preserve">Nonfarm Productivity Q1 (prelim)</w:t>
            </w:r>
          </w:p>
        </w:tc>
        <w:tc>
          <w:tcPr>
            <w:tcW w:type="dxa" w:w="1500"/>
            <w:tcBorders>
              <w:top w:val="single" w:color="DADADA" w:sz="4"/>
              <w:left w:val="single" w:color="DADADA" w:sz="4"/>
              <w:bottom w:val="single" w:color="DADADA" w:sz="4"/>
              <w:right w:val="single" w:color="DADADA" w:sz="4"/>
            </w:tcBorders>
            <w:shd w:fill="F7F8FA"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+1.5%</w:t>
            </w:r>
          </w:p>
        </w:tc>
        <w:tc>
          <w:tcPr>
            <w:tcW w:type="dxa" w:w="1500"/>
            <w:tcBorders>
              <w:top w:val="single" w:color="DADADA" w:sz="4"/>
              <w:left w:val="single" w:color="DADADA" w:sz="4"/>
              <w:bottom w:val="single" w:color="DADADA" w:sz="4"/>
              <w:right w:val="single" w:color="DADADA" w:sz="4"/>
            </w:tcBorders>
            <w:shd w:fill="F7F8FA"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+0.8%</w:t>
            </w:r>
          </w:p>
        </w:tc>
        <w:tc>
          <w:tcPr>
            <w:tcW w:type="dxa" w:w="1860"/>
            <w:tcBorders>
              <w:top w:val="single" w:color="DADADA" w:sz="4"/>
              <w:left w:val="single" w:color="DADADA" w:sz="4"/>
              <w:bottom w:val="single" w:color="DADADA" w:sz="4"/>
              <w:right w:val="single" w:color="DADADA" w:sz="4"/>
            </w:tcBorders>
            <w:shd w:fill="F7F8FA"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Productivity is the disinflation safety valve — soft prints fan unit-cost worries.</w:t>
            </w:r>
          </w:p>
        </w:tc>
      </w:tr>
      <w:tr>
        <w:tc>
          <w:tcPr>
            <w:tcW w:type="dxa" w:w="1200"/>
            <w:tcBorders>
              <w:top w:val="single" w:color="DADADA" w:sz="4"/>
              <w:left w:val="single" w:color="DADADA" w:sz="4"/>
              <w:bottom w:val="single" w:color="DADADA" w:sz="4"/>
              <w:right w:val="single" w:color="DADADA" w:sz="4"/>
            </w:tcBorders>
            <w:tcMar>
              <w:top w:type="dxa" w:w="80"/>
              <w:left w:type="dxa" w:w="120"/>
              <w:bottom w:type="dxa" w:w="80"/>
              <w:right w:type="dxa" w:w="120"/>
            </w:tcMar>
            <w:vAlign w:val="center"/>
          </w:tcPr>
          <w:p>
            <w:pPr>
              <w:jc w:val="left"/>
            </w:pPr>
            <w:r>
              <w:rPr>
                <w:rFonts w:ascii="Calibri" w:cs="Calibri" w:eastAsia="Calibri" w:hAnsi="Calibri"/>
                <w:b/>
                <w:bCs/>
                <w:color w:val="1A1A1A"/>
                <w:sz w:val="19"/>
                <w:szCs w:val="19"/>
              </w:rPr>
              <w:t xml:space="preserve">8:30 AM</w:t>
            </w:r>
          </w:p>
        </w:tc>
        <w:tc>
          <w:tcPr>
            <w:tcW w:type="dxa" w:w="3300"/>
            <w:tcBorders>
              <w:top w:val="single" w:color="DADADA" w:sz="4"/>
              <w:left w:val="single" w:color="DADADA" w:sz="4"/>
              <w:bottom w:val="single" w:color="DADADA" w:sz="4"/>
              <w:right w:val="single" w:color="DADADA" w:sz="4"/>
            </w:tcBorders>
            <w:tcMar>
              <w:top w:type="dxa" w:w="80"/>
              <w:left w:type="dxa" w:w="120"/>
              <w:bottom w:type="dxa" w:w="80"/>
              <w:right w:type="dxa" w:w="120"/>
            </w:tcMar>
            <w:vAlign w:val="center"/>
          </w:tcPr>
          <w:p>
            <w:pPr>
              <w:jc w:val="left"/>
            </w:pPr>
            <w:r>
              <w:rPr>
                <w:rFonts w:ascii="Calibri" w:cs="Calibri" w:eastAsia="Calibri" w:hAnsi="Calibri"/>
                <w:b/>
                <w:bCs/>
                <w:color w:val="1A1A1A"/>
                <w:sz w:val="19"/>
                <w:szCs w:val="19"/>
              </w:rPr>
              <w:t xml:space="preserve">Unit Labor Costs Q1 (prelim)</w:t>
            </w:r>
          </w:p>
        </w:tc>
        <w:tc>
          <w:tcPr>
            <w:tcW w:type="dxa" w:w="1500"/>
            <w:tcBorders>
              <w:top w:val="single" w:color="DADADA" w:sz="4"/>
              <w:left w:val="single" w:color="DADADA" w:sz="4"/>
              <w:bottom w:val="single" w:color="DADADA" w:sz="4"/>
              <w:right w:val="single" w:color="DADADA" w:sz="4"/>
            </w:tcBorders>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+2.2%</w:t>
            </w:r>
          </w:p>
        </w:tc>
        <w:tc>
          <w:tcPr>
            <w:tcW w:type="dxa" w:w="1500"/>
            <w:tcBorders>
              <w:top w:val="single" w:color="DADADA" w:sz="4"/>
              <w:left w:val="single" w:color="DADADA" w:sz="4"/>
              <w:bottom w:val="single" w:color="DADADA" w:sz="4"/>
              <w:right w:val="single" w:color="DADADA" w:sz="4"/>
            </w:tcBorders>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+2.6%</w:t>
            </w:r>
          </w:p>
        </w:tc>
        <w:tc>
          <w:tcPr>
            <w:tcW w:type="dxa" w:w="1860"/>
            <w:tcBorders>
              <w:top w:val="single" w:color="DADADA" w:sz="4"/>
              <w:left w:val="single" w:color="DADADA" w:sz="4"/>
              <w:bottom w:val="single" w:color="DADADA" w:sz="4"/>
              <w:right w:val="single" w:color="DADADA" w:sz="4"/>
            </w:tcBorders>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Wage-price feedback; relevant given sticky core-services CPI.</w:t>
            </w:r>
          </w:p>
        </w:tc>
      </w:tr>
      <w:tr>
        <w:tc>
          <w:tcPr>
            <w:tcW w:type="dxa" w:w="1200"/>
            <w:tcBorders>
              <w:top w:val="single" w:color="DADADA" w:sz="4"/>
              <w:left w:val="single" w:color="DADADA" w:sz="4"/>
              <w:bottom w:val="single" w:color="DADADA" w:sz="4"/>
              <w:right w:val="single" w:color="DADADA" w:sz="4"/>
            </w:tcBorders>
            <w:shd w:fill="F7F8FA" w:color="auto" w:val="clear"/>
            <w:tcMar>
              <w:top w:type="dxa" w:w="80"/>
              <w:left w:type="dxa" w:w="120"/>
              <w:bottom w:type="dxa" w:w="80"/>
              <w:right w:type="dxa" w:w="120"/>
            </w:tcMar>
            <w:vAlign w:val="center"/>
          </w:tcPr>
          <w:p>
            <w:pPr>
              <w:jc w:val="left"/>
            </w:pPr>
            <w:r>
              <w:rPr>
                <w:rFonts w:ascii="Calibri" w:cs="Calibri" w:eastAsia="Calibri" w:hAnsi="Calibri"/>
                <w:b/>
                <w:bCs/>
                <w:color w:val="1A1A1A"/>
                <w:sz w:val="19"/>
                <w:szCs w:val="19"/>
              </w:rPr>
              <w:t xml:space="preserve">10:00 AM</w:t>
            </w:r>
          </w:p>
        </w:tc>
        <w:tc>
          <w:tcPr>
            <w:tcW w:type="dxa" w:w="3300"/>
            <w:tcBorders>
              <w:top w:val="single" w:color="DADADA" w:sz="4"/>
              <w:left w:val="single" w:color="DADADA" w:sz="4"/>
              <w:bottom w:val="single" w:color="DADADA" w:sz="4"/>
              <w:right w:val="single" w:color="DADADA" w:sz="4"/>
            </w:tcBorders>
            <w:shd w:fill="F7F8FA" w:color="auto" w:val="clear"/>
            <w:tcMar>
              <w:top w:type="dxa" w:w="80"/>
              <w:left w:type="dxa" w:w="120"/>
              <w:bottom w:type="dxa" w:w="80"/>
              <w:right w:type="dxa" w:w="120"/>
            </w:tcMar>
            <w:vAlign w:val="center"/>
          </w:tcPr>
          <w:p>
            <w:pPr>
              <w:jc w:val="left"/>
            </w:pPr>
            <w:r>
              <w:rPr>
                <w:rFonts w:ascii="Calibri" w:cs="Calibri" w:eastAsia="Calibri" w:hAnsi="Calibri"/>
                <w:b/>
                <w:bCs/>
                <w:color w:val="1A1A1A"/>
                <w:sz w:val="19"/>
                <w:szCs w:val="19"/>
              </w:rPr>
              <w:t xml:space="preserve">Wholesale Inventories (Mar f)</w:t>
            </w:r>
          </w:p>
        </w:tc>
        <w:tc>
          <w:tcPr>
            <w:tcW w:type="dxa" w:w="1500"/>
            <w:tcBorders>
              <w:top w:val="single" w:color="DADADA" w:sz="4"/>
              <w:left w:val="single" w:color="DADADA" w:sz="4"/>
              <w:bottom w:val="single" w:color="DADADA" w:sz="4"/>
              <w:right w:val="single" w:color="DADADA" w:sz="4"/>
            </w:tcBorders>
            <w:shd w:fill="F7F8FA"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+0.5%</w:t>
            </w:r>
          </w:p>
        </w:tc>
        <w:tc>
          <w:tcPr>
            <w:tcW w:type="dxa" w:w="1500"/>
            <w:tcBorders>
              <w:top w:val="single" w:color="DADADA" w:sz="4"/>
              <w:left w:val="single" w:color="DADADA" w:sz="4"/>
              <w:bottom w:val="single" w:color="DADADA" w:sz="4"/>
              <w:right w:val="single" w:color="DADADA" w:sz="4"/>
            </w:tcBorders>
            <w:shd w:fill="F7F8FA"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+0.5%</w:t>
            </w:r>
          </w:p>
        </w:tc>
        <w:tc>
          <w:tcPr>
            <w:tcW w:type="dxa" w:w="1860"/>
            <w:tcBorders>
              <w:top w:val="single" w:color="DADADA" w:sz="4"/>
              <w:left w:val="single" w:color="DADADA" w:sz="4"/>
              <w:bottom w:val="single" w:color="DADADA" w:sz="4"/>
              <w:right w:val="single" w:color="DADADA" w:sz="4"/>
            </w:tcBorders>
            <w:shd w:fill="F7F8FA"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Inventory cycle indicator; revisions feed Q1 GDP tracking.</w:t>
            </w:r>
          </w:p>
        </w:tc>
      </w:tr>
      <w:tr>
        <w:tc>
          <w:tcPr>
            <w:tcW w:type="dxa" w:w="1200"/>
            <w:tcBorders>
              <w:top w:val="single" w:color="DADADA" w:sz="4"/>
              <w:left w:val="single" w:color="DADADA" w:sz="4"/>
              <w:bottom w:val="single" w:color="DADADA" w:sz="4"/>
              <w:right w:val="single" w:color="DADADA" w:sz="4"/>
            </w:tcBorders>
            <w:tcMar>
              <w:top w:type="dxa" w:w="80"/>
              <w:left w:type="dxa" w:w="120"/>
              <w:bottom w:type="dxa" w:w="80"/>
              <w:right w:type="dxa" w:w="120"/>
            </w:tcMar>
            <w:vAlign w:val="center"/>
          </w:tcPr>
          <w:p>
            <w:pPr>
              <w:jc w:val="left"/>
            </w:pPr>
            <w:r>
              <w:rPr>
                <w:rFonts w:ascii="Calibri" w:cs="Calibri" w:eastAsia="Calibri" w:hAnsi="Calibri"/>
                <w:b/>
                <w:bCs/>
                <w:color w:val="1A1A1A"/>
                <w:sz w:val="19"/>
                <w:szCs w:val="19"/>
              </w:rPr>
              <w:t xml:space="preserve">10:30 AM</w:t>
            </w:r>
          </w:p>
        </w:tc>
        <w:tc>
          <w:tcPr>
            <w:tcW w:type="dxa" w:w="3300"/>
            <w:tcBorders>
              <w:top w:val="single" w:color="DADADA" w:sz="4"/>
              <w:left w:val="single" w:color="DADADA" w:sz="4"/>
              <w:bottom w:val="single" w:color="DADADA" w:sz="4"/>
              <w:right w:val="single" w:color="DADADA" w:sz="4"/>
            </w:tcBorders>
            <w:tcMar>
              <w:top w:type="dxa" w:w="80"/>
              <w:left w:type="dxa" w:w="120"/>
              <w:bottom w:type="dxa" w:w="80"/>
              <w:right w:type="dxa" w:w="120"/>
            </w:tcMar>
            <w:vAlign w:val="center"/>
          </w:tcPr>
          <w:p>
            <w:pPr>
              <w:jc w:val="left"/>
            </w:pPr>
            <w:r>
              <w:rPr>
                <w:rFonts w:ascii="Calibri" w:cs="Calibri" w:eastAsia="Calibri" w:hAnsi="Calibri"/>
                <w:b/>
                <w:bCs/>
                <w:color w:val="1A1A1A"/>
                <w:sz w:val="19"/>
                <w:szCs w:val="19"/>
              </w:rPr>
              <w:t xml:space="preserve">EIA Weekly Crude Stocks</w:t>
            </w:r>
          </w:p>
        </w:tc>
        <w:tc>
          <w:tcPr>
            <w:tcW w:type="dxa" w:w="1500"/>
            <w:tcBorders>
              <w:top w:val="single" w:color="DADADA" w:sz="4"/>
              <w:left w:val="single" w:color="DADADA" w:sz="4"/>
              <w:bottom w:val="single" w:color="DADADA" w:sz="4"/>
              <w:right w:val="single" w:color="DADADA" w:sz="4"/>
            </w:tcBorders>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+3.8 mb</w:t>
            </w:r>
          </w:p>
        </w:tc>
        <w:tc>
          <w:tcPr>
            <w:tcW w:type="dxa" w:w="1500"/>
            <w:tcBorders>
              <w:top w:val="single" w:color="DADADA" w:sz="4"/>
              <w:left w:val="single" w:color="DADADA" w:sz="4"/>
              <w:bottom w:val="single" w:color="DADADA" w:sz="4"/>
              <w:right w:val="single" w:color="DADADA" w:sz="4"/>
            </w:tcBorders>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+1.2 mb</w:t>
            </w:r>
          </w:p>
        </w:tc>
        <w:tc>
          <w:tcPr>
            <w:tcW w:type="dxa" w:w="1860"/>
            <w:tcBorders>
              <w:top w:val="single" w:color="DADADA" w:sz="4"/>
              <w:left w:val="single" w:color="DADADA" w:sz="4"/>
              <w:bottom w:val="single" w:color="DADADA" w:sz="4"/>
              <w:right w:val="single" w:color="DADADA" w:sz="4"/>
            </w:tcBorders>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Today's number is overshadowed by Iran headlines, but builds keep the tape soft.</w:t>
            </w:r>
          </w:p>
        </w:tc>
      </w:tr>
      <w:tr>
        <w:tc>
          <w:tcPr>
            <w:tcW w:type="dxa" w:w="1200"/>
            <w:tcBorders>
              <w:top w:val="single" w:color="DADADA" w:sz="4"/>
              <w:left w:val="single" w:color="DADADA" w:sz="4"/>
              <w:bottom w:val="single" w:color="DADADA" w:sz="4"/>
              <w:right w:val="single" w:color="DADADA" w:sz="4"/>
            </w:tcBorders>
            <w:shd w:fill="F7F8FA" w:color="auto" w:val="clear"/>
            <w:tcMar>
              <w:top w:type="dxa" w:w="80"/>
              <w:left w:type="dxa" w:w="120"/>
              <w:bottom w:type="dxa" w:w="80"/>
              <w:right w:type="dxa" w:w="120"/>
            </w:tcMar>
            <w:vAlign w:val="center"/>
          </w:tcPr>
          <w:p>
            <w:pPr>
              <w:jc w:val="left"/>
            </w:pPr>
            <w:r>
              <w:rPr>
                <w:rFonts w:ascii="Calibri" w:cs="Calibri" w:eastAsia="Calibri" w:hAnsi="Calibri"/>
                <w:b/>
                <w:bCs/>
                <w:color w:val="1A1A1A"/>
                <w:sz w:val="19"/>
                <w:szCs w:val="19"/>
              </w:rPr>
              <w:t xml:space="preserve">1:00 PM</w:t>
            </w:r>
          </w:p>
        </w:tc>
        <w:tc>
          <w:tcPr>
            <w:tcW w:type="dxa" w:w="3300"/>
            <w:tcBorders>
              <w:top w:val="single" w:color="DADADA" w:sz="4"/>
              <w:left w:val="single" w:color="DADADA" w:sz="4"/>
              <w:bottom w:val="single" w:color="DADADA" w:sz="4"/>
              <w:right w:val="single" w:color="DADADA" w:sz="4"/>
            </w:tcBorders>
            <w:shd w:fill="F7F8FA" w:color="auto" w:val="clear"/>
            <w:tcMar>
              <w:top w:type="dxa" w:w="80"/>
              <w:left w:type="dxa" w:w="120"/>
              <w:bottom w:type="dxa" w:w="80"/>
              <w:right w:type="dxa" w:w="120"/>
            </w:tcMar>
            <w:vAlign w:val="center"/>
          </w:tcPr>
          <w:p>
            <w:pPr>
              <w:jc w:val="left"/>
            </w:pPr>
            <w:r>
              <w:rPr>
                <w:rFonts w:ascii="Calibri" w:cs="Calibri" w:eastAsia="Calibri" w:hAnsi="Calibri"/>
                <w:b/>
                <w:bCs/>
                <w:color w:val="1A1A1A"/>
                <w:sz w:val="19"/>
                <w:szCs w:val="19"/>
              </w:rPr>
              <w:t xml:space="preserve">10-Yr Treasury Auction ($42bn)</w:t>
            </w:r>
          </w:p>
        </w:tc>
        <w:tc>
          <w:tcPr>
            <w:tcW w:type="dxa" w:w="1500"/>
            <w:tcBorders>
              <w:top w:val="single" w:color="DADADA" w:sz="4"/>
              <w:left w:val="single" w:color="DADADA" w:sz="4"/>
              <w:bottom w:val="single" w:color="DADADA" w:sz="4"/>
              <w:right w:val="single" w:color="DADADA" w:sz="4"/>
            </w:tcBorders>
            <w:shd w:fill="F7F8FA"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w:t>
            </w:r>
          </w:p>
        </w:tc>
        <w:tc>
          <w:tcPr>
            <w:tcW w:type="dxa" w:w="1500"/>
            <w:tcBorders>
              <w:top w:val="single" w:color="DADADA" w:sz="4"/>
              <w:left w:val="single" w:color="DADADA" w:sz="4"/>
              <w:bottom w:val="single" w:color="DADADA" w:sz="4"/>
              <w:right w:val="single" w:color="DADADA" w:sz="4"/>
            </w:tcBorders>
            <w:shd w:fill="F7F8FA"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w:t>
            </w:r>
          </w:p>
        </w:tc>
        <w:tc>
          <w:tcPr>
            <w:tcW w:type="dxa" w:w="1860"/>
            <w:tcBorders>
              <w:top w:val="single" w:color="DADADA" w:sz="4"/>
              <w:left w:val="single" w:color="DADADA" w:sz="4"/>
              <w:bottom w:val="single" w:color="DADADA" w:sz="4"/>
              <w:right w:val="single" w:color="DADADA" w:sz="4"/>
            </w:tcBorders>
            <w:shd w:fill="F7F8FA"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First test of demand at the long end after the 30Y crossed 5%.</w:t>
            </w:r>
          </w:p>
        </w:tc>
      </w:tr>
      <w:tr>
        <w:tc>
          <w:tcPr>
            <w:tcW w:type="dxa" w:w="1200"/>
            <w:tcBorders>
              <w:top w:val="single" w:color="DADADA" w:sz="4"/>
              <w:left w:val="single" w:color="DADADA" w:sz="4"/>
              <w:bottom w:val="single" w:color="DADADA" w:sz="4"/>
              <w:right w:val="single" w:color="DADADA" w:sz="4"/>
            </w:tcBorders>
            <w:tcMar>
              <w:top w:type="dxa" w:w="80"/>
              <w:left w:type="dxa" w:w="120"/>
              <w:bottom w:type="dxa" w:w="80"/>
              <w:right w:type="dxa" w:w="120"/>
            </w:tcMar>
            <w:vAlign w:val="center"/>
          </w:tcPr>
          <w:p>
            <w:pPr>
              <w:jc w:val="left"/>
            </w:pPr>
            <w:r>
              <w:rPr>
                <w:rFonts w:ascii="Calibri" w:cs="Calibri" w:eastAsia="Calibri" w:hAnsi="Calibri"/>
                <w:b/>
                <w:bCs/>
                <w:color w:val="1A1A1A"/>
                <w:sz w:val="19"/>
                <w:szCs w:val="19"/>
              </w:rPr>
              <w:t xml:space="preserve">3:00 PM</w:t>
            </w:r>
          </w:p>
        </w:tc>
        <w:tc>
          <w:tcPr>
            <w:tcW w:type="dxa" w:w="3300"/>
            <w:tcBorders>
              <w:top w:val="single" w:color="DADADA" w:sz="4"/>
              <w:left w:val="single" w:color="DADADA" w:sz="4"/>
              <w:bottom w:val="single" w:color="DADADA" w:sz="4"/>
              <w:right w:val="single" w:color="DADADA" w:sz="4"/>
            </w:tcBorders>
            <w:tcMar>
              <w:top w:type="dxa" w:w="80"/>
              <w:left w:type="dxa" w:w="120"/>
              <w:bottom w:type="dxa" w:w="80"/>
              <w:right w:type="dxa" w:w="120"/>
            </w:tcMar>
            <w:vAlign w:val="center"/>
          </w:tcPr>
          <w:p>
            <w:pPr>
              <w:jc w:val="left"/>
            </w:pPr>
            <w:r>
              <w:rPr>
                <w:rFonts w:ascii="Calibri" w:cs="Calibri" w:eastAsia="Calibri" w:hAnsi="Calibri"/>
                <w:b/>
                <w:bCs/>
                <w:color w:val="1A1A1A"/>
                <w:sz w:val="19"/>
                <w:szCs w:val="19"/>
              </w:rPr>
              <w:t xml:space="preserve">Consumer Credit (Mar)</w:t>
            </w:r>
          </w:p>
        </w:tc>
        <w:tc>
          <w:tcPr>
            <w:tcW w:type="dxa" w:w="1500"/>
            <w:tcBorders>
              <w:top w:val="single" w:color="DADADA" w:sz="4"/>
              <w:left w:val="single" w:color="DADADA" w:sz="4"/>
              <w:bottom w:val="single" w:color="DADADA" w:sz="4"/>
              <w:right w:val="single" w:color="DADADA" w:sz="4"/>
            </w:tcBorders>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+$9.6bn</w:t>
            </w:r>
          </w:p>
        </w:tc>
        <w:tc>
          <w:tcPr>
            <w:tcW w:type="dxa" w:w="1500"/>
            <w:tcBorders>
              <w:top w:val="single" w:color="DADADA" w:sz="4"/>
              <w:left w:val="single" w:color="DADADA" w:sz="4"/>
              <w:bottom w:val="single" w:color="DADADA" w:sz="4"/>
              <w:right w:val="single" w:color="DADADA" w:sz="4"/>
            </w:tcBorders>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+$11.0bn</w:t>
            </w:r>
          </w:p>
        </w:tc>
        <w:tc>
          <w:tcPr>
            <w:tcW w:type="dxa" w:w="1860"/>
            <w:tcBorders>
              <w:top w:val="single" w:color="DADADA" w:sz="4"/>
              <w:left w:val="single" w:color="DADADA" w:sz="4"/>
              <w:bottom w:val="single" w:color="DADADA" w:sz="4"/>
              <w:right w:val="single" w:color="DADADA" w:sz="4"/>
            </w:tcBorders>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Revolving credit growth flags whether the consumer is bending or breaking.</w:t>
            </w:r>
          </w:p>
        </w:tc>
      </w:tr>
      <w:tr>
        <w:tc>
          <w:tcPr>
            <w:tcW w:type="dxa" w:w="1200"/>
            <w:tcBorders>
              <w:top w:val="single" w:color="DADADA" w:sz="4"/>
              <w:left w:val="single" w:color="DADADA" w:sz="4"/>
              <w:bottom w:val="single" w:color="DADADA" w:sz="4"/>
              <w:right w:val="single" w:color="DADADA" w:sz="4"/>
            </w:tcBorders>
            <w:shd w:fill="F7F8FA" w:color="auto" w:val="clear"/>
            <w:tcMar>
              <w:top w:type="dxa" w:w="80"/>
              <w:left w:type="dxa" w:w="120"/>
              <w:bottom w:type="dxa" w:w="80"/>
              <w:right w:type="dxa" w:w="120"/>
            </w:tcMar>
            <w:vAlign w:val="center"/>
          </w:tcPr>
          <w:p>
            <w:pPr>
              <w:jc w:val="left"/>
            </w:pPr>
            <w:r>
              <w:rPr>
                <w:rFonts w:ascii="Calibri" w:cs="Calibri" w:eastAsia="Calibri" w:hAnsi="Calibri"/>
                <w:b/>
                <w:bCs/>
                <w:color w:val="1A1A1A"/>
                <w:sz w:val="19"/>
                <w:szCs w:val="19"/>
              </w:rPr>
              <w:t xml:space="preserve">7:30 PM</w:t>
            </w:r>
          </w:p>
        </w:tc>
        <w:tc>
          <w:tcPr>
            <w:tcW w:type="dxa" w:w="3300"/>
            <w:tcBorders>
              <w:top w:val="single" w:color="DADADA" w:sz="4"/>
              <w:left w:val="single" w:color="DADADA" w:sz="4"/>
              <w:bottom w:val="single" w:color="DADADA" w:sz="4"/>
              <w:right w:val="single" w:color="DADADA" w:sz="4"/>
            </w:tcBorders>
            <w:shd w:fill="F7F8FA" w:color="auto" w:val="clear"/>
            <w:tcMar>
              <w:top w:type="dxa" w:w="80"/>
              <w:left w:type="dxa" w:w="120"/>
              <w:bottom w:type="dxa" w:w="80"/>
              <w:right w:type="dxa" w:w="120"/>
            </w:tcMar>
            <w:vAlign w:val="center"/>
          </w:tcPr>
          <w:p>
            <w:pPr>
              <w:jc w:val="left"/>
            </w:pPr>
            <w:r>
              <w:rPr>
                <w:rFonts w:ascii="Calibri" w:cs="Calibri" w:eastAsia="Calibri" w:hAnsi="Calibri"/>
                <w:b/>
                <w:bCs/>
                <w:color w:val="1A1A1A"/>
                <w:sz w:val="19"/>
                <w:szCs w:val="19"/>
              </w:rPr>
              <w:t xml:space="preserve">Fed's Daly speaks (SF Fed)</w:t>
            </w:r>
          </w:p>
        </w:tc>
        <w:tc>
          <w:tcPr>
            <w:tcW w:type="dxa" w:w="1500"/>
            <w:tcBorders>
              <w:top w:val="single" w:color="DADADA" w:sz="4"/>
              <w:left w:val="single" w:color="DADADA" w:sz="4"/>
              <w:bottom w:val="single" w:color="DADADA" w:sz="4"/>
              <w:right w:val="single" w:color="DADADA" w:sz="4"/>
            </w:tcBorders>
            <w:shd w:fill="F7F8FA"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w:t>
            </w:r>
          </w:p>
        </w:tc>
        <w:tc>
          <w:tcPr>
            <w:tcW w:type="dxa" w:w="1500"/>
            <w:tcBorders>
              <w:top w:val="single" w:color="DADADA" w:sz="4"/>
              <w:left w:val="single" w:color="DADADA" w:sz="4"/>
              <w:bottom w:val="single" w:color="DADADA" w:sz="4"/>
              <w:right w:val="single" w:color="DADADA" w:sz="4"/>
            </w:tcBorders>
            <w:shd w:fill="F7F8FA"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w:t>
            </w:r>
          </w:p>
        </w:tc>
        <w:tc>
          <w:tcPr>
            <w:tcW w:type="dxa" w:w="1860"/>
            <w:tcBorders>
              <w:top w:val="single" w:color="DADADA" w:sz="4"/>
              <w:left w:val="single" w:color="DADADA" w:sz="4"/>
              <w:bottom w:val="single" w:color="DADADA" w:sz="4"/>
              <w:right w:val="single" w:color="DADADA" w:sz="4"/>
            </w:tcBorders>
            <w:shd w:fill="F7F8FA"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First voter to speak since the 8-4 split April meeting; a hawkish pivot would sting.</w:t>
            </w:r>
          </w:p>
        </w:tc>
      </w:tr>
    </w:tbl>
    <w:p>
      <w:pPr>
        <w:pStyle w:val="Heading1"/>
        <w:pBdr>
          <w:bottom w:val="single" w:color="C9A227" w:sz="12" w:space="4"/>
        </w:pBdr>
        <w:spacing w:after="160" w:before="360"/>
      </w:pPr>
      <w:r>
        <w:rPr>
          <w:rFonts w:ascii="Calibri" w:cs="Calibri" w:eastAsia="Calibri" w:hAnsi="Calibri"/>
          <w:b/>
          <w:bCs/>
          <w:color w:val="0B1F3A"/>
          <w:sz w:val="30"/>
          <w:szCs w:val="30"/>
        </w:rPr>
        <w:t xml:space="preserve">6. Earnings Watch</w:t>
      </w:r>
    </w:p>
    <w:p>
      <w:pPr>
        <w:spacing w:after="120" w:before="60" w:line="300"/>
        <w:jc w:val="left"/>
      </w:pPr>
      <w:r>
        <w:rPr>
          <w:rFonts w:ascii="Calibri" w:cs="Calibri" w:eastAsia="Calibri" w:hAnsi="Calibri"/>
          <w:b w:val="false"/>
          <w:bCs w:val="false"/>
          <w:i w:val="false"/>
          <w:iCs w:val="false"/>
          <w:color w:val="1A1A1A"/>
          <w:sz w:val="22"/>
          <w:szCs w:val="22"/>
        </w:rPr>
        <w:t xml:space="preserve">With 78% of the S&amp;P 500 having reported, blended Q1 earnings growth stands at +13.4% year-on-year (FactSet) — the best print since Q3 2021. Of those 391 companies, 79% have beaten on EPS and 68% on revenue, both above 5-year averages. The pattern is being set in tech (28% earnings growth on the AI capex narrative, partial pull-forward) and consumer cyclicals (above-trend), with industrials and materials lagging.</w:t>
      </w:r>
    </w:p>
    <w:p>
      <w:pPr>
        <w:spacing w:after="120" w:before="60" w:line="300"/>
        <w:jc w:val="left"/>
      </w:pPr>
      <w:r>
        <w:rPr>
          <w:rFonts w:ascii="Calibri" w:cs="Calibri" w:eastAsia="Calibri" w:hAnsi="Calibri"/>
          <w:b w:val="false"/>
          <w:bCs w:val="false"/>
          <w:i w:val="false"/>
          <w:iCs w:val="false"/>
          <w:color w:val="1A1A1A"/>
          <w:sz w:val="22"/>
          <w:szCs w:val="22"/>
        </w:rPr>
        <w:t xml:space="preserve">Today's marquee reports break in two waves. Pre-market: McKesson (MCK) is expected at $7.74 EPS / $86.0bn revenue with focus on the GLP-1 distribution flywheel and the Cencora-versus-McKesson PBM narrative; Marriott International (MAR) at $2.45 / $6.4bn, with RevPAR commentary the swing factor and options pricing a 5.4% move; CVS Health (CVS) at $1.85 / $94.5bn, where the Aetna MLR (medical loss ratio) is the entire story — a print above 89% would crater shares; Vistra Energy (VST) at $0.78 / $4.4bn as the data-center power thesis gets its first quarterly stress test post-Talen-Amazon clarification; New York Times (NYT) at $0.43 / $618m, with subscription bundle ARPU as the focus.</w:t>
      </w:r>
    </w:p>
    <w:p>
      <w:pPr>
        <w:spacing w:after="120" w:before="60" w:line="300"/>
        <w:jc w:val="left"/>
      </w:pPr>
      <w:r>
        <w:rPr>
          <w:rFonts w:ascii="Calibri" w:cs="Calibri" w:eastAsia="Calibri" w:hAnsi="Calibri"/>
          <w:b w:val="false"/>
          <w:bCs w:val="false"/>
          <w:i w:val="false"/>
          <w:iCs w:val="false"/>
          <w:color w:val="1A1A1A"/>
          <w:sz w:val="22"/>
          <w:szCs w:val="22"/>
        </w:rPr>
        <w:t xml:space="preserve">After the close: Robinhood (HOOD) at $0.34 / $670m — every analyst is modeling crypto trading volumes (BTC at $82K helps), interest income on customer cash is rate-sensitive, and the Bitstamp acquisition close timing is the qualitative read; Occidental Petroleum (OXY) at $0.82 / $7.1bn — Buffett's stake gets a fresh vintage, and Permian breakevens at sub-$50 WTI are the question if oil holds the lower range; Coupang (CPNG) at $0.07 / $7.2bn for Korean e-commerce read-through; AppLovin (APP) at $1.92 / $1.4bn for the AdTech-AI bull case continuation; Klaviyo (KVYO) at $0.16 / $250m for SMB e-commerce health.</w:t>
      </w:r>
    </w:p>
    <w:p>
      <w:pPr>
        <w:spacing w:after="120" w:before="60" w:line="300"/>
        <w:jc w:val="left"/>
      </w:pPr>
      <w:r>
        <w:rPr>
          <w:rFonts w:ascii="Calibri" w:cs="Calibri" w:eastAsia="Calibri" w:hAnsi="Calibri"/>
          <w:b w:val="false"/>
          <w:bCs w:val="false"/>
          <w:i w:val="false"/>
          <w:iCs w:val="false"/>
          <w:color w:val="1A1A1A"/>
          <w:sz w:val="22"/>
          <w:szCs w:val="22"/>
        </w:rPr>
        <w:t xml:space="preserve">Options-implied moves at the open (priced from at-the-money straddles): MCK 4.2%, MAR 5.4%, CVS 7.8%, VST 8.6%, HOOD 9.2%, OXY 4.5%, APP 11.0%. The CVS implied is notable — well above its 8-quarter trailing average of 5.1%, a sign the market is bracing for a guidance reset on MLR.</w:t>
      </w:r>
    </w:p>
    <w:p>
      <w:pPr>
        <w:pStyle w:val="Heading1"/>
        <w:pBdr>
          <w:bottom w:val="single" w:color="C9A227" w:sz="12" w:space="4"/>
        </w:pBdr>
        <w:spacing w:after="160" w:before="360"/>
      </w:pPr>
      <w:r>
        <w:rPr>
          <w:rFonts w:ascii="Calibri" w:cs="Calibri" w:eastAsia="Calibri" w:hAnsi="Calibri"/>
          <w:b/>
          <w:bCs/>
          <w:color w:val="0B1F3A"/>
          <w:sz w:val="30"/>
          <w:szCs w:val="30"/>
        </w:rPr>
        <w:t xml:space="preserve">7. Sector Spotlight</w:t>
      </w:r>
    </w:p>
    <w:p>
      <w:pPr>
        <w:spacing w:after="80" w:before="160"/>
      </w:pPr>
      <w:r>
        <w:rPr>
          <w:rFonts w:ascii="Calibri" w:cs="Calibri" w:eastAsia="Calibri" w:hAnsi="Calibri"/>
          <w:b/>
          <w:bCs/>
          <w:color w:val="07152A"/>
          <w:sz w:val="24"/>
          <w:szCs w:val="24"/>
        </w:rPr>
        <w:t xml:space="preserve">Energy: A Tale of Two Tape Reactions</w:t>
      </w:r>
    </w:p>
    <w:p>
      <w:pPr>
        <w:spacing w:after="120" w:before="60" w:line="300"/>
        <w:jc w:val="left"/>
      </w:pPr>
      <w:r>
        <w:rPr>
          <w:rFonts w:ascii="Calibri" w:cs="Calibri" w:eastAsia="Calibri" w:hAnsi="Calibri"/>
          <w:b w:val="false"/>
          <w:bCs w:val="false"/>
          <w:i w:val="false"/>
          <w:iCs w:val="false"/>
          <w:color w:val="1A1A1A"/>
          <w:sz w:val="22"/>
          <w:szCs w:val="22"/>
        </w:rPr>
        <w:t xml:space="preserve">With WTI down nearly 7%, the textbook play is "sell energy." The tape isn't reading from the textbook. The S&amp;P 500 Energy sector closed up 0.46% Tuesday despite a 4% intraday drop in crude, and is indicated up another 0.3% in pre-market. Three reasons: refiners (XOM downstream, MPC, VLO) are seeing crack spreads widen 18% on the prospect of a Hormuz reopen; integrateds with downstream optionality outperform on lower input costs; and the relative value trade — energy YTD beta to oil has been only 0.4, suggesting positioning has been so bearish that supply-news pressure is muted.</w:t>
      </w:r>
    </w:p>
    <w:p>
      <w:pPr>
        <w:spacing w:after="120" w:before="60" w:line="300"/>
        <w:jc w:val="left"/>
      </w:pPr>
      <w:r>
        <w:rPr>
          <w:rFonts w:ascii="Calibri" w:cs="Calibri" w:eastAsia="Calibri" w:hAnsi="Calibri"/>
          <w:b w:val="false"/>
          <w:bCs w:val="false"/>
          <w:i w:val="false"/>
          <w:iCs w:val="false"/>
          <w:color w:val="1A1A1A"/>
          <w:sz w:val="22"/>
          <w:szCs w:val="22"/>
        </w:rPr>
        <w:t xml:space="preserve">The cleaner expression of the de-escalation theme is short oil-services (OIH) and long airlines (JETS). The latter is up 3.8% pre-market with DAL leading at +5.1% — a $10 sustained drop in WTI is roughly $1.20 of incremental EPS for major carriers. If the Iran framework holds, JETS-versus-XLE is the structural pair trade for the next 30 days.</w:t>
      </w:r>
    </w:p>
    <w:p>
      <w:pPr>
        <w:spacing w:after="80" w:before="160"/>
      </w:pPr>
      <w:r>
        <w:rPr>
          <w:rFonts w:ascii="Calibri" w:cs="Calibri" w:eastAsia="Calibri" w:hAnsi="Calibri"/>
          <w:b/>
          <w:bCs/>
          <w:color w:val="07152A"/>
          <w:sz w:val="24"/>
          <w:szCs w:val="24"/>
        </w:rPr>
        <w:t xml:space="preserve">Semis: AMD's Ripple, Memory's Steepening Curve</w:t>
      </w:r>
    </w:p>
    <w:p>
      <w:pPr>
        <w:spacing w:after="120" w:before="60" w:line="300"/>
        <w:jc w:val="left"/>
      </w:pPr>
      <w:r>
        <w:rPr>
          <w:rFonts w:ascii="Calibri" w:cs="Calibri" w:eastAsia="Calibri" w:hAnsi="Calibri"/>
          <w:b w:val="false"/>
          <w:bCs w:val="false"/>
          <w:i w:val="false"/>
          <w:iCs w:val="false"/>
          <w:color w:val="1A1A1A"/>
          <w:sz w:val="22"/>
          <w:szCs w:val="22"/>
        </w:rPr>
        <w:t xml:space="preserve">Beyond the AMD narrative, the deeper sector dynamic is the memory rebound that's been quietly underway. Samsung's preliminary Q1 print last week showed HBM3E shipments up 4x quarter-over-quarter, and Micron (MU) is expected to follow the same pattern when it reports June 18. Seagate's upgrade to OW today on the back of nearline pricing power for AI training-data tiers reflects a broader thesis: the AI capex cycle is migrating from compute to memory and storage. SOX is up 4% over five sessions, but breadth is finally widening — only 3 of the 30 components are negative for the week, the broadest participation since November.</w:t>
      </w:r>
    </w:p>
    <w:p>
      <w:pPr>
        <w:pStyle w:val="Heading1"/>
        <w:pBdr>
          <w:bottom w:val="single" w:color="C9A227" w:sz="12" w:space="4"/>
        </w:pBdr>
        <w:spacing w:after="160" w:before="360"/>
      </w:pPr>
      <w:r>
        <w:rPr>
          <w:rFonts w:ascii="Calibri" w:cs="Calibri" w:eastAsia="Calibri" w:hAnsi="Calibri"/>
          <w:b/>
          <w:bCs/>
          <w:color w:val="0B1F3A"/>
          <w:sz w:val="30"/>
          <w:szCs w:val="30"/>
        </w:rPr>
        <w:t xml:space="preserve">8. Analyst Calls &amp; Upgrades/Downgrades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100"/>
        <w:gridCol w:w="1500"/>
        <w:gridCol w:w="1660"/>
        <w:gridCol w:w="3600"/>
      </w:tblGrid>
      <w:tr>
        <w:trPr>
          <w:tblHeader/>
        </w:trPr>
        <w:tc>
          <w:tcPr>
            <w:tcW w:type="dxa" w:w="1500"/>
            <w:tcBorders>
              <w:top w:val="single" w:color="0B1F3A" w:sz="4"/>
              <w:left w:val="single" w:color="0B1F3A" w:sz="4"/>
              <w:bottom w:val="single" w:color="0B1F3A" w:sz="4"/>
              <w:right w:val="single" w:color="0B1F3A" w:sz="4"/>
            </w:tcBorders>
            <w:shd w:fill="0B1F3A" w:color="auto" w:val="clear"/>
            <w:tcMar>
              <w:top w:type="dxa" w:w="100"/>
              <w:left w:type="dxa" w:w="120"/>
              <w:bottom w:type="dxa" w:w="100"/>
              <w:right w:type="dxa" w:w="120"/>
            </w:tcMar>
          </w:tcPr>
          <w:p>
            <w:r>
              <w:rPr>
                <w:rFonts w:ascii="Calibri" w:cs="Calibri" w:eastAsia="Calibri" w:hAnsi="Calibri"/>
                <w:b/>
                <w:bCs/>
                <w:color w:val="FFFFFF"/>
                <w:sz w:val="20"/>
                <w:szCs w:val="20"/>
              </w:rPr>
              <w:t xml:space="preserve">Firm</w:t>
            </w:r>
          </w:p>
        </w:tc>
        <w:tc>
          <w:tcPr>
            <w:tcW w:type="dxa" w:w="1100"/>
            <w:tcBorders>
              <w:top w:val="single" w:color="0B1F3A" w:sz="4"/>
              <w:left w:val="single" w:color="0B1F3A" w:sz="4"/>
              <w:bottom w:val="single" w:color="0B1F3A" w:sz="4"/>
              <w:right w:val="single" w:color="0B1F3A" w:sz="4"/>
            </w:tcBorders>
            <w:shd w:fill="0B1F3A" w:color="auto" w:val="clear"/>
            <w:tcMar>
              <w:top w:type="dxa" w:w="100"/>
              <w:left w:type="dxa" w:w="120"/>
              <w:bottom w:type="dxa" w:w="100"/>
              <w:right w:type="dxa" w:w="120"/>
            </w:tcMar>
          </w:tcPr>
          <w:p>
            <w:r>
              <w:rPr>
                <w:rFonts w:ascii="Calibri" w:cs="Calibri" w:eastAsia="Calibri" w:hAnsi="Calibri"/>
                <w:b/>
                <w:bCs/>
                <w:color w:val="FFFFFF"/>
                <w:sz w:val="20"/>
                <w:szCs w:val="20"/>
              </w:rPr>
              <w:t xml:space="preserve">Ticker</w:t>
            </w:r>
          </w:p>
        </w:tc>
        <w:tc>
          <w:tcPr>
            <w:tcW w:type="dxa" w:w="1500"/>
            <w:tcBorders>
              <w:top w:val="single" w:color="0B1F3A" w:sz="4"/>
              <w:left w:val="single" w:color="0B1F3A" w:sz="4"/>
              <w:bottom w:val="single" w:color="0B1F3A" w:sz="4"/>
              <w:right w:val="single" w:color="0B1F3A" w:sz="4"/>
            </w:tcBorders>
            <w:shd w:fill="0B1F3A" w:color="auto" w:val="clear"/>
            <w:tcMar>
              <w:top w:type="dxa" w:w="100"/>
              <w:left w:type="dxa" w:w="120"/>
              <w:bottom w:type="dxa" w:w="100"/>
              <w:right w:type="dxa" w:w="120"/>
            </w:tcMar>
          </w:tcPr>
          <w:p>
            <w:r>
              <w:rPr>
                <w:rFonts w:ascii="Calibri" w:cs="Calibri" w:eastAsia="Calibri" w:hAnsi="Calibri"/>
                <w:b/>
                <w:bCs/>
                <w:color w:val="FFFFFF"/>
                <w:sz w:val="20"/>
                <w:szCs w:val="20"/>
              </w:rPr>
              <w:t xml:space="preserve">Action</w:t>
            </w:r>
          </w:p>
        </w:tc>
        <w:tc>
          <w:tcPr>
            <w:tcW w:type="dxa" w:w="1660"/>
            <w:tcBorders>
              <w:top w:val="single" w:color="0B1F3A" w:sz="4"/>
              <w:left w:val="single" w:color="0B1F3A" w:sz="4"/>
              <w:bottom w:val="single" w:color="0B1F3A" w:sz="4"/>
              <w:right w:val="single" w:color="0B1F3A" w:sz="4"/>
            </w:tcBorders>
            <w:shd w:fill="0B1F3A" w:color="auto" w:val="clear"/>
            <w:tcMar>
              <w:top w:type="dxa" w:w="100"/>
              <w:left w:type="dxa" w:w="120"/>
              <w:bottom w:type="dxa" w:w="100"/>
              <w:right w:type="dxa" w:w="120"/>
            </w:tcMar>
          </w:tcPr>
          <w:p>
            <w:r>
              <w:rPr>
                <w:rFonts w:ascii="Calibri" w:cs="Calibri" w:eastAsia="Calibri" w:hAnsi="Calibri"/>
                <w:b/>
                <w:bCs/>
                <w:color w:val="FFFFFF"/>
                <w:sz w:val="20"/>
                <w:szCs w:val="20"/>
              </w:rPr>
              <w:t xml:space="preserve">New PT</w:t>
            </w:r>
          </w:p>
        </w:tc>
        <w:tc>
          <w:tcPr>
            <w:tcW w:type="dxa" w:w="3600"/>
            <w:tcBorders>
              <w:top w:val="single" w:color="0B1F3A" w:sz="4"/>
              <w:left w:val="single" w:color="0B1F3A" w:sz="4"/>
              <w:bottom w:val="single" w:color="0B1F3A" w:sz="4"/>
              <w:right w:val="single" w:color="0B1F3A" w:sz="4"/>
            </w:tcBorders>
            <w:shd w:fill="0B1F3A" w:color="auto" w:val="clear"/>
            <w:tcMar>
              <w:top w:type="dxa" w:w="100"/>
              <w:left w:type="dxa" w:w="120"/>
              <w:bottom w:type="dxa" w:w="100"/>
              <w:right w:type="dxa" w:w="120"/>
            </w:tcMar>
          </w:tcPr>
          <w:p>
            <w:r>
              <w:rPr>
                <w:rFonts w:ascii="Calibri" w:cs="Calibri" w:eastAsia="Calibri" w:hAnsi="Calibri"/>
                <w:b/>
                <w:bCs/>
                <w:color w:val="FFFFFF"/>
                <w:sz w:val="20"/>
                <w:szCs w:val="20"/>
              </w:rPr>
              <w:t xml:space="preserve">Rationale</w:t>
            </w:r>
          </w:p>
        </w:tc>
      </w:tr>
      <w:tr>
        <w:tc>
          <w:tcPr>
            <w:tcW w:type="dxa" w:w="1500"/>
            <w:tcBorders>
              <w:top w:val="single" w:color="DADADA" w:sz="4"/>
              <w:left w:val="single" w:color="DADADA" w:sz="4"/>
              <w:bottom w:val="single" w:color="DADADA" w:sz="4"/>
              <w:right w:val="single" w:color="DADADA" w:sz="4"/>
            </w:tcBorders>
            <w:shd w:fill="F7F8FA" w:color="auto" w:val="clear"/>
            <w:tcMar>
              <w:top w:type="dxa" w:w="80"/>
              <w:left w:type="dxa" w:w="120"/>
              <w:bottom w:type="dxa" w:w="80"/>
              <w:right w:type="dxa" w:w="120"/>
            </w:tcMar>
            <w:vAlign w:val="center"/>
          </w:tcPr>
          <w:p>
            <w:r>
              <w:rPr>
                <w:rFonts w:ascii="Calibri" w:cs="Calibri" w:eastAsia="Calibri" w:hAnsi="Calibri"/>
                <w:b/>
                <w:bCs/>
                <w:color w:val="1A1A1A"/>
                <w:sz w:val="19"/>
                <w:szCs w:val="19"/>
              </w:rPr>
              <w:t xml:space="preserve">Goldman Sachs</w:t>
            </w:r>
          </w:p>
        </w:tc>
        <w:tc>
          <w:tcPr>
            <w:tcW w:type="dxa" w:w="1100"/>
            <w:tcBorders>
              <w:top w:val="single" w:color="DADADA" w:sz="4"/>
              <w:left w:val="single" w:color="DADADA" w:sz="4"/>
              <w:bottom w:val="single" w:color="DADADA" w:sz="4"/>
              <w:right w:val="single" w:color="DADADA" w:sz="4"/>
            </w:tcBorders>
            <w:shd w:fill="F7F8FA" w:color="auto" w:val="clear"/>
            <w:tcMar>
              <w:top w:type="dxa" w:w="80"/>
              <w:left w:type="dxa" w:w="120"/>
              <w:bottom w:type="dxa" w:w="80"/>
              <w:right w:type="dxa" w:w="120"/>
            </w:tcMar>
            <w:vAlign w:val="center"/>
          </w:tcPr>
          <w:p>
            <w:r>
              <w:rPr>
                <w:rFonts w:ascii="Calibri" w:cs="Calibri" w:eastAsia="Calibri" w:hAnsi="Calibri"/>
                <w:b/>
                <w:bCs/>
                <w:color w:val="1A1A1A"/>
                <w:sz w:val="19"/>
                <w:szCs w:val="19"/>
              </w:rPr>
              <w:t xml:space="preserve">AMD</w:t>
            </w:r>
          </w:p>
        </w:tc>
        <w:tc>
          <w:tcPr>
            <w:tcW w:type="dxa" w:w="1500"/>
            <w:tcBorders>
              <w:top w:val="single" w:color="DADADA" w:sz="4"/>
              <w:left w:val="single" w:color="DADADA" w:sz="4"/>
              <w:bottom w:val="single" w:color="DADADA" w:sz="4"/>
              <w:right w:val="single" w:color="DADADA" w:sz="4"/>
            </w:tcBorders>
            <w:shd w:fill="F7F8FA" w:color="auto" w:val="clear"/>
            <w:tcMar>
              <w:top w:type="dxa" w:w="80"/>
              <w:left w:type="dxa" w:w="120"/>
              <w:bottom w:type="dxa" w:w="80"/>
              <w:right w:type="dxa" w:w="120"/>
            </w:tcMar>
            <w:vAlign w:val="center"/>
          </w:tcPr>
          <w:p>
            <w:r>
              <w:rPr>
                <w:rFonts w:ascii="Calibri" w:cs="Calibri" w:eastAsia="Calibri" w:hAnsi="Calibri"/>
                <w:b/>
                <w:bCs/>
                <w:color w:val="1A1A1A"/>
                <w:sz w:val="19"/>
                <w:szCs w:val="19"/>
              </w:rPr>
              <w:t xml:space="preserve">Upgrade Neutral → Buy</w:t>
            </w:r>
          </w:p>
        </w:tc>
        <w:tc>
          <w:tcPr>
            <w:tcW w:type="dxa" w:w="1660"/>
            <w:tcBorders>
              <w:top w:val="single" w:color="DADADA" w:sz="4"/>
              <w:left w:val="single" w:color="DADADA" w:sz="4"/>
              <w:bottom w:val="single" w:color="DADADA" w:sz="4"/>
              <w:right w:val="single" w:color="DADADA" w:sz="4"/>
            </w:tcBorders>
            <w:shd w:fill="F7F8FA" w:color="auto" w:val="clear"/>
            <w:tcMar>
              <w:top w:type="dxa" w:w="80"/>
              <w:left w:type="dxa" w:w="120"/>
              <w:bottom w:type="dxa" w:w="80"/>
              <w:right w:type="dxa" w:w="120"/>
            </w:tcMar>
            <w:vAlign w:val="center"/>
          </w:tcPr>
          <w:p>
            <w:r>
              <w:rPr>
                <w:rFonts w:ascii="Calibri" w:cs="Calibri" w:eastAsia="Calibri" w:hAnsi="Calibri"/>
                <w:b w:val="false"/>
                <w:bCs w:val="false"/>
                <w:color w:val="1A1A1A"/>
                <w:sz w:val="19"/>
                <w:szCs w:val="19"/>
              </w:rPr>
              <w:t xml:space="preserve">$450 (from $240)</w:t>
            </w:r>
          </w:p>
        </w:tc>
        <w:tc>
          <w:tcPr>
            <w:tcW w:type="dxa" w:w="3600"/>
            <w:tcBorders>
              <w:top w:val="single" w:color="DADADA" w:sz="4"/>
              <w:left w:val="single" w:color="DADADA" w:sz="4"/>
              <w:bottom w:val="single" w:color="DADADA" w:sz="4"/>
              <w:right w:val="single" w:color="DADADA" w:sz="4"/>
            </w:tcBorders>
            <w:shd w:fill="F7F8FA" w:color="auto" w:val="clear"/>
            <w:tcMar>
              <w:top w:type="dxa" w:w="80"/>
              <w:left w:type="dxa" w:w="120"/>
              <w:bottom w:type="dxa" w:w="80"/>
              <w:right w:type="dxa" w:w="120"/>
            </w:tcMar>
            <w:vAlign w:val="center"/>
          </w:tcPr>
          <w:p>
            <w:r>
              <w:rPr>
                <w:rFonts w:ascii="Calibri" w:cs="Calibri" w:eastAsia="Calibri" w:hAnsi="Calibri"/>
                <w:b w:val="false"/>
                <w:bCs w:val="false"/>
                <w:color w:val="1A1A1A"/>
                <w:sz w:val="19"/>
                <w:szCs w:val="19"/>
              </w:rPr>
              <w:t xml:space="preserve">MI300X ramp and hyperscaler bookings re-rated post-Q1; AI accelerator share gains.</w:t>
            </w:r>
          </w:p>
        </w:tc>
      </w:tr>
      <w:tr>
        <w:tc>
          <w:tcPr>
            <w:tcW w:type="dxa" w:w="1500"/>
            <w:tcBorders>
              <w:top w:val="single" w:color="DADADA" w:sz="4"/>
              <w:left w:val="single" w:color="DADADA" w:sz="4"/>
              <w:bottom w:val="single" w:color="DADADA" w:sz="4"/>
              <w:right w:val="single" w:color="DADADA" w:sz="4"/>
            </w:tcBorders>
            <w:tcMar>
              <w:top w:type="dxa" w:w="80"/>
              <w:left w:type="dxa" w:w="120"/>
              <w:bottom w:type="dxa" w:w="80"/>
              <w:right w:type="dxa" w:w="120"/>
            </w:tcMar>
            <w:vAlign w:val="center"/>
          </w:tcPr>
          <w:p>
            <w:r>
              <w:rPr>
                <w:rFonts w:ascii="Calibri" w:cs="Calibri" w:eastAsia="Calibri" w:hAnsi="Calibri"/>
                <w:b/>
                <w:bCs/>
                <w:color w:val="1A1A1A"/>
                <w:sz w:val="19"/>
                <w:szCs w:val="19"/>
              </w:rPr>
              <w:t xml:space="preserve">HSBC</w:t>
            </w:r>
          </w:p>
        </w:tc>
        <w:tc>
          <w:tcPr>
            <w:tcW w:type="dxa" w:w="1100"/>
            <w:tcBorders>
              <w:top w:val="single" w:color="DADADA" w:sz="4"/>
              <w:left w:val="single" w:color="DADADA" w:sz="4"/>
              <w:bottom w:val="single" w:color="DADADA" w:sz="4"/>
              <w:right w:val="single" w:color="DADADA" w:sz="4"/>
            </w:tcBorders>
            <w:tcMar>
              <w:top w:type="dxa" w:w="80"/>
              <w:left w:type="dxa" w:w="120"/>
              <w:bottom w:type="dxa" w:w="80"/>
              <w:right w:type="dxa" w:w="120"/>
            </w:tcMar>
            <w:vAlign w:val="center"/>
          </w:tcPr>
          <w:p>
            <w:r>
              <w:rPr>
                <w:rFonts w:ascii="Calibri" w:cs="Calibri" w:eastAsia="Calibri" w:hAnsi="Calibri"/>
                <w:b/>
                <w:bCs/>
                <w:color w:val="1A1A1A"/>
                <w:sz w:val="19"/>
                <w:szCs w:val="19"/>
              </w:rPr>
              <w:t xml:space="preserve">AMD</w:t>
            </w:r>
          </w:p>
        </w:tc>
        <w:tc>
          <w:tcPr>
            <w:tcW w:type="dxa" w:w="1500"/>
            <w:tcBorders>
              <w:top w:val="single" w:color="DADADA" w:sz="4"/>
              <w:left w:val="single" w:color="DADADA" w:sz="4"/>
              <w:bottom w:val="single" w:color="DADADA" w:sz="4"/>
              <w:right w:val="single" w:color="DADADA" w:sz="4"/>
            </w:tcBorders>
            <w:tcMar>
              <w:top w:type="dxa" w:w="80"/>
              <w:left w:type="dxa" w:w="120"/>
              <w:bottom w:type="dxa" w:w="80"/>
              <w:right w:type="dxa" w:w="120"/>
            </w:tcMar>
            <w:vAlign w:val="center"/>
          </w:tcPr>
          <w:p>
            <w:r>
              <w:rPr>
                <w:rFonts w:ascii="Calibri" w:cs="Calibri" w:eastAsia="Calibri" w:hAnsi="Calibri"/>
                <w:b/>
                <w:bCs/>
                <w:color w:val="1A1A1A"/>
                <w:sz w:val="19"/>
                <w:szCs w:val="19"/>
              </w:rPr>
              <w:t xml:space="preserve">Downgrade Buy → Hold</w:t>
            </w:r>
          </w:p>
        </w:tc>
        <w:tc>
          <w:tcPr>
            <w:tcW w:type="dxa" w:w="1660"/>
            <w:tcBorders>
              <w:top w:val="single" w:color="DADADA" w:sz="4"/>
              <w:left w:val="single" w:color="DADADA" w:sz="4"/>
              <w:bottom w:val="single" w:color="DADADA" w:sz="4"/>
              <w:right w:val="single" w:color="DADADA" w:sz="4"/>
            </w:tcBorders>
            <w:tcMar>
              <w:top w:type="dxa" w:w="80"/>
              <w:left w:type="dxa" w:w="120"/>
              <w:bottom w:type="dxa" w:w="80"/>
              <w:right w:type="dxa" w:w="120"/>
            </w:tcMar>
            <w:vAlign w:val="center"/>
          </w:tcPr>
          <w:p>
            <w:r>
              <w:rPr>
                <w:rFonts w:ascii="Calibri" w:cs="Calibri" w:eastAsia="Calibri" w:hAnsi="Calibri"/>
                <w:b w:val="false"/>
                <w:bCs w:val="false"/>
                <w:color w:val="1A1A1A"/>
                <w:sz w:val="19"/>
                <w:szCs w:val="19"/>
              </w:rPr>
              <w:t xml:space="preserve">$340 (from $335)</w:t>
            </w:r>
          </w:p>
        </w:tc>
        <w:tc>
          <w:tcPr>
            <w:tcW w:type="dxa" w:w="3600"/>
            <w:tcBorders>
              <w:top w:val="single" w:color="DADADA" w:sz="4"/>
              <w:left w:val="single" w:color="DADADA" w:sz="4"/>
              <w:bottom w:val="single" w:color="DADADA" w:sz="4"/>
              <w:right w:val="single" w:color="DADADA" w:sz="4"/>
            </w:tcBorders>
            <w:tcMar>
              <w:top w:type="dxa" w:w="80"/>
              <w:left w:type="dxa" w:w="120"/>
              <w:bottom w:type="dxa" w:w="80"/>
              <w:right w:type="dxa" w:w="120"/>
            </w:tcMar>
            <w:vAlign w:val="center"/>
          </w:tcPr>
          <w:p>
            <w:r>
              <w:rPr>
                <w:rFonts w:ascii="Calibri" w:cs="Calibri" w:eastAsia="Calibri" w:hAnsi="Calibri"/>
                <w:b w:val="false"/>
                <w:bCs w:val="false"/>
                <w:color w:val="1A1A1A"/>
                <w:sz w:val="19"/>
                <w:szCs w:val="19"/>
              </w:rPr>
              <w:t xml:space="preserve">Valuation full after 16% one-day move; awaiting next data-center proof point.</w:t>
            </w:r>
          </w:p>
        </w:tc>
      </w:tr>
      <w:tr>
        <w:tc>
          <w:tcPr>
            <w:tcW w:type="dxa" w:w="1500"/>
            <w:tcBorders>
              <w:top w:val="single" w:color="DADADA" w:sz="4"/>
              <w:left w:val="single" w:color="DADADA" w:sz="4"/>
              <w:bottom w:val="single" w:color="DADADA" w:sz="4"/>
              <w:right w:val="single" w:color="DADADA" w:sz="4"/>
            </w:tcBorders>
            <w:shd w:fill="F7F8FA" w:color="auto" w:val="clear"/>
            <w:tcMar>
              <w:top w:type="dxa" w:w="80"/>
              <w:left w:type="dxa" w:w="120"/>
              <w:bottom w:type="dxa" w:w="80"/>
              <w:right w:type="dxa" w:w="120"/>
            </w:tcMar>
            <w:vAlign w:val="center"/>
          </w:tcPr>
          <w:p>
            <w:r>
              <w:rPr>
                <w:rFonts w:ascii="Calibri" w:cs="Calibri" w:eastAsia="Calibri" w:hAnsi="Calibri"/>
                <w:b/>
                <w:bCs/>
                <w:color w:val="1A1A1A"/>
                <w:sz w:val="19"/>
                <w:szCs w:val="19"/>
              </w:rPr>
              <w:t xml:space="preserve">Barclays</w:t>
            </w:r>
          </w:p>
        </w:tc>
        <w:tc>
          <w:tcPr>
            <w:tcW w:type="dxa" w:w="1100"/>
            <w:tcBorders>
              <w:top w:val="single" w:color="DADADA" w:sz="4"/>
              <w:left w:val="single" w:color="DADADA" w:sz="4"/>
              <w:bottom w:val="single" w:color="DADADA" w:sz="4"/>
              <w:right w:val="single" w:color="DADADA" w:sz="4"/>
            </w:tcBorders>
            <w:shd w:fill="F7F8FA" w:color="auto" w:val="clear"/>
            <w:tcMar>
              <w:top w:type="dxa" w:w="80"/>
              <w:left w:type="dxa" w:w="120"/>
              <w:bottom w:type="dxa" w:w="80"/>
              <w:right w:type="dxa" w:w="120"/>
            </w:tcMar>
            <w:vAlign w:val="center"/>
          </w:tcPr>
          <w:p>
            <w:r>
              <w:rPr>
                <w:rFonts w:ascii="Calibri" w:cs="Calibri" w:eastAsia="Calibri" w:hAnsi="Calibri"/>
                <w:b/>
                <w:bCs/>
                <w:color w:val="1A1A1A"/>
                <w:sz w:val="19"/>
                <w:szCs w:val="19"/>
              </w:rPr>
              <w:t xml:space="preserve">STX</w:t>
            </w:r>
          </w:p>
        </w:tc>
        <w:tc>
          <w:tcPr>
            <w:tcW w:type="dxa" w:w="1500"/>
            <w:tcBorders>
              <w:top w:val="single" w:color="DADADA" w:sz="4"/>
              <w:left w:val="single" w:color="DADADA" w:sz="4"/>
              <w:bottom w:val="single" w:color="DADADA" w:sz="4"/>
              <w:right w:val="single" w:color="DADADA" w:sz="4"/>
            </w:tcBorders>
            <w:shd w:fill="F7F8FA" w:color="auto" w:val="clear"/>
            <w:tcMar>
              <w:top w:type="dxa" w:w="80"/>
              <w:left w:type="dxa" w:w="120"/>
              <w:bottom w:type="dxa" w:w="80"/>
              <w:right w:type="dxa" w:w="120"/>
            </w:tcMar>
            <w:vAlign w:val="center"/>
          </w:tcPr>
          <w:p>
            <w:r>
              <w:rPr>
                <w:rFonts w:ascii="Calibri" w:cs="Calibri" w:eastAsia="Calibri" w:hAnsi="Calibri"/>
                <w:b/>
                <w:bCs/>
                <w:color w:val="1A1A1A"/>
                <w:sz w:val="19"/>
                <w:szCs w:val="19"/>
              </w:rPr>
              <w:t xml:space="preserve">Upgrade EW → OW</w:t>
            </w:r>
          </w:p>
        </w:tc>
        <w:tc>
          <w:tcPr>
            <w:tcW w:type="dxa" w:w="1660"/>
            <w:tcBorders>
              <w:top w:val="single" w:color="DADADA" w:sz="4"/>
              <w:left w:val="single" w:color="DADADA" w:sz="4"/>
              <w:bottom w:val="single" w:color="DADADA" w:sz="4"/>
              <w:right w:val="single" w:color="DADADA" w:sz="4"/>
            </w:tcBorders>
            <w:shd w:fill="F7F8FA" w:color="auto" w:val="clear"/>
            <w:tcMar>
              <w:top w:type="dxa" w:w="80"/>
              <w:left w:type="dxa" w:w="120"/>
              <w:bottom w:type="dxa" w:w="80"/>
              <w:right w:type="dxa" w:w="120"/>
            </w:tcMar>
            <w:vAlign w:val="center"/>
          </w:tcPr>
          <w:p>
            <w:r>
              <w:rPr>
                <w:rFonts w:ascii="Calibri" w:cs="Calibri" w:eastAsia="Calibri" w:hAnsi="Calibri"/>
                <w:b w:val="false"/>
                <w:bCs w:val="false"/>
                <w:color w:val="1A1A1A"/>
                <w:sz w:val="19"/>
                <w:szCs w:val="19"/>
              </w:rPr>
              <w:t xml:space="preserve">$625 (from $425)</w:t>
            </w:r>
          </w:p>
        </w:tc>
        <w:tc>
          <w:tcPr>
            <w:tcW w:type="dxa" w:w="3600"/>
            <w:tcBorders>
              <w:top w:val="single" w:color="DADADA" w:sz="4"/>
              <w:left w:val="single" w:color="DADADA" w:sz="4"/>
              <w:bottom w:val="single" w:color="DADADA" w:sz="4"/>
              <w:right w:val="single" w:color="DADADA" w:sz="4"/>
            </w:tcBorders>
            <w:shd w:fill="F7F8FA" w:color="auto" w:val="clear"/>
            <w:tcMar>
              <w:top w:type="dxa" w:w="80"/>
              <w:left w:type="dxa" w:w="120"/>
              <w:bottom w:type="dxa" w:w="80"/>
              <w:right w:type="dxa" w:w="120"/>
            </w:tcMar>
            <w:vAlign w:val="center"/>
          </w:tcPr>
          <w:p>
            <w:r>
              <w:rPr>
                <w:rFonts w:ascii="Calibri" w:cs="Calibri" w:eastAsia="Calibri" w:hAnsi="Calibri"/>
                <w:b w:val="false"/>
                <w:bCs w:val="false"/>
                <w:color w:val="1A1A1A"/>
                <w:sz w:val="19"/>
                <w:szCs w:val="19"/>
              </w:rPr>
              <w:t xml:space="preserve">HDD nearline pricing power; AI training data stack tailwind through 2027.</w:t>
            </w:r>
          </w:p>
        </w:tc>
      </w:tr>
      <w:tr>
        <w:tc>
          <w:tcPr>
            <w:tcW w:type="dxa" w:w="1500"/>
            <w:tcBorders>
              <w:top w:val="single" w:color="DADADA" w:sz="4"/>
              <w:left w:val="single" w:color="DADADA" w:sz="4"/>
              <w:bottom w:val="single" w:color="DADADA" w:sz="4"/>
              <w:right w:val="single" w:color="DADADA" w:sz="4"/>
            </w:tcBorders>
            <w:tcMar>
              <w:top w:type="dxa" w:w="80"/>
              <w:left w:type="dxa" w:w="120"/>
              <w:bottom w:type="dxa" w:w="80"/>
              <w:right w:type="dxa" w:w="120"/>
            </w:tcMar>
            <w:vAlign w:val="center"/>
          </w:tcPr>
          <w:p>
            <w:r>
              <w:rPr>
                <w:rFonts w:ascii="Calibri" w:cs="Calibri" w:eastAsia="Calibri" w:hAnsi="Calibri"/>
                <w:b/>
                <w:bCs/>
                <w:color w:val="1A1A1A"/>
                <w:sz w:val="19"/>
                <w:szCs w:val="19"/>
              </w:rPr>
              <w:t xml:space="preserve">Barclays</w:t>
            </w:r>
          </w:p>
        </w:tc>
        <w:tc>
          <w:tcPr>
            <w:tcW w:type="dxa" w:w="1100"/>
            <w:tcBorders>
              <w:top w:val="single" w:color="DADADA" w:sz="4"/>
              <w:left w:val="single" w:color="DADADA" w:sz="4"/>
              <w:bottom w:val="single" w:color="DADADA" w:sz="4"/>
              <w:right w:val="single" w:color="DADADA" w:sz="4"/>
            </w:tcBorders>
            <w:tcMar>
              <w:top w:type="dxa" w:w="80"/>
              <w:left w:type="dxa" w:w="120"/>
              <w:bottom w:type="dxa" w:w="80"/>
              <w:right w:type="dxa" w:w="120"/>
            </w:tcMar>
            <w:vAlign w:val="center"/>
          </w:tcPr>
          <w:p>
            <w:r>
              <w:rPr>
                <w:rFonts w:ascii="Calibri" w:cs="Calibri" w:eastAsia="Calibri" w:hAnsi="Calibri"/>
                <w:b/>
                <w:bCs/>
                <w:color w:val="1A1A1A"/>
                <w:sz w:val="19"/>
                <w:szCs w:val="19"/>
              </w:rPr>
              <w:t xml:space="preserve">SWKS</w:t>
            </w:r>
          </w:p>
        </w:tc>
        <w:tc>
          <w:tcPr>
            <w:tcW w:type="dxa" w:w="1500"/>
            <w:tcBorders>
              <w:top w:val="single" w:color="DADADA" w:sz="4"/>
              <w:left w:val="single" w:color="DADADA" w:sz="4"/>
              <w:bottom w:val="single" w:color="DADADA" w:sz="4"/>
              <w:right w:val="single" w:color="DADADA" w:sz="4"/>
            </w:tcBorders>
            <w:tcMar>
              <w:top w:type="dxa" w:w="80"/>
              <w:left w:type="dxa" w:w="120"/>
              <w:bottom w:type="dxa" w:w="80"/>
              <w:right w:type="dxa" w:w="120"/>
            </w:tcMar>
            <w:vAlign w:val="center"/>
          </w:tcPr>
          <w:p>
            <w:r>
              <w:rPr>
                <w:rFonts w:ascii="Calibri" w:cs="Calibri" w:eastAsia="Calibri" w:hAnsi="Calibri"/>
                <w:b/>
                <w:bCs/>
                <w:color w:val="1A1A1A"/>
                <w:sz w:val="19"/>
                <w:szCs w:val="19"/>
              </w:rPr>
              <w:t xml:space="preserve">Upgrade EW → OW</w:t>
            </w:r>
          </w:p>
        </w:tc>
        <w:tc>
          <w:tcPr>
            <w:tcW w:type="dxa" w:w="1660"/>
            <w:tcBorders>
              <w:top w:val="single" w:color="DADADA" w:sz="4"/>
              <w:left w:val="single" w:color="DADADA" w:sz="4"/>
              <w:bottom w:val="single" w:color="DADADA" w:sz="4"/>
              <w:right w:val="single" w:color="DADADA" w:sz="4"/>
            </w:tcBorders>
            <w:tcMar>
              <w:top w:type="dxa" w:w="80"/>
              <w:left w:type="dxa" w:w="120"/>
              <w:bottom w:type="dxa" w:w="80"/>
              <w:right w:type="dxa" w:w="120"/>
            </w:tcMar>
            <w:vAlign w:val="center"/>
          </w:tcPr>
          <w:p>
            <w:r>
              <w:rPr>
                <w:rFonts w:ascii="Calibri" w:cs="Calibri" w:eastAsia="Calibri" w:hAnsi="Calibri"/>
                <w:b w:val="false"/>
                <w:bCs w:val="false"/>
                <w:color w:val="1A1A1A"/>
                <w:sz w:val="19"/>
                <w:szCs w:val="19"/>
              </w:rPr>
              <w:t xml:space="preserve">$70 (from $60)</w:t>
            </w:r>
          </w:p>
        </w:tc>
        <w:tc>
          <w:tcPr>
            <w:tcW w:type="dxa" w:w="3600"/>
            <w:tcBorders>
              <w:top w:val="single" w:color="DADADA" w:sz="4"/>
              <w:left w:val="single" w:color="DADADA" w:sz="4"/>
              <w:bottom w:val="single" w:color="DADADA" w:sz="4"/>
              <w:right w:val="single" w:color="DADADA" w:sz="4"/>
            </w:tcBorders>
            <w:tcMar>
              <w:top w:type="dxa" w:w="80"/>
              <w:left w:type="dxa" w:w="120"/>
              <w:bottom w:type="dxa" w:w="80"/>
              <w:right w:type="dxa" w:w="120"/>
            </w:tcMar>
            <w:vAlign w:val="center"/>
          </w:tcPr>
          <w:p>
            <w:r>
              <w:rPr>
                <w:rFonts w:ascii="Calibri" w:cs="Calibri" w:eastAsia="Calibri" w:hAnsi="Calibri"/>
                <w:b w:val="false"/>
                <w:bCs w:val="false"/>
                <w:color w:val="1A1A1A"/>
                <w:sz w:val="19"/>
                <w:szCs w:val="19"/>
              </w:rPr>
              <w:t xml:space="preserve">iPhone content recovery and content gains in non-Apple smartphones.</w:t>
            </w:r>
          </w:p>
        </w:tc>
      </w:tr>
      <w:tr>
        <w:tc>
          <w:tcPr>
            <w:tcW w:type="dxa" w:w="1500"/>
            <w:tcBorders>
              <w:top w:val="single" w:color="DADADA" w:sz="4"/>
              <w:left w:val="single" w:color="DADADA" w:sz="4"/>
              <w:bottom w:val="single" w:color="DADADA" w:sz="4"/>
              <w:right w:val="single" w:color="DADADA" w:sz="4"/>
            </w:tcBorders>
            <w:shd w:fill="F7F8FA" w:color="auto" w:val="clear"/>
            <w:tcMar>
              <w:top w:type="dxa" w:w="80"/>
              <w:left w:type="dxa" w:w="120"/>
              <w:bottom w:type="dxa" w:w="80"/>
              <w:right w:type="dxa" w:w="120"/>
            </w:tcMar>
            <w:vAlign w:val="center"/>
          </w:tcPr>
          <w:p>
            <w:r>
              <w:rPr>
                <w:rFonts w:ascii="Calibri" w:cs="Calibri" w:eastAsia="Calibri" w:hAnsi="Calibri"/>
                <w:b/>
                <w:bCs/>
                <w:color w:val="1A1A1A"/>
                <w:sz w:val="19"/>
                <w:szCs w:val="19"/>
              </w:rPr>
              <w:t xml:space="preserve">Barclays</w:t>
            </w:r>
          </w:p>
        </w:tc>
        <w:tc>
          <w:tcPr>
            <w:tcW w:type="dxa" w:w="1100"/>
            <w:tcBorders>
              <w:top w:val="single" w:color="DADADA" w:sz="4"/>
              <w:left w:val="single" w:color="DADADA" w:sz="4"/>
              <w:bottom w:val="single" w:color="DADADA" w:sz="4"/>
              <w:right w:val="single" w:color="DADADA" w:sz="4"/>
            </w:tcBorders>
            <w:shd w:fill="F7F8FA" w:color="auto" w:val="clear"/>
            <w:tcMar>
              <w:top w:type="dxa" w:w="80"/>
              <w:left w:type="dxa" w:w="120"/>
              <w:bottom w:type="dxa" w:w="80"/>
              <w:right w:type="dxa" w:w="120"/>
            </w:tcMar>
            <w:vAlign w:val="center"/>
          </w:tcPr>
          <w:p>
            <w:r>
              <w:rPr>
                <w:rFonts w:ascii="Calibri" w:cs="Calibri" w:eastAsia="Calibri" w:hAnsi="Calibri"/>
                <w:b/>
                <w:bCs/>
                <w:color w:val="1A1A1A"/>
                <w:sz w:val="19"/>
                <w:szCs w:val="19"/>
              </w:rPr>
              <w:t xml:space="preserve">QRVO</w:t>
            </w:r>
          </w:p>
        </w:tc>
        <w:tc>
          <w:tcPr>
            <w:tcW w:type="dxa" w:w="1500"/>
            <w:tcBorders>
              <w:top w:val="single" w:color="DADADA" w:sz="4"/>
              <w:left w:val="single" w:color="DADADA" w:sz="4"/>
              <w:bottom w:val="single" w:color="DADADA" w:sz="4"/>
              <w:right w:val="single" w:color="DADADA" w:sz="4"/>
            </w:tcBorders>
            <w:shd w:fill="F7F8FA" w:color="auto" w:val="clear"/>
            <w:tcMar>
              <w:top w:type="dxa" w:w="80"/>
              <w:left w:type="dxa" w:w="120"/>
              <w:bottom w:type="dxa" w:w="80"/>
              <w:right w:type="dxa" w:w="120"/>
            </w:tcMar>
            <w:vAlign w:val="center"/>
          </w:tcPr>
          <w:p>
            <w:r>
              <w:rPr>
                <w:rFonts w:ascii="Calibri" w:cs="Calibri" w:eastAsia="Calibri" w:hAnsi="Calibri"/>
                <w:b/>
                <w:bCs/>
                <w:color w:val="1A1A1A"/>
                <w:sz w:val="19"/>
                <w:szCs w:val="19"/>
              </w:rPr>
              <w:t xml:space="preserve">Upgrade EW → OW</w:t>
            </w:r>
          </w:p>
        </w:tc>
        <w:tc>
          <w:tcPr>
            <w:tcW w:type="dxa" w:w="1660"/>
            <w:tcBorders>
              <w:top w:val="single" w:color="DADADA" w:sz="4"/>
              <w:left w:val="single" w:color="DADADA" w:sz="4"/>
              <w:bottom w:val="single" w:color="DADADA" w:sz="4"/>
              <w:right w:val="single" w:color="DADADA" w:sz="4"/>
            </w:tcBorders>
            <w:shd w:fill="F7F8FA" w:color="auto" w:val="clear"/>
            <w:tcMar>
              <w:top w:type="dxa" w:w="80"/>
              <w:left w:type="dxa" w:w="120"/>
              <w:bottom w:type="dxa" w:w="80"/>
              <w:right w:type="dxa" w:w="120"/>
            </w:tcMar>
            <w:vAlign w:val="center"/>
          </w:tcPr>
          <w:p>
            <w:r>
              <w:rPr>
                <w:rFonts w:ascii="Calibri" w:cs="Calibri" w:eastAsia="Calibri" w:hAnsi="Calibri"/>
                <w:b w:val="false"/>
                <w:bCs w:val="false"/>
                <w:color w:val="1A1A1A"/>
                <w:sz w:val="19"/>
                <w:szCs w:val="19"/>
              </w:rPr>
              <w:t xml:space="preserve">$100 (from $95)</w:t>
            </w:r>
          </w:p>
        </w:tc>
        <w:tc>
          <w:tcPr>
            <w:tcW w:type="dxa" w:w="3600"/>
            <w:tcBorders>
              <w:top w:val="single" w:color="DADADA" w:sz="4"/>
              <w:left w:val="single" w:color="DADADA" w:sz="4"/>
              <w:bottom w:val="single" w:color="DADADA" w:sz="4"/>
              <w:right w:val="single" w:color="DADADA" w:sz="4"/>
            </w:tcBorders>
            <w:shd w:fill="F7F8FA" w:color="auto" w:val="clear"/>
            <w:tcMar>
              <w:top w:type="dxa" w:w="80"/>
              <w:left w:type="dxa" w:w="120"/>
              <w:bottom w:type="dxa" w:w="80"/>
              <w:right w:type="dxa" w:w="120"/>
            </w:tcMar>
            <w:vAlign w:val="center"/>
          </w:tcPr>
          <w:p>
            <w:r>
              <w:rPr>
                <w:rFonts w:ascii="Calibri" w:cs="Calibri" w:eastAsia="Calibri" w:hAnsi="Calibri"/>
                <w:b w:val="false"/>
                <w:bCs w:val="false"/>
                <w:color w:val="1A1A1A"/>
                <w:sz w:val="19"/>
                <w:szCs w:val="19"/>
              </w:rPr>
              <w:t xml:space="preserve">Diversification away from handset cyclicality showing in defense and IoT mix.</w:t>
            </w:r>
          </w:p>
        </w:tc>
      </w:tr>
      <w:tr>
        <w:tc>
          <w:tcPr>
            <w:tcW w:type="dxa" w:w="1500"/>
            <w:tcBorders>
              <w:top w:val="single" w:color="DADADA" w:sz="4"/>
              <w:left w:val="single" w:color="DADADA" w:sz="4"/>
              <w:bottom w:val="single" w:color="DADADA" w:sz="4"/>
              <w:right w:val="single" w:color="DADADA" w:sz="4"/>
            </w:tcBorders>
            <w:tcMar>
              <w:top w:type="dxa" w:w="80"/>
              <w:left w:type="dxa" w:w="120"/>
              <w:bottom w:type="dxa" w:w="80"/>
              <w:right w:type="dxa" w:w="120"/>
            </w:tcMar>
            <w:vAlign w:val="center"/>
          </w:tcPr>
          <w:p>
            <w:r>
              <w:rPr>
                <w:rFonts w:ascii="Calibri" w:cs="Calibri" w:eastAsia="Calibri" w:hAnsi="Calibri"/>
                <w:b/>
                <w:bCs/>
                <w:color w:val="1A1A1A"/>
                <w:sz w:val="19"/>
                <w:szCs w:val="19"/>
              </w:rPr>
              <w:t xml:space="preserve">Wells Fargo</w:t>
            </w:r>
          </w:p>
        </w:tc>
        <w:tc>
          <w:tcPr>
            <w:tcW w:type="dxa" w:w="1100"/>
            <w:tcBorders>
              <w:top w:val="single" w:color="DADADA" w:sz="4"/>
              <w:left w:val="single" w:color="DADADA" w:sz="4"/>
              <w:bottom w:val="single" w:color="DADADA" w:sz="4"/>
              <w:right w:val="single" w:color="DADADA" w:sz="4"/>
            </w:tcBorders>
            <w:tcMar>
              <w:top w:type="dxa" w:w="80"/>
              <w:left w:type="dxa" w:w="120"/>
              <w:bottom w:type="dxa" w:w="80"/>
              <w:right w:type="dxa" w:w="120"/>
            </w:tcMar>
            <w:vAlign w:val="center"/>
          </w:tcPr>
          <w:p>
            <w:r>
              <w:rPr>
                <w:rFonts w:ascii="Calibri" w:cs="Calibri" w:eastAsia="Calibri" w:hAnsi="Calibri"/>
                <w:b/>
                <w:bCs/>
                <w:color w:val="1A1A1A"/>
                <w:sz w:val="19"/>
                <w:szCs w:val="19"/>
              </w:rPr>
              <w:t xml:space="preserve">BIIB</w:t>
            </w:r>
          </w:p>
        </w:tc>
        <w:tc>
          <w:tcPr>
            <w:tcW w:type="dxa" w:w="1500"/>
            <w:tcBorders>
              <w:top w:val="single" w:color="DADADA" w:sz="4"/>
              <w:left w:val="single" w:color="DADADA" w:sz="4"/>
              <w:bottom w:val="single" w:color="DADADA" w:sz="4"/>
              <w:right w:val="single" w:color="DADADA" w:sz="4"/>
            </w:tcBorders>
            <w:tcMar>
              <w:top w:type="dxa" w:w="80"/>
              <w:left w:type="dxa" w:w="120"/>
              <w:bottom w:type="dxa" w:w="80"/>
              <w:right w:type="dxa" w:w="120"/>
            </w:tcMar>
            <w:vAlign w:val="center"/>
          </w:tcPr>
          <w:p>
            <w:r>
              <w:rPr>
                <w:rFonts w:ascii="Calibri" w:cs="Calibri" w:eastAsia="Calibri" w:hAnsi="Calibri"/>
                <w:b/>
                <w:bCs/>
                <w:color w:val="1A1A1A"/>
                <w:sz w:val="19"/>
                <w:szCs w:val="19"/>
              </w:rPr>
              <w:t xml:space="preserve">Upgrade EW → OW</w:t>
            </w:r>
          </w:p>
        </w:tc>
        <w:tc>
          <w:tcPr>
            <w:tcW w:type="dxa" w:w="1660"/>
            <w:tcBorders>
              <w:top w:val="single" w:color="DADADA" w:sz="4"/>
              <w:left w:val="single" w:color="DADADA" w:sz="4"/>
              <w:bottom w:val="single" w:color="DADADA" w:sz="4"/>
              <w:right w:val="single" w:color="DADADA" w:sz="4"/>
            </w:tcBorders>
            <w:tcMar>
              <w:top w:type="dxa" w:w="80"/>
              <w:left w:type="dxa" w:w="120"/>
              <w:bottom w:type="dxa" w:w="80"/>
              <w:right w:type="dxa" w:w="120"/>
            </w:tcMar>
            <w:vAlign w:val="center"/>
          </w:tcPr>
          <w:p>
            <w:r>
              <w:rPr>
                <w:rFonts w:ascii="Calibri" w:cs="Calibri" w:eastAsia="Calibri" w:hAnsi="Calibri"/>
                <w:b w:val="false"/>
                <w:bCs w:val="false"/>
                <w:color w:val="1A1A1A"/>
                <w:sz w:val="19"/>
                <w:szCs w:val="19"/>
              </w:rPr>
              <w:t xml:space="preserve">$250 (from $200)</w:t>
            </w:r>
          </w:p>
        </w:tc>
        <w:tc>
          <w:tcPr>
            <w:tcW w:type="dxa" w:w="3600"/>
            <w:tcBorders>
              <w:top w:val="single" w:color="DADADA" w:sz="4"/>
              <w:left w:val="single" w:color="DADADA" w:sz="4"/>
              <w:bottom w:val="single" w:color="DADADA" w:sz="4"/>
              <w:right w:val="single" w:color="DADADA" w:sz="4"/>
            </w:tcBorders>
            <w:tcMar>
              <w:top w:type="dxa" w:w="80"/>
              <w:left w:type="dxa" w:w="120"/>
              <w:bottom w:type="dxa" w:w="80"/>
              <w:right w:type="dxa" w:w="120"/>
            </w:tcMar>
            <w:vAlign w:val="center"/>
          </w:tcPr>
          <w:p>
            <w:r>
              <w:rPr>
                <w:rFonts w:ascii="Calibri" w:cs="Calibri" w:eastAsia="Calibri" w:hAnsi="Calibri"/>
                <w:b w:val="false"/>
                <w:bCs w:val="false"/>
                <w:color w:val="1A1A1A"/>
                <w:sz w:val="19"/>
                <w:szCs w:val="19"/>
              </w:rPr>
              <w:t xml:space="preserve">Leqembi adoption inflection; pipeline optionality on tau and ALS.</w:t>
            </w:r>
          </w:p>
        </w:tc>
      </w:tr>
      <w:tr>
        <w:tc>
          <w:tcPr>
            <w:tcW w:type="dxa" w:w="1500"/>
            <w:tcBorders>
              <w:top w:val="single" w:color="DADADA" w:sz="4"/>
              <w:left w:val="single" w:color="DADADA" w:sz="4"/>
              <w:bottom w:val="single" w:color="DADADA" w:sz="4"/>
              <w:right w:val="single" w:color="DADADA" w:sz="4"/>
            </w:tcBorders>
            <w:shd w:fill="F7F8FA" w:color="auto" w:val="clear"/>
            <w:tcMar>
              <w:top w:type="dxa" w:w="80"/>
              <w:left w:type="dxa" w:w="120"/>
              <w:bottom w:type="dxa" w:w="80"/>
              <w:right w:type="dxa" w:w="120"/>
            </w:tcMar>
            <w:vAlign w:val="center"/>
          </w:tcPr>
          <w:p>
            <w:r>
              <w:rPr>
                <w:rFonts w:ascii="Calibri" w:cs="Calibri" w:eastAsia="Calibri" w:hAnsi="Calibri"/>
                <w:b/>
                <w:bCs/>
                <w:color w:val="1A1A1A"/>
                <w:sz w:val="19"/>
                <w:szCs w:val="19"/>
              </w:rPr>
              <w:t xml:space="preserve">Wells Fargo</w:t>
            </w:r>
          </w:p>
        </w:tc>
        <w:tc>
          <w:tcPr>
            <w:tcW w:type="dxa" w:w="1100"/>
            <w:tcBorders>
              <w:top w:val="single" w:color="DADADA" w:sz="4"/>
              <w:left w:val="single" w:color="DADADA" w:sz="4"/>
              <w:bottom w:val="single" w:color="DADADA" w:sz="4"/>
              <w:right w:val="single" w:color="DADADA" w:sz="4"/>
            </w:tcBorders>
            <w:shd w:fill="F7F8FA" w:color="auto" w:val="clear"/>
            <w:tcMar>
              <w:top w:type="dxa" w:w="80"/>
              <w:left w:type="dxa" w:w="120"/>
              <w:bottom w:type="dxa" w:w="80"/>
              <w:right w:type="dxa" w:w="120"/>
            </w:tcMar>
            <w:vAlign w:val="center"/>
          </w:tcPr>
          <w:p>
            <w:r>
              <w:rPr>
                <w:rFonts w:ascii="Calibri" w:cs="Calibri" w:eastAsia="Calibri" w:hAnsi="Calibri"/>
                <w:b/>
                <w:bCs/>
                <w:color w:val="1A1A1A"/>
                <w:sz w:val="19"/>
                <w:szCs w:val="19"/>
              </w:rPr>
              <w:t xml:space="preserve">NXPI</w:t>
            </w:r>
          </w:p>
        </w:tc>
        <w:tc>
          <w:tcPr>
            <w:tcW w:type="dxa" w:w="1500"/>
            <w:tcBorders>
              <w:top w:val="single" w:color="DADADA" w:sz="4"/>
              <w:left w:val="single" w:color="DADADA" w:sz="4"/>
              <w:bottom w:val="single" w:color="DADADA" w:sz="4"/>
              <w:right w:val="single" w:color="DADADA" w:sz="4"/>
            </w:tcBorders>
            <w:shd w:fill="F7F8FA" w:color="auto" w:val="clear"/>
            <w:tcMar>
              <w:top w:type="dxa" w:w="80"/>
              <w:left w:type="dxa" w:w="120"/>
              <w:bottom w:type="dxa" w:w="80"/>
              <w:right w:type="dxa" w:w="120"/>
            </w:tcMar>
            <w:vAlign w:val="center"/>
          </w:tcPr>
          <w:p>
            <w:r>
              <w:rPr>
                <w:rFonts w:ascii="Calibri" w:cs="Calibri" w:eastAsia="Calibri" w:hAnsi="Calibri"/>
                <w:b/>
                <w:bCs/>
                <w:color w:val="1A1A1A"/>
                <w:sz w:val="19"/>
                <w:szCs w:val="19"/>
              </w:rPr>
              <w:t xml:space="preserve">Downgrade OW → EW</w:t>
            </w:r>
          </w:p>
        </w:tc>
        <w:tc>
          <w:tcPr>
            <w:tcW w:type="dxa" w:w="1660"/>
            <w:tcBorders>
              <w:top w:val="single" w:color="DADADA" w:sz="4"/>
              <w:left w:val="single" w:color="DADADA" w:sz="4"/>
              <w:bottom w:val="single" w:color="DADADA" w:sz="4"/>
              <w:right w:val="single" w:color="DADADA" w:sz="4"/>
            </w:tcBorders>
            <w:shd w:fill="F7F8FA" w:color="auto" w:val="clear"/>
            <w:tcMar>
              <w:top w:type="dxa" w:w="80"/>
              <w:left w:type="dxa" w:w="120"/>
              <w:bottom w:type="dxa" w:w="80"/>
              <w:right w:type="dxa" w:w="120"/>
            </w:tcMar>
            <w:vAlign w:val="center"/>
          </w:tcPr>
          <w:p>
            <w:r>
              <w:rPr>
                <w:rFonts w:ascii="Calibri" w:cs="Calibri" w:eastAsia="Calibri" w:hAnsi="Calibri"/>
                <w:b w:val="false"/>
                <w:bCs w:val="false"/>
                <w:color w:val="1A1A1A"/>
                <w:sz w:val="19"/>
                <w:szCs w:val="19"/>
              </w:rPr>
              <w:t xml:space="preserve">$235 (from $265)</w:t>
            </w:r>
          </w:p>
        </w:tc>
        <w:tc>
          <w:tcPr>
            <w:tcW w:type="dxa" w:w="3600"/>
            <w:tcBorders>
              <w:top w:val="single" w:color="DADADA" w:sz="4"/>
              <w:left w:val="single" w:color="DADADA" w:sz="4"/>
              <w:bottom w:val="single" w:color="DADADA" w:sz="4"/>
              <w:right w:val="single" w:color="DADADA" w:sz="4"/>
            </w:tcBorders>
            <w:shd w:fill="F7F8FA" w:color="auto" w:val="clear"/>
            <w:tcMar>
              <w:top w:type="dxa" w:w="80"/>
              <w:left w:type="dxa" w:w="120"/>
              <w:bottom w:type="dxa" w:w="80"/>
              <w:right w:type="dxa" w:w="120"/>
            </w:tcMar>
            <w:vAlign w:val="center"/>
          </w:tcPr>
          <w:p>
            <w:r>
              <w:rPr>
                <w:rFonts w:ascii="Calibri" w:cs="Calibri" w:eastAsia="Calibri" w:hAnsi="Calibri"/>
                <w:b w:val="false"/>
                <w:bCs w:val="false"/>
                <w:color w:val="1A1A1A"/>
                <w:sz w:val="19"/>
                <w:szCs w:val="19"/>
              </w:rPr>
              <w:t xml:space="preserve">Auto-MCU inventory glut into 2H; China EV pricing pressure.</w:t>
            </w:r>
          </w:p>
        </w:tc>
      </w:tr>
      <w:tr>
        <w:tc>
          <w:tcPr>
            <w:tcW w:type="dxa" w:w="1500"/>
            <w:tcBorders>
              <w:top w:val="single" w:color="DADADA" w:sz="4"/>
              <w:left w:val="single" w:color="DADADA" w:sz="4"/>
              <w:bottom w:val="single" w:color="DADADA" w:sz="4"/>
              <w:right w:val="single" w:color="DADADA" w:sz="4"/>
            </w:tcBorders>
            <w:tcMar>
              <w:top w:type="dxa" w:w="80"/>
              <w:left w:type="dxa" w:w="120"/>
              <w:bottom w:type="dxa" w:w="80"/>
              <w:right w:type="dxa" w:w="120"/>
            </w:tcMar>
            <w:vAlign w:val="center"/>
          </w:tcPr>
          <w:p>
            <w:r>
              <w:rPr>
                <w:rFonts w:ascii="Calibri" w:cs="Calibri" w:eastAsia="Calibri" w:hAnsi="Calibri"/>
                <w:b/>
                <w:bCs/>
                <w:color w:val="1A1A1A"/>
                <w:sz w:val="19"/>
                <w:szCs w:val="19"/>
              </w:rPr>
              <w:t xml:space="preserve">Morgan Stanley</w:t>
            </w:r>
          </w:p>
        </w:tc>
        <w:tc>
          <w:tcPr>
            <w:tcW w:type="dxa" w:w="1100"/>
            <w:tcBorders>
              <w:top w:val="single" w:color="DADADA" w:sz="4"/>
              <w:left w:val="single" w:color="DADADA" w:sz="4"/>
              <w:bottom w:val="single" w:color="DADADA" w:sz="4"/>
              <w:right w:val="single" w:color="DADADA" w:sz="4"/>
            </w:tcBorders>
            <w:tcMar>
              <w:top w:type="dxa" w:w="80"/>
              <w:left w:type="dxa" w:w="120"/>
              <w:bottom w:type="dxa" w:w="80"/>
              <w:right w:type="dxa" w:w="120"/>
            </w:tcMar>
            <w:vAlign w:val="center"/>
          </w:tcPr>
          <w:p>
            <w:r>
              <w:rPr>
                <w:rFonts w:ascii="Calibri" w:cs="Calibri" w:eastAsia="Calibri" w:hAnsi="Calibri"/>
                <w:b/>
                <w:bCs/>
                <w:color w:val="1A1A1A"/>
                <w:sz w:val="19"/>
                <w:szCs w:val="19"/>
              </w:rPr>
              <w:t xml:space="preserve">UBER</w:t>
            </w:r>
          </w:p>
        </w:tc>
        <w:tc>
          <w:tcPr>
            <w:tcW w:type="dxa" w:w="1500"/>
            <w:tcBorders>
              <w:top w:val="single" w:color="DADADA" w:sz="4"/>
              <w:left w:val="single" w:color="DADADA" w:sz="4"/>
              <w:bottom w:val="single" w:color="DADADA" w:sz="4"/>
              <w:right w:val="single" w:color="DADADA" w:sz="4"/>
            </w:tcBorders>
            <w:tcMar>
              <w:top w:type="dxa" w:w="80"/>
              <w:left w:type="dxa" w:w="120"/>
              <w:bottom w:type="dxa" w:w="80"/>
              <w:right w:type="dxa" w:w="120"/>
            </w:tcMar>
            <w:vAlign w:val="center"/>
          </w:tcPr>
          <w:p>
            <w:r>
              <w:rPr>
                <w:rFonts w:ascii="Calibri" w:cs="Calibri" w:eastAsia="Calibri" w:hAnsi="Calibri"/>
                <w:b/>
                <w:bCs/>
                <w:color w:val="1A1A1A"/>
                <w:sz w:val="19"/>
                <w:szCs w:val="19"/>
              </w:rPr>
              <w:t xml:space="preserve">OW reiterated</w:t>
            </w:r>
          </w:p>
        </w:tc>
        <w:tc>
          <w:tcPr>
            <w:tcW w:type="dxa" w:w="1660"/>
            <w:tcBorders>
              <w:top w:val="single" w:color="DADADA" w:sz="4"/>
              <w:left w:val="single" w:color="DADADA" w:sz="4"/>
              <w:bottom w:val="single" w:color="DADADA" w:sz="4"/>
              <w:right w:val="single" w:color="DADADA" w:sz="4"/>
            </w:tcBorders>
            <w:tcMar>
              <w:top w:type="dxa" w:w="80"/>
              <w:left w:type="dxa" w:w="120"/>
              <w:bottom w:type="dxa" w:w="80"/>
              <w:right w:type="dxa" w:w="120"/>
            </w:tcMar>
            <w:vAlign w:val="center"/>
          </w:tcPr>
          <w:p>
            <w:r>
              <w:rPr>
                <w:rFonts w:ascii="Calibri" w:cs="Calibri" w:eastAsia="Calibri" w:hAnsi="Calibri"/>
                <w:b w:val="false"/>
                <w:bCs w:val="false"/>
                <w:color w:val="1A1A1A"/>
                <w:sz w:val="19"/>
                <w:szCs w:val="19"/>
              </w:rPr>
              <w:t xml:space="preserve">$110 (from $96)</w:t>
            </w:r>
          </w:p>
        </w:tc>
        <w:tc>
          <w:tcPr>
            <w:tcW w:type="dxa" w:w="3600"/>
            <w:tcBorders>
              <w:top w:val="single" w:color="DADADA" w:sz="4"/>
              <w:left w:val="single" w:color="DADADA" w:sz="4"/>
              <w:bottom w:val="single" w:color="DADADA" w:sz="4"/>
              <w:right w:val="single" w:color="DADADA" w:sz="4"/>
            </w:tcBorders>
            <w:tcMar>
              <w:top w:type="dxa" w:w="80"/>
              <w:left w:type="dxa" w:w="120"/>
              <w:bottom w:type="dxa" w:w="80"/>
              <w:right w:type="dxa" w:w="120"/>
            </w:tcMar>
            <w:vAlign w:val="center"/>
          </w:tcPr>
          <w:p>
            <w:r>
              <w:rPr>
                <w:rFonts w:ascii="Calibri" w:cs="Calibri" w:eastAsia="Calibri" w:hAnsi="Calibri"/>
                <w:b w:val="false"/>
                <w:bCs w:val="false"/>
                <w:color w:val="1A1A1A"/>
                <w:sz w:val="19"/>
                <w:szCs w:val="19"/>
              </w:rPr>
              <w:t xml:space="preserve">Mobility take-rates and ad business support a re-rating to growth multiple.</w:t>
            </w:r>
          </w:p>
        </w:tc>
      </w:tr>
      <w:tr>
        <w:tc>
          <w:tcPr>
            <w:tcW w:type="dxa" w:w="1500"/>
            <w:tcBorders>
              <w:top w:val="single" w:color="DADADA" w:sz="4"/>
              <w:left w:val="single" w:color="DADADA" w:sz="4"/>
              <w:bottom w:val="single" w:color="DADADA" w:sz="4"/>
              <w:right w:val="single" w:color="DADADA" w:sz="4"/>
            </w:tcBorders>
            <w:shd w:fill="F7F8FA" w:color="auto" w:val="clear"/>
            <w:tcMar>
              <w:top w:type="dxa" w:w="80"/>
              <w:left w:type="dxa" w:w="120"/>
              <w:bottom w:type="dxa" w:w="80"/>
              <w:right w:type="dxa" w:w="120"/>
            </w:tcMar>
            <w:vAlign w:val="center"/>
          </w:tcPr>
          <w:p>
            <w:r>
              <w:rPr>
                <w:rFonts w:ascii="Calibri" w:cs="Calibri" w:eastAsia="Calibri" w:hAnsi="Calibri"/>
                <w:b/>
                <w:bCs/>
                <w:color w:val="1A1A1A"/>
                <w:sz w:val="19"/>
                <w:szCs w:val="19"/>
              </w:rPr>
              <w:t xml:space="preserve">JPMorgan</w:t>
            </w:r>
          </w:p>
        </w:tc>
        <w:tc>
          <w:tcPr>
            <w:tcW w:type="dxa" w:w="1100"/>
            <w:tcBorders>
              <w:top w:val="single" w:color="DADADA" w:sz="4"/>
              <w:left w:val="single" w:color="DADADA" w:sz="4"/>
              <w:bottom w:val="single" w:color="DADADA" w:sz="4"/>
              <w:right w:val="single" w:color="DADADA" w:sz="4"/>
            </w:tcBorders>
            <w:shd w:fill="F7F8FA" w:color="auto" w:val="clear"/>
            <w:tcMar>
              <w:top w:type="dxa" w:w="80"/>
              <w:left w:type="dxa" w:w="120"/>
              <w:bottom w:type="dxa" w:w="80"/>
              <w:right w:type="dxa" w:w="120"/>
            </w:tcMar>
            <w:vAlign w:val="center"/>
          </w:tcPr>
          <w:p>
            <w:r>
              <w:rPr>
                <w:rFonts w:ascii="Calibri" w:cs="Calibri" w:eastAsia="Calibri" w:hAnsi="Calibri"/>
                <w:b/>
                <w:bCs/>
                <w:color w:val="1A1A1A"/>
                <w:sz w:val="19"/>
                <w:szCs w:val="19"/>
              </w:rPr>
              <w:t xml:space="preserve">DIS</w:t>
            </w:r>
          </w:p>
        </w:tc>
        <w:tc>
          <w:tcPr>
            <w:tcW w:type="dxa" w:w="1500"/>
            <w:tcBorders>
              <w:top w:val="single" w:color="DADADA" w:sz="4"/>
              <w:left w:val="single" w:color="DADADA" w:sz="4"/>
              <w:bottom w:val="single" w:color="DADADA" w:sz="4"/>
              <w:right w:val="single" w:color="DADADA" w:sz="4"/>
            </w:tcBorders>
            <w:shd w:fill="F7F8FA" w:color="auto" w:val="clear"/>
            <w:tcMar>
              <w:top w:type="dxa" w:w="80"/>
              <w:left w:type="dxa" w:w="120"/>
              <w:bottom w:type="dxa" w:w="80"/>
              <w:right w:type="dxa" w:w="120"/>
            </w:tcMar>
            <w:vAlign w:val="center"/>
          </w:tcPr>
          <w:p>
            <w:r>
              <w:rPr>
                <w:rFonts w:ascii="Calibri" w:cs="Calibri" w:eastAsia="Calibri" w:hAnsi="Calibri"/>
                <w:b/>
                <w:bCs/>
                <w:color w:val="1A1A1A"/>
                <w:sz w:val="19"/>
                <w:szCs w:val="19"/>
              </w:rPr>
              <w:t xml:space="preserve">OW reiterated</w:t>
            </w:r>
          </w:p>
        </w:tc>
        <w:tc>
          <w:tcPr>
            <w:tcW w:type="dxa" w:w="1660"/>
            <w:tcBorders>
              <w:top w:val="single" w:color="DADADA" w:sz="4"/>
              <w:left w:val="single" w:color="DADADA" w:sz="4"/>
              <w:bottom w:val="single" w:color="DADADA" w:sz="4"/>
              <w:right w:val="single" w:color="DADADA" w:sz="4"/>
            </w:tcBorders>
            <w:shd w:fill="F7F8FA" w:color="auto" w:val="clear"/>
            <w:tcMar>
              <w:top w:type="dxa" w:w="80"/>
              <w:left w:type="dxa" w:w="120"/>
              <w:bottom w:type="dxa" w:w="80"/>
              <w:right w:type="dxa" w:w="120"/>
            </w:tcMar>
            <w:vAlign w:val="center"/>
          </w:tcPr>
          <w:p>
            <w:r>
              <w:rPr>
                <w:rFonts w:ascii="Calibri" w:cs="Calibri" w:eastAsia="Calibri" w:hAnsi="Calibri"/>
                <w:b w:val="false"/>
                <w:bCs w:val="false"/>
                <w:color w:val="1A1A1A"/>
                <w:sz w:val="19"/>
                <w:szCs w:val="19"/>
              </w:rPr>
              <w:t xml:space="preserve">$135 (from $122)</w:t>
            </w:r>
          </w:p>
        </w:tc>
        <w:tc>
          <w:tcPr>
            <w:tcW w:type="dxa" w:w="3600"/>
            <w:tcBorders>
              <w:top w:val="single" w:color="DADADA" w:sz="4"/>
              <w:left w:val="single" w:color="DADADA" w:sz="4"/>
              <w:bottom w:val="single" w:color="DADADA" w:sz="4"/>
              <w:right w:val="single" w:color="DADADA" w:sz="4"/>
            </w:tcBorders>
            <w:shd w:fill="F7F8FA" w:color="auto" w:val="clear"/>
            <w:tcMar>
              <w:top w:type="dxa" w:w="80"/>
              <w:left w:type="dxa" w:w="120"/>
              <w:bottom w:type="dxa" w:w="80"/>
              <w:right w:type="dxa" w:w="120"/>
            </w:tcMar>
            <w:vAlign w:val="center"/>
          </w:tcPr>
          <w:p>
            <w:r>
              <w:rPr>
                <w:rFonts w:ascii="Calibri" w:cs="Calibri" w:eastAsia="Calibri" w:hAnsi="Calibri"/>
                <w:b w:val="false"/>
                <w:bCs w:val="false"/>
                <w:color w:val="1A1A1A"/>
                <w:sz w:val="19"/>
                <w:szCs w:val="19"/>
              </w:rPr>
              <w:t xml:space="preserve">DTC profitability inflection; parks demand resilient despite consumer wobble.</w:t>
            </w:r>
          </w:p>
        </w:tc>
      </w:tr>
    </w:tbl>
    <w:p>
      <w:pPr>
        <w:pStyle w:val="Heading1"/>
        <w:pBdr>
          <w:bottom w:val="single" w:color="C9A227" w:sz="12" w:space="4"/>
        </w:pBdr>
        <w:spacing w:after="160" w:before="360"/>
      </w:pPr>
      <w:r>
        <w:rPr>
          <w:rFonts w:ascii="Calibri" w:cs="Calibri" w:eastAsia="Calibri" w:hAnsi="Calibri"/>
          <w:b/>
          <w:bCs/>
          <w:color w:val="0B1F3A"/>
          <w:sz w:val="30"/>
          <w:szCs w:val="30"/>
        </w:rPr>
        <w:t xml:space="preserve">9. Stocks to Watch</w:t>
      </w:r>
    </w:p>
    <w:p>
      <w:pPr>
        <w:spacing w:after="80" w:before="160"/>
      </w:pPr>
      <w:r>
        <w:rPr>
          <w:rFonts w:ascii="Calibri" w:cs="Calibri" w:eastAsia="Calibri" w:hAnsi="Calibri"/>
          <w:b/>
          <w:bCs/>
          <w:color w:val="07152A"/>
          <w:sz w:val="24"/>
          <w:szCs w:val="24"/>
        </w:rPr>
        <w:t xml:space="preserve">AMD — Whose Price Target Wins?</w:t>
      </w:r>
    </w:p>
    <w:p>
      <w:pPr>
        <w:spacing w:after="120" w:before="60" w:line="300"/>
        <w:jc w:val="left"/>
      </w:pPr>
      <w:r>
        <w:rPr>
          <w:rFonts w:ascii="Calibri" w:cs="Calibri" w:eastAsia="Calibri" w:hAnsi="Calibri"/>
          <w:b w:val="false"/>
          <w:bCs w:val="false"/>
          <w:i w:val="false"/>
          <w:iCs w:val="false"/>
          <w:color w:val="1A1A1A"/>
          <w:sz w:val="22"/>
          <w:szCs w:val="22"/>
        </w:rPr>
        <w:t xml:space="preserve">AMD opened the week with a $145 implied price-target range — Goldman's $450 versus HSBC's $340 is a 32% spread that won't close quickly. Watch the $185 level today: it was the post-earnings extended-hours peak Tuesday and the line from there to $200 is where mechanical CTA buying gets activated. The 14-day RSI is at 78 — overbought, but not the 84 reading at January's peak. Options chain shows June $200 calls at 4.2x normal volume; the smart money is pricing a MI400 unveiling at Computex (June 4).</w:t>
      </w:r>
    </w:p>
    <w:p>
      <w:pPr>
        <w:spacing w:after="80" w:before="160"/>
      </w:pPr>
      <w:r>
        <w:rPr>
          <w:rFonts w:ascii="Calibri" w:cs="Calibri" w:eastAsia="Calibri" w:hAnsi="Calibri"/>
          <w:b/>
          <w:bCs/>
          <w:color w:val="07152A"/>
          <w:sz w:val="24"/>
          <w:szCs w:val="24"/>
        </w:rPr>
        <w:t xml:space="preserve">Apple (AAPL) — The Iran Dividend Trade</w:t>
      </w:r>
    </w:p>
    <w:p>
      <w:pPr>
        <w:spacing w:after="120" w:before="60" w:line="300"/>
        <w:jc w:val="left"/>
      </w:pPr>
      <w:r>
        <w:rPr>
          <w:rFonts w:ascii="Calibri" w:cs="Calibri" w:eastAsia="Calibri" w:hAnsi="Calibri"/>
          <w:b w:val="false"/>
          <w:bCs w:val="false"/>
          <w:i w:val="false"/>
          <w:iCs w:val="false"/>
          <w:color w:val="1A1A1A"/>
          <w:sz w:val="22"/>
          <w:szCs w:val="22"/>
        </w:rPr>
        <w:t xml:space="preserve">Apple is up 0.9% pre-market, but the better setup is the supply-chain readthrough: with Iran tensions abating, the iPhone 17 production schedule that was tweaked in mid-April to add Vietnam capacity for hedging may revert to the original Foxconn India ramp, lifting unit assumptions. Foxconn is up 2.8% in Taipei. Apple options expiring May 16 show $215 calls bid up — a $215 print would close the gap from the April 28 earnings reaction and put $225 in play before WWDC.</w:t>
      </w:r>
    </w:p>
    <w:p>
      <w:pPr>
        <w:spacing w:after="80" w:before="160"/>
      </w:pPr>
      <w:r>
        <w:rPr>
          <w:rFonts w:ascii="Calibri" w:cs="Calibri" w:eastAsia="Calibri" w:hAnsi="Calibri"/>
          <w:b/>
          <w:bCs/>
          <w:color w:val="07152A"/>
          <w:sz w:val="24"/>
          <w:szCs w:val="24"/>
        </w:rPr>
        <w:t xml:space="preserve">Vistra Energy (VST) — AI Power Trade Tested</w:t>
      </w:r>
    </w:p>
    <w:p>
      <w:pPr>
        <w:spacing w:after="120" w:before="60" w:line="300"/>
        <w:jc w:val="left"/>
      </w:pPr>
      <w:r>
        <w:rPr>
          <w:rFonts w:ascii="Calibri" w:cs="Calibri" w:eastAsia="Calibri" w:hAnsi="Calibri"/>
          <w:b w:val="false"/>
          <w:bCs w:val="false"/>
          <w:i w:val="false"/>
          <w:iCs w:val="false"/>
          <w:color w:val="1A1A1A"/>
          <w:sz w:val="22"/>
          <w:szCs w:val="22"/>
        </w:rPr>
        <w:t xml:space="preserve">Vistra reports pre-market with options pricing an 8.6% move — the highest implied of the day among data-center power names. The dispute is binary: bulls see Comanche Peak's expansion potential and the recently-closed PJM capacity auction at $269.92/MW-day as a free-cash-flow tailwind. Bears point to FERC's pending review of the Talen-Amazon "behind-the-meter" arrangement — a similar structure VST is pursuing — and warn that the data-center premium baked into the stock evaporates if the PJM tariff framework shifts. Watch for the PRA results commentary on the call. $130 is the support level; below $122 confirms a breakdown.</w:t>
      </w:r>
    </w:p>
    <w:p>
      <w:pPr>
        <w:spacing w:after="80" w:before="160"/>
      </w:pPr>
      <w:r>
        <w:rPr>
          <w:rFonts w:ascii="Calibri" w:cs="Calibri" w:eastAsia="Calibri" w:hAnsi="Calibri"/>
          <w:b/>
          <w:bCs/>
          <w:color w:val="07152A"/>
          <w:sz w:val="24"/>
          <w:szCs w:val="24"/>
        </w:rPr>
        <w:t xml:space="preserve">CVS Health (CVS) — The Aetna MLR Cliff</w:t>
      </w:r>
    </w:p>
    <w:p>
      <w:pPr>
        <w:spacing w:after="120" w:before="60" w:line="300"/>
        <w:jc w:val="left"/>
      </w:pPr>
      <w:r>
        <w:rPr>
          <w:rFonts w:ascii="Calibri" w:cs="Calibri" w:eastAsia="Calibri" w:hAnsi="Calibri"/>
          <w:b w:val="false"/>
          <w:bCs w:val="false"/>
          <w:i w:val="false"/>
          <w:iCs w:val="false"/>
          <w:color w:val="1A1A1A"/>
          <w:sz w:val="22"/>
          <w:szCs w:val="22"/>
        </w:rPr>
        <w:t xml:space="preserve">Pre-market reports for CVS, where the issue is whether the Aetna medical-loss ratio comes in at the guided 89.4% or higher. Last quarter's 90.4% sparked a one-day 12% drop. Consensus is 89.0% — a print above 90% triggers a guidance cut and likely re-tests the $52 March low. Conversely, 88% or better could trigger a 10%+ rally as short interest stands at 4.5% of float, the highest since the Sherrod Brown HHS hearings. The 200-day moving average at $61 is the upside marker; $62.50 is where a real reversal trade would form.</w:t>
      </w:r>
    </w:p>
    <w:p>
      <w:pPr>
        <w:pStyle w:val="Heading1"/>
        <w:pBdr>
          <w:bottom w:val="single" w:color="C9A227" w:sz="12" w:space="4"/>
        </w:pBdr>
        <w:spacing w:after="160" w:before="360"/>
      </w:pPr>
      <w:r>
        <w:rPr>
          <w:rFonts w:ascii="Calibri" w:cs="Calibri" w:eastAsia="Calibri" w:hAnsi="Calibri"/>
          <w:b/>
          <w:bCs/>
          <w:color w:val="0B1F3A"/>
          <w:sz w:val="30"/>
          <w:szCs w:val="30"/>
        </w:rPr>
        <w:t xml:space="preserve">10. Global Macro Snapshot</w:t>
      </w:r>
    </w:p>
    <w:p>
      <w:pPr>
        <w:spacing w:after="120" w:before="60" w:line="300"/>
        <w:jc w:val="left"/>
      </w:pPr>
      <w:r>
        <w:rPr>
          <w:rFonts w:ascii="Calibri" w:cs="Calibri" w:eastAsia="Calibri" w:hAnsi="Calibri"/>
          <w:b w:val="false"/>
          <w:bCs w:val="false"/>
          <w:i w:val="false"/>
          <w:iCs w:val="false"/>
          <w:color w:val="1A1A1A"/>
          <w:sz w:val="22"/>
          <w:szCs w:val="22"/>
        </w:rPr>
        <w:t xml:space="preserve">China: Politburo readout was incrementalist — markets wanted a property-demand bazooka and got infrastructure. The PBoC is now expected to deliver a 30bp policy-rate cut at the May LPR fixing on May 20, with a 100bp RRR cut sequenced ahead of it. Hang Seng tech +2.1% today on the read-through, but mainland CSI 300 was flat — divergence telling of where international versus domestic positioning sits.</w:t>
      </w:r>
    </w:p>
    <w:p>
      <w:pPr>
        <w:spacing w:after="120" w:before="60" w:line="300"/>
        <w:jc w:val="left"/>
      </w:pPr>
      <w:r>
        <w:rPr>
          <w:rFonts w:ascii="Calibri" w:cs="Calibri" w:eastAsia="Calibri" w:hAnsi="Calibri"/>
          <w:b w:val="false"/>
          <w:bCs w:val="false"/>
          <w:i w:val="false"/>
          <w:iCs w:val="false"/>
          <w:color w:val="1A1A1A"/>
          <w:sz w:val="22"/>
          <w:szCs w:val="22"/>
        </w:rPr>
        <w:t xml:space="preserve">Eurozone: Final April services PMI tomorrow expected to confirm 52.4 (above 50, expansionary), but services inflation in the print is 4.0% — sticky. The ECB is now firmly in "meeting-by-meeting" mode after the surprise hold last week, with markets pricing only one more 25bp cut by year-end. EUR/USD breaking 1.15 today is dollar-driven, not euro-positive — German Bund yields are essentially unchanged at 2.51%.</w:t>
      </w:r>
    </w:p>
    <w:p>
      <w:pPr>
        <w:spacing w:after="120" w:before="60" w:line="300"/>
        <w:jc w:val="left"/>
      </w:pPr>
      <w:r>
        <w:rPr>
          <w:rFonts w:ascii="Calibri" w:cs="Calibri" w:eastAsia="Calibri" w:hAnsi="Calibri"/>
          <w:b w:val="false"/>
          <w:bCs w:val="false"/>
          <w:i w:val="false"/>
          <w:iCs w:val="false"/>
          <w:color w:val="1A1A1A"/>
          <w:sz w:val="22"/>
          <w:szCs w:val="22"/>
        </w:rPr>
        <w:t xml:space="preserve">Japan: USD/JPY off 1.4% to 156.4 — biggest single-day drop since October. The MOF intervention thresholds have been reset, but verbal jawboning from Vice Finance Minister Mimura overnight had market-moving force. BoJ's June 17 meeting is back in play for a 25bp hike to 0.75%; OIS-implied probability has jumped to 55% from 22% a week ago.</w:t>
      </w:r>
    </w:p>
    <w:p>
      <w:pPr>
        <w:spacing w:after="120" w:before="60" w:line="300"/>
        <w:jc w:val="left"/>
      </w:pPr>
      <w:r>
        <w:rPr>
          <w:rFonts w:ascii="Calibri" w:cs="Calibri" w:eastAsia="Calibri" w:hAnsi="Calibri"/>
          <w:b w:val="false"/>
          <w:bCs w:val="false"/>
          <w:i w:val="false"/>
          <w:iCs w:val="false"/>
          <w:color w:val="1A1A1A"/>
          <w:sz w:val="22"/>
          <w:szCs w:val="22"/>
        </w:rPr>
        <w:t xml:space="preserve">Emerging markets: MSCI EM is up 1.9% today, the biggest single-day move since January, led by Korea (Kospi +1.4%) and Brazil futures (+1.1%) on commodity dynamics. Turkey is the standout positive, with the lira strengthening 0.8% and BIST 100 up 2.4% as foreign-currency reserves crossed $150bn for the first time post-currency crisis. The carry trade is back.</w:t>
      </w:r>
    </w:p>
    <w:p>
      <w:pPr>
        <w:pStyle w:val="Heading1"/>
        <w:pBdr>
          <w:bottom w:val="single" w:color="C9A227" w:sz="12" w:space="4"/>
        </w:pBdr>
        <w:spacing w:after="160" w:before="360"/>
      </w:pPr>
      <w:r>
        <w:rPr>
          <w:rFonts w:ascii="Calibri" w:cs="Calibri" w:eastAsia="Calibri" w:hAnsi="Calibri"/>
          <w:b/>
          <w:bCs/>
          <w:color w:val="0B1F3A"/>
          <w:sz w:val="30"/>
          <w:szCs w:val="30"/>
        </w:rPr>
        <w:t xml:space="preserve">11. Week Ahead Preview</w:t>
      </w:r>
    </w:p>
    <w:p>
      <w:pPr>
        <w:spacing w:after="120" w:before="60" w:line="300"/>
        <w:jc w:val="left"/>
      </w:pPr>
      <w:r>
        <w:rPr>
          <w:rFonts w:ascii="Calibri" w:cs="Calibri" w:eastAsia="Calibri" w:hAnsi="Calibri"/>
          <w:b w:val="false"/>
          <w:bCs w:val="false"/>
          <w:i w:val="false"/>
          <w:iCs w:val="false"/>
          <w:color w:val="1A1A1A"/>
          <w:sz w:val="22"/>
          <w:szCs w:val="22"/>
        </w:rPr>
        <w:t xml:space="preserve">Today (Wed): ADP at 8:15 ET, EIA crude at 10:30, 10-year Treasury auction at 1:00, Daly speech at 7:30 PM. Pre-market earnings from McKesson, Marriott, CVS, Vistra; after-close from Robinhood, Occidental, AppLovin.</w:t>
      </w:r>
    </w:p>
    <w:p>
      <w:pPr>
        <w:spacing w:after="120" w:before="60" w:line="300"/>
        <w:jc w:val="left"/>
      </w:pPr>
      <w:r>
        <w:rPr>
          <w:rFonts w:ascii="Calibri" w:cs="Calibri" w:eastAsia="Calibri" w:hAnsi="Calibri"/>
          <w:b w:val="false"/>
          <w:bCs w:val="false"/>
          <w:i w:val="false"/>
          <w:iCs w:val="false"/>
          <w:color w:val="1A1A1A"/>
          <w:sz w:val="22"/>
          <w:szCs w:val="22"/>
        </w:rPr>
        <w:t xml:space="preserve">Thursday: Initial jobless claims (consensus 222k); Q1 productivity revision; Fed's Williams (NY Fed) speaks at 9:30 AM ET — important first read of the swing voter; Boeing pre-market with focus on 737 MAX delivery cadence and 777-9 certification timing. Earnings also from Toyota, BT Group, AB InBev, ConocoPhillips.</w:t>
      </w:r>
    </w:p>
    <w:p>
      <w:pPr>
        <w:spacing w:after="120" w:before="60" w:line="300"/>
        <w:jc w:val="left"/>
      </w:pPr>
      <w:r>
        <w:rPr>
          <w:rFonts w:ascii="Calibri" w:cs="Calibri" w:eastAsia="Calibri" w:hAnsi="Calibri"/>
          <w:b w:val="false"/>
          <w:bCs w:val="false"/>
          <w:i w:val="false"/>
          <w:iCs w:val="false"/>
          <w:color w:val="1A1A1A"/>
          <w:sz w:val="22"/>
          <w:szCs w:val="22"/>
        </w:rPr>
        <w:t xml:space="preserve">Friday: April nonfarm payrolls is the marquee — consensus +175k jobs, unemployment 4.1%, average hourly earnings +0.2%. Whisper number is +130k after weak ADP risk; the dollar will swing 50+ bps either way. Also: April CPI is delayed to May 14 (BLS schedule), but PPI Friday will set inflation tone. Chinese trade data Sunday.</w:t>
      </w:r>
    </w:p>
    <w:p>
      <w:pPr>
        <w:spacing w:after="120" w:before="60" w:line="300"/>
        <w:jc w:val="left"/>
      </w:pPr>
      <w:r>
        <w:rPr>
          <w:rFonts w:ascii="Calibri" w:cs="Calibri" w:eastAsia="Calibri" w:hAnsi="Calibri"/>
          <w:b w:val="false"/>
          <w:bCs w:val="false"/>
          <w:i w:val="false"/>
          <w:iCs w:val="false"/>
          <w:color w:val="1A1A1A"/>
          <w:sz w:val="22"/>
          <w:szCs w:val="22"/>
        </w:rPr>
        <w:t xml:space="preserve">Beyond this week: NVDA earnings May 28 (the AI bellwether); Warsh sworn in May 15; G7 finance ministers meet May 22-23 in Banff (FX coordination chatter); FOMC June 11; ECB June 5; BoJ June 17; OPEC+ June 1.</w:t>
      </w:r>
    </w:p>
    <w:p>
      <w:pPr>
        <w:pStyle w:val="Heading1"/>
        <w:pBdr>
          <w:bottom w:val="single" w:color="C9A227" w:sz="12" w:space="4"/>
        </w:pBdr>
        <w:spacing w:after="160" w:before="360"/>
      </w:pPr>
      <w:r>
        <w:rPr>
          <w:rFonts w:ascii="Calibri" w:cs="Calibri" w:eastAsia="Calibri" w:hAnsi="Calibri"/>
          <w:b/>
          <w:bCs/>
          <w:color w:val="0B1F3A"/>
          <w:sz w:val="30"/>
          <w:szCs w:val="30"/>
        </w:rPr>
        <w:t xml:space="preserve">12. Closing Thought</w:t>
      </w:r>
    </w:p>
    <w:p>
      <w:pPr>
        <w:spacing w:after="120" w:before="60" w:line="300"/>
        <w:jc w:val="left"/>
      </w:pPr>
      <w:r>
        <w:rPr>
          <w:rFonts w:ascii="Calibri" w:cs="Calibri" w:eastAsia="Calibri" w:hAnsi="Calibri"/>
          <w:b w:val="false"/>
          <w:bCs w:val="false"/>
          <w:i w:val="false"/>
          <w:iCs w:val="false"/>
          <w:color w:val="1A1A1A"/>
          <w:sz w:val="22"/>
          <w:szCs w:val="22"/>
        </w:rPr>
        <w:t xml:space="preserve">The conventional wisdom this morning is that lower oil plus a peace dividend equals more risk-on. The contrarian read is that this is precisely when financial conditions ease enough to keep inflation from descending the last mile — and the Fed loses optionality just as Warsh takes the chair. The May 2026 setup is reminiscent in structure to early 1996: a sticky-3% inflation print, a tight labor market, an asset-price boom led by transformative technology, and a central bank with clear hawks and dovish dissenters fighting over the steady-state real rate. That cycle ended with two more years of equity gains and a stealth acceleration in inflation that the Fed had to chase from 1999 onward.</w:t>
      </w:r>
    </w:p>
    <w:p>
      <w:pPr>
        <w:spacing w:after="120" w:before="60" w:line="300"/>
        <w:jc w:val="left"/>
      </w:pPr>
      <w:r>
        <w:rPr>
          <w:rFonts w:ascii="Calibri" w:cs="Calibri" w:eastAsia="Calibri" w:hAnsi="Calibri"/>
          <w:b w:val="false"/>
          <w:bCs w:val="false"/>
          <w:i w:val="false"/>
          <w:iCs w:val="false"/>
          <w:color w:val="1A1A1A"/>
          <w:sz w:val="22"/>
          <w:szCs w:val="22"/>
        </w:rPr>
        <w:t xml:space="preserve">If the Iran peace holds, the cleanest beneficiaries are the unhedged consumer-discretionary names with energy-cost sensitivity (airlines, package delivery, retailers with sub-30% gross margins), the leveraged loan complex, and EM credit. The cleanest underperformers are nominal Treasuries — a peace dividend without a fiscal dividend is the worst combination for the long bond. The risk the market is underpricing is not that Iran reneges; it's that the inflation glide path stalls on the very dovishness the dis-escalation enables. Watch the 5Y5Y forward break-even. If it breaches 2.30%, the trade isn't risk-on — it's bonds-down.</w:t>
      </w:r>
    </w:p>
    <w:p>
      <w:pPr>
        <w:spacing w:after="120" w:before="60" w:line="300"/>
        <w:jc w:val="left"/>
      </w:pPr>
      <w:r>
        <w:rPr>
          <w:rFonts w:ascii="Calibri" w:cs="Calibri" w:eastAsia="Calibri" w:hAnsi="Calibri"/>
          <w:b w:val="false"/>
          <w:bCs w:val="false"/>
          <w:i w:val="false"/>
          <w:iCs w:val="false"/>
          <w:color w:val="1A1A1A"/>
          <w:sz w:val="22"/>
          <w:szCs w:val="22"/>
        </w:rPr>
        <w:t xml:space="preserve">As one strategist put it last night: "The peace dividend is real. The question is whether anyone hedges against the peace."</w:t>
      </w:r>
    </w:p>
    <w:p>
      <w:pPr>
        <w:spacing w:after="120" w:before="60" w:line="300"/>
        <w:jc w:val="left"/>
      </w:pPr>
      <w:r>
        <w:rPr>
          <w:rFonts w:ascii="Calibri" w:cs="Calibri" w:eastAsia="Calibri" w:hAnsi="Calibri"/>
          <w:b w:val="false"/>
          <w:bCs w:val="false"/>
          <w:i w:val="false"/>
          <w:iCs w:val="false"/>
          <w:color w:val="1A1A1A"/>
          <w:sz w:val="22"/>
          <w:szCs w:val="22"/>
        </w:rPr>
        <w:t xml:space="preserve"/>
      </w:r>
    </w:p>
    <w:p>
      <w:pPr>
        <w:spacing w:after="120" w:before="60" w:line="300"/>
        <w:jc w:val="center"/>
      </w:pPr>
      <w:r>
        <w:rPr>
          <w:rFonts w:ascii="Calibri" w:cs="Calibri" w:eastAsia="Calibri" w:hAnsi="Calibri"/>
          <w:b w:val="false"/>
          <w:bCs w:val="false"/>
          <w:i/>
          <w:iCs/>
          <w:color w:val="5A6273"/>
          <w:sz w:val="22"/>
          <w:szCs w:val="22"/>
        </w:rPr>
        <w:t xml:space="preserve">— END —</w:t>
      </w:r>
    </w:p>
    <w:p>
      <w:pPr>
        <w:spacing w:after="120" w:before="60" w:line="300"/>
        <w:jc w:val="left"/>
      </w:pPr>
      <w:r>
        <w:rPr>
          <w:rFonts w:ascii="Calibri" w:cs="Calibri" w:eastAsia="Calibri" w:hAnsi="Calibri"/>
          <w:b w:val="false"/>
          <w:bCs w:val="false"/>
          <w:i/>
          <w:iCs/>
          <w:color w:val="5A6273"/>
          <w:sz w:val="18"/>
          <w:szCs w:val="18"/>
        </w:rPr>
        <w:t xml:space="preserve">This brief is informational and does not constitute investment advice. Data as of approximately 9:30 AM ET, May 6, 2026. Sources include public market data feeds, S&amp;P/FactSet, Treasury Department H.15, EIA, CME, Cboe, and reporting by CNBC, Bloomberg, Reuters, and the Wall Street Journal.</w:t>
      </w:r>
    </w:p>
    <w:sectPr>
      <w:headerReference w:type="default" r:id="rId7"/>
      <w:footerReference w:type="default" r:id="rId8"/>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A6273"/>
        <w:sz w:val="18"/>
        <w:szCs w:val="18"/>
      </w:rPr>
      <w:t xml:space="preserve">Prepared by Cowork  |  Page </w:t>
    </w:r>
    <w:r>
      <w:rPr>
        <w:rFonts w:ascii="Calibri" w:cs="Calibri" w:eastAsia="Calibri" w:hAnsi="Calibri"/>
        <w:color w:val="5A6273"/>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227" w:sz="6" w:space="4"/>
      </w:pBdr>
      <w:jc w:val="right"/>
    </w:pPr>
    <w:r>
      <w:rPr>
        <w:rFonts w:ascii="Calibri" w:cs="Calibri" w:eastAsia="Calibri" w:hAnsi="Calibri"/>
        <w:i/>
        <w:iCs/>
        <w:color w:val="5A6273"/>
        <w:sz w:val="18"/>
        <w:szCs w:val="18"/>
      </w:rPr>
      <w:t xml:space="preserve">Daily Financial Brief  |  May 6,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0B1F3A"/>
      <w:sz w:val="30"/>
      <w:szCs w:val="30"/>
    </w:rPr>
  </w:style>
  <w:style w:type="paragraph" w:styleId="Heading2">
    <w:name w:val="Heading 2"/>
    <w:basedOn w:val="Normal"/>
    <w:next w:val="Normal"/>
    <w:qFormat/>
    <w:pPr>
      <w:spacing w:after="120" w:before="240"/>
      <w:outlineLvl w:val="1"/>
    </w:pPr>
    <w:rPr>
      <w:rFonts w:ascii="Calibri" w:cs="Calibri" w:eastAsia="Calibri" w:hAnsi="Calibri"/>
      <w:b/>
      <w:bCs/>
      <w:color w:val="0B1F3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Daily Financial Brief Wednesday, May 6, 2026</dc:title>
  <dc:creator>Daily Financial Brief</dc:creator>
  <cp:lastModifiedBy>Un-named</cp:lastModifiedBy>
  <cp:revision>1</cp:revision>
  <dcterms:created xsi:type="dcterms:W3CDTF">2026-05-06T16:07:58.419Z</dcterms:created>
  <dcterms:modified xsi:type="dcterms:W3CDTF">2026-05-06T16:07:58.419Z</dcterms:modified>
</cp:coreProperties>
</file>

<file path=docProps/custom.xml><?xml version="1.0" encoding="utf-8"?>
<Properties xmlns="http://schemas.openxmlformats.org/officeDocument/2006/custom-properties" xmlns:vt="http://schemas.openxmlformats.org/officeDocument/2006/docPropsVTypes"/>
</file>