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Lint</w:t>
      </w:r>
    </w:p>
    <w:p>
      <w:pPr>
        <w:jc w:val="center"/>
      </w:pPr>
      <w:r>
        <w:rPr>
          <w:b/>
        </w:rPr>
        <w:t>Proyecto: Acme-Starters-B</w:t>
      </w:r>
    </w:p>
    <w:p/>
    <w:p>
      <w:pPr>
        <w:pStyle w:val="Heading1"/>
      </w:pPr>
      <w:r>
        <w:t>Alcance</w:t>
      </w:r>
    </w:p>
    <w:p>
      <w:r>
        <w:t>Este informe recoge los bad smells reportados por SonarLint en el proyecto que se consideran inocuos. Los avisos pertenecientes al Acme Framework no se incluyen, ya que forman parte del framework proporcionado. Algunos avisos pertenecen también al código base de Acme Starter B; se indican como tal y se mantienen porque no han sido implementados por el equipo.</w:t>
      </w:r>
    </w:p>
    <w:p>
      <w:pPr>
        <w:pStyle w:val="Heading1"/>
      </w:pPr>
      <w:r>
        <w:t>Bad smells reportados y justificación</w:t>
      </w:r>
    </w:p>
    <w:p>
      <w:pPr>
        <w:pStyle w:val="Heading2"/>
      </w:pPr>
      <w:r>
        <w:t>1. Convención de nombres de paquetes</w:t>
      </w:r>
    </w:p>
    <w:p>
      <w:r>
        <w:rPr>
          <w:b/>
        </w:rPr>
        <w:t xml:space="preserve">Mensaje: </w:t>
      </w:r>
      <w:r>
        <w:t>“Rename this package name to match the regular expression ^[a-z_]+(\.[a-z_][a-z0-9_]*)*$.”</w:t>
      </w:r>
    </w:p>
    <w:p>
      <w:r>
        <w:rPr>
          <w:b/>
        </w:rPr>
        <w:t xml:space="preserve">Afecta a: </w:t>
      </w:r>
      <w:r>
        <w:t>Paquetes acme.features.student5.any.auditReport, acme.features.student5.any.auditSection, acme.features.student5.auditor.auditReport, acme.features.student5.auditor.auditSection y los paquetes del starter acme.features.levelb.*.projectComponents.</w:t>
      </w:r>
    </w:p>
    <w:p>
      <w:r>
        <w:rPr>
          <w:b/>
        </w:rPr>
        <w:t xml:space="preserve">Justificación: </w:t>
      </w:r>
      <w:r>
        <w:t>Es un aviso de estilo provocado por segmentos de paquete en camel case, como auditReport, auditSection y projectComponents. No afecta a la compilación, al escaneo de componentes de Spring, a las rutas, a la persistencia ni al comportamiento en ejecución. Se mantiene porque la estructura es coherente con la organización actual de las funcionalidades y con el código del starter.</w:t>
      </w:r>
    </w:p>
    <w:p>
      <w:pPr>
        <w:pStyle w:val="Heading2"/>
      </w:pPr>
      <w:r>
        <w:t>2. Repositorios en entidades serializables</w:t>
      </w:r>
    </w:p>
    <w:p>
      <w:r>
        <w:rPr>
          <w:b/>
        </w:rPr>
        <w:t xml:space="preserve">Mensaje: </w:t>
      </w:r>
      <w:r>
        <w:t>“Make &lt;repository&gt; transient or serializable.”</w:t>
      </w:r>
    </w:p>
    <w:p>
      <w:r>
        <w:rPr>
          <w:b/>
        </w:rPr>
        <w:t xml:space="preserve">Afecta a: </w:t>
      </w:r>
      <w:r>
        <w:t>Campaign.java, Invention.java, Sponsorship.java, Strategy.java y AuditReport.java.</w:t>
      </w:r>
    </w:p>
    <w:p>
      <w:r>
        <w:rPr>
          <w:b/>
        </w:rPr>
        <w:t xml:space="preserve">Justificación: </w:t>
      </w:r>
      <w:r>
        <w:t>Los repositorios son dependencias de Spring inyectadas únicamente para calcular atributos derivados, como esfuerzo, coste, dinero total, porcentaje esperado u horas de auditoría. Están marcados con @Transient de JPA y no forman parte del estado persistente de negocio. Este patrón sigue la forma explicada en clase para el proyecto Acme. La aplicación no depende de serializar esas referencias a repositorios, por lo que el aviso es inocuo en este contexto.</w:t>
      </w:r>
    </w:p>
    <w:p>
      <w:pPr>
        <w:pStyle w:val="Heading2"/>
      </w:pPr>
      <w:r>
        <w:t>3. Contraseña de base de datos en ficheros properties</w:t>
      </w:r>
    </w:p>
    <w:p>
      <w:r>
        <w:rPr>
          <w:b/>
        </w:rPr>
        <w:t xml:space="preserve">Mensaje: </w:t>
      </w:r>
      <w:r>
        <w:t>“Make sure this database password gets changed and removed from the code.”</w:t>
      </w:r>
    </w:p>
    <w:p>
      <w:r>
        <w:rPr>
          <w:b/>
        </w:rPr>
        <w:t xml:space="preserve">Afecta a: </w:t>
      </w:r>
      <w:r>
        <w:t>platform-development.properties, platform-testing.properties y platform-production.properties.</w:t>
      </w:r>
    </w:p>
    <w:p>
      <w:r>
        <w:rPr>
          <w:b/>
        </w:rPr>
        <w:t xml:space="preserve">Justificación: </w:t>
      </w:r>
      <w:r>
        <w:t>Los ficheros de desarrollo y testing contienen la contraseña local usada para ejecutar el proyecto en el entorno académico. El fichero de producción contiene el marcador &lt;password&gt;, no una credencial real de despliegue. Antes de un despliegue real se debería externalizar el valor, pero en este contexto local/académico no supone un riesgo de seguridad.</w:t>
      </w:r>
    </w:p>
    <w:p>
      <w:pPr>
        <w:pStyle w:val="Heading2"/>
      </w:pPr>
      <w:r>
        <w:t>4. Posible NullPointerException al publicar un proyecto</w:t>
      </w:r>
    </w:p>
    <w:p>
      <w:r>
        <w:rPr>
          <w:b/>
        </w:rPr>
        <w:t xml:space="preserve">Mensaje: </w:t>
      </w:r>
      <w:r>
        <w:t>“A NullPointerException could be thrown; campaign/invention/strategy is nullable here.”</w:t>
      </w:r>
    </w:p>
    <w:p>
      <w:r>
        <w:rPr>
          <w:b/>
        </w:rPr>
        <w:t xml:space="preserve">Afecta a: </w:t>
      </w:r>
      <w:r>
        <w:t>ManagerProjectPublishService.java.</w:t>
      </w:r>
    </w:p>
    <w:p>
      <w:r>
        <w:rPr>
          <w:b/>
        </w:rPr>
        <w:t xml:space="preserve">Justificación: </w:t>
      </w:r>
      <w:r>
        <w:t>Los métodos del repositorio devuelven colecciones de componentes existentes asociados al proyecto seleccionado. Un componente solo aparece en esas colecciones si pertenece a un proyecto existente, por lo que no se esperan elementos null en el flujo normal del dominio. Además, el servicio comprueba el proyecto, el rol propietario y la cuenta de usuario antes de autorizar la operación. SonarLint no puede inferir estas invariantes del repositorio y del dominio, por lo que la ruta con null no es alcanzable en el uso normal.</w:t>
      </w:r>
    </w:p>
    <w:p>
      <w:pPr>
        <w:pStyle w:val="Heading2"/>
      </w:pPr>
      <w:r>
        <w:t>5. Dangling else / llaves explícitas</w:t>
      </w:r>
    </w:p>
    <w:p>
      <w:r>
        <w:rPr>
          <w:b/>
        </w:rPr>
        <w:t xml:space="preserve">Mensaje: </w:t>
      </w:r>
      <w:r>
        <w:t>“Add explicit curly braces to avoid dangling else.”</w:t>
      </w:r>
    </w:p>
    <w:p>
      <w:r>
        <w:rPr>
          <w:b/>
        </w:rPr>
        <w:t xml:space="preserve">Afecta a: </w:t>
      </w:r>
      <w:r>
        <w:t>FundraiserProjectComponentsShowService.java, InventorProjectComponentsShowService.java, SpokespersonProjectComponentsShowService.java y ManagerProjectComponentsShowService.java.</w:t>
      </w:r>
    </w:p>
    <w:p>
      <w:r>
        <w:rPr>
          <w:b/>
        </w:rPr>
        <w:t xml:space="preserve">Justificación: </w:t>
      </w:r>
      <w:r>
        <w:t>Es un aviso de legibilidad. La estructura if/else anidada actual es inequívoca y funciona como se pretende: si se encuentra más de un componente autorizado, se invalida la selección. Este código sigue el patrón del starter para los componentes de proyecto y se ha mantenido sin cambios.</w:t>
      </w:r>
    </w:p>
    <w:p>
      <w:pPr>
        <w:pStyle w:val="Heading2"/>
      </w:pPr>
      <w:r>
        <w:t>6. If anidados</w:t>
      </w:r>
    </w:p>
    <w:p>
      <w:r>
        <w:rPr>
          <w:b/>
        </w:rPr>
        <w:t xml:space="preserve">Mensaje: </w:t>
      </w:r>
      <w:r>
        <w:t>“Merge this if statement with the enclosing one.”</w:t>
      </w:r>
    </w:p>
    <w:p>
      <w:r>
        <w:rPr>
          <w:b/>
        </w:rPr>
        <w:t xml:space="preserve">Afecta a: </w:t>
      </w:r>
      <w:r>
        <w:t>AuditorAuditReportUpdateService.java.</w:t>
      </w:r>
    </w:p>
    <w:p>
      <w:r>
        <w:rPr>
          <w:b/>
        </w:rPr>
        <w:t xml:space="preserve">Justificación: </w:t>
      </w:r>
      <w:r>
        <w:t>Los if anidados separan dos comprobaciones distintas: primero, que no existan errores previos de validación; segundo, que ambas fechas no sean null antes de compararlas. La estructura es equivalente a una condición única combinada, pero resulta más clara y no introduce ningún error funcional.</w:t>
      </w:r>
    </w:p>
    <w:p>
      <w:pPr>
        <w:pStyle w:val="Heading2"/>
      </w:pPr>
      <w:r>
        <w:t>7. Literales booleanos / expresión booleana primitiva</w:t>
      </w:r>
    </w:p>
    <w:p>
      <w:r>
        <w:rPr>
          <w:b/>
        </w:rPr>
        <w:t xml:space="preserve">Mensaje: </w:t>
      </w:r>
      <w:r>
        <w:t>“Remove the unnecessary boolean literal” y “Use a primitive boolean expression here.”</w:t>
      </w:r>
    </w:p>
    <w:p>
      <w:r>
        <w:rPr>
          <w:b/>
        </w:rPr>
        <w:t xml:space="preserve">Afecta a: </w:t>
      </w:r>
      <w:r>
        <w:t>ManagerProjectMemberShowService.java, FundraiserTacticListService.java y FundraiserTacticCreateService.java.</w:t>
      </w:r>
    </w:p>
    <w:p>
      <w:r>
        <w:rPr>
          <w:b/>
        </w:rPr>
        <w:t xml:space="preserve">Justificación: </w:t>
      </w:r>
      <w:r>
        <w:t>Son avisos de estilo. Las asignaciones booleanas explícitas y los valores por defecto se usan para dejar clara la lógica de autorización y el tratamiento de null. No cambian el resultado de la computación ni suponen riesgo en ejecución.</w:t>
      </w:r>
    </w:p>
    <w:p>
      <w:pPr>
        <w:pStyle w:val="Heading2"/>
      </w:pPr>
      <w:r>
        <w:t>8. Sintaxis de expresión regular</w:t>
      </w:r>
    </w:p>
    <w:p>
      <w:r>
        <w:rPr>
          <w:b/>
        </w:rPr>
        <w:t xml:space="preserve">Mensaje: </w:t>
      </w:r>
      <w:r>
        <w:t>“Use concise character class syntax \d instead of [0-9].”</w:t>
      </w:r>
    </w:p>
    <w:p>
      <w:r>
        <w:rPr>
          <w:b/>
        </w:rPr>
        <w:t xml:space="preserve">Afecta a: </w:t>
      </w:r>
      <w:r>
        <w:t>ValidTicker.java.</w:t>
      </w:r>
    </w:p>
    <w:p>
      <w:r>
        <w:rPr>
          <w:b/>
        </w:rPr>
        <w:t xml:space="preserve">Justificación: </w:t>
      </w:r>
      <w:r>
        <w:t>[0-9] se usa de forma intencionadamente explícita y es equivalente para el formato de ticker requerido por el proyecto. Sustituirlo por \d sería solo un cambio de estilo y no modificaría el comportamiento de validación esperado.</w:t>
      </w:r>
    </w:p>
    <w:p>
      <w:pPr>
        <w:pStyle w:val="Heading2"/>
      </w:pPr>
      <w:r>
        <w:t>9. Complejidad cognitiva en el validador</w:t>
      </w:r>
    </w:p>
    <w:p>
      <w:r>
        <w:rPr>
          <w:b/>
        </w:rPr>
        <w:t xml:space="preserve">Mensaje: </w:t>
      </w:r>
      <w:r>
        <w:t>“Refactor this method to reduce its Cognitive Complexity from 21 to the 15 allowed.”</w:t>
      </w:r>
    </w:p>
    <w:p>
      <w:r>
        <w:rPr>
          <w:b/>
        </w:rPr>
        <w:t xml:space="preserve">Afecta a: </w:t>
      </w:r>
      <w:r>
        <w:t>InventionValidator.java.</w:t>
      </w:r>
    </w:p>
    <w:p>
      <w:r>
        <w:rPr>
          <w:b/>
        </w:rPr>
        <w:t xml:space="preserve">Justificación: </w:t>
      </w:r>
      <w:r>
        <w:t>El método centraliza las reglas independientes de validación de Invention: modo borrador, existencia de partes, intervalo de fechas, fechas futuras y unicidad del ticker. La complejidad procede de reglas de negocio necesarias y de comprobaciones defensivas de null, no de un comportamiento incorrecto. Mantener las comprobaciones juntas facilita revisar el validador para esta entrega.</w:t>
      </w:r>
    </w:p>
    <w:p>
      <w:pPr>
        <w:pStyle w:val="Heading1"/>
      </w:pPr>
      <w:r>
        <w:t>Conclusión</w:t>
      </w:r>
    </w:p>
    <w:p>
      <w:r>
        <w:t>Todos los avisos anteriores se consideran inocuos porque son de estilo, proceden de la estructura proporcionada por el starter/framework o se deben a limitaciones del análisis estático al no conocer las invariantes del repositorio y del dominio. Los avisos correspondientes al Acme Framework se han ignorado, tal como permite el enunciado.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Lint - Acme-Starters-B</dc:title>
  <dc:subject>Informe SonarLint</dc:subject>
  <dc:creator>Equipo Acme-Starters-B</dc:creator>
  <cp:keywords/>
  <dc:description>generated by python-docx</dc:description>
  <cp:lastModifiedBy/>
  <cp:revision>1</cp:revision>
  <dcterms:created xsi:type="dcterms:W3CDTF">2013-12-23T23:15:00Z</dcterms:created>
  <dcterms:modified xsi:type="dcterms:W3CDTF">2013-12-23T23:15:00Z</dcterms:modified>
  <cp:category/>
</cp:coreProperties>
</file>