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SDD Updates – Doc Sweep (6/13/26)</w:t>
      </w:r>
    </w:p>
    <w:p>
      <w:pPr>
        <w:spacing w:after="160"/>
      </w:pPr>
      <w:r>
        <w:t xml:space="preserve">Six items to paste into SDDDocument-SP26-JBassett. Each section below names the SDD location and gives the exact text/table to add. Suggested version log entry is at the end.</w:t>
      </w:r>
    </w:p>
    <w:p>
      <w:pPr>
        <w:pStyle w:val="Heading2"/>
      </w:pPr>
      <w:r>
        <w:t xml:space="preserve">1. Testing-Approach Paragraph</w:t>
      </w:r>
    </w:p>
    <w:p>
      <w:pPr>
        <w:spacing w:after="200" w:before="80"/>
      </w:pPr>
      <w:r>
        <w:rPr>
          <w:i/>
          <w:iCs/>
          <w:color w:val="555555"/>
        </w:rPr>
        <w:t xml:space="preserve">Where: “Test plan and Use Cases” section — insert as a new paragraph AFTER the existing two intro paragraphs, BEFORE the UC-001 table.</w:t>
      </w:r>
    </w:p>
    <w:p>
      <w:pPr>
        <w:spacing w:after="160"/>
      </w:pPr>
      <w:r>
        <w:t xml:space="preserve">Testing for Spot the Signs follows a three-tier approach. Unit testing verifies that individual components — such as JSONContentLoader, ActivityPage, Question, and AnswerOption — function correctly on their own. Integration testing then confirms that these tested components work together as intended, verifying that content loads correctly into activities, that user selections are evaluated properly, and that navigation between screens functions as designed. Finally, validation testing uses the use cases below to confirm that the completed application meets the requirements and expectations described in this Software Design Document.</w:t>
      </w:r>
    </w:p>
    <w:p>
      <w:pPr>
        <w:pStyle w:val="Heading2"/>
      </w:pPr>
      <w:r>
        <w:t xml:space="preserve">2. New Use Case — UC-019 Complete Safe or Sus Activity</w:t>
      </w:r>
    </w:p>
    <w:p>
      <w:pPr>
        <w:spacing w:after="200" w:before="80"/>
      </w:pPr>
      <w:r>
        <w:rPr>
          <w:i/>
          <w:iCs/>
          <w:color w:val="555555"/>
        </w:rPr>
        <w:t xml:space="preserve">Where: “Test plan and Use Cases” section — add as a new table AFTER UC-018, BEFORE “Deployment plan.” Modeled on UC-004 (Complete Myth vs Fact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UC-019</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Title: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Complete Safe or Sus Activity</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Description: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participates in a Safe or Sus activity by reading a short relationship or boundary-related scenario and selecting whether the situation described is Safe or Sus (suspicious, or a boundary violation).</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Primary 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Event Participant</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Preconditions: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has accessed the activity menu. Safe or Sus activity is available. Activity content has loaded successfully.</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Postconditions: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response has been evaluated. Feedback has been displayed. User may continue to the next scenario or activity.</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Main Success Scenario:</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selects the Safe or Sus activity from the activity menu. System displays a scenario. User reviews the scenario. User selects either Safe or Sus. System evaluates the response. System displays whether the answer was correct or incorrect. System displays an educational explanation of the boundary issue involved. User proceeds to the next scenario or completes the activity.</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Extensions: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2a. Activity content fails to load. System displays an error message. User may return to the activity menu or retry loading the activity. 4a. User closes the application before answering. Application session ends. Current activity progress is lost. 4b. User refreshes the page during the activity. Activity reloads from the beginning. User may restart the activity. 5a. User attempts to continue without selecting an answer. System displays a message requesting answer selection. User remains on the current scenario until an answer is selected.</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Frequency of Use: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Very High</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Status: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Implemented</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Owner: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Jordan Bassett</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Priority:</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bl>
    <w:p>
      <w:pPr>
        <w:spacing w:after="200" w:before="80"/>
      </w:pPr>
      <w:r>
        <w:rPr>
          <w:i/>
          <w:iCs/>
          <w:color w:val="555555"/>
        </w:rPr>
        <w:t xml:space="preserve">Note: Status is set to “Implemented” since Safe or Sus is live. UC-004 (Myth vs Fact) is also live but still says “Planned” — worth updating in a future pass if you want statuses to reflect reality.</w:t>
      </w:r>
    </w:p>
    <w:p>
      <w:pPr>
        <w:pStyle w:val="Heading2"/>
      </w:pPr>
      <w:r>
        <w:t xml:space="preserve">3. Update UC-009 — View Resource Information</w:t>
      </w:r>
    </w:p>
    <w:p>
      <w:pPr>
        <w:spacing w:after="200" w:before="80"/>
      </w:pPr>
      <w:r>
        <w:rPr>
          <w:i/>
          <w:iCs/>
          <w:color w:val="555555"/>
        </w:rPr>
        <w:t xml:space="preserve">Where: “Test plan and Use Cases” section — UC-009. Replace the “Main Success Scenario” and “Postconditions” cells with the versions below (changes shown in context; only these two cells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Postconditions: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Resource information is displayed. User can review available support and educational resources. Tapped resource links open the appropriate application (phone dialer or browser). User may return to the main menu or exit the application.</w:t>
            </w:r>
          </w:p>
        </w:tc>
      </w:tr>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Main Success Scenario:</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selects the resource information option. System loads the resource screen. Resource information is displayed. User reviews the available resources. User may tap a phone number to open the device’s dialer, or tap a website link to open it in the browser. User returns to the main menu or exits the application.</w:t>
            </w:r>
          </w:p>
        </w:tc>
      </w:tr>
    </w:tbl>
    <w:p>
      <w:pPr>
        <w:pStyle w:val="Heading2"/>
      </w:pPr>
      <w:r>
        <w:t xml:space="preserve">4. Version Log Entry</w:t>
      </w:r>
    </w:p>
    <w:p>
      <w:pPr>
        <w:spacing w:after="200" w:before="80"/>
      </w:pPr>
      <w:r>
        <w:rPr>
          <w:i/>
          <w:iCs/>
          <w:color w:val="555555"/>
        </w:rPr>
        <w:t xml:space="preserve">Where: Version table near the top of the document — add as a new row after “0631 | 6/31/26 | Jordan Bassett |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DEFF2" w:val="clear"/>
            <w:tcMar>
              <w:top w:type="dxa" w:w="60"/>
              <w:left w:type="dxa" w:w="100"/>
              <w:bottom w:type="dxa" w:w="60"/>
              <w:right w:type="dxa" w:w="100"/>
            </w:tcMar>
          </w:tcPr>
          <w:p>
            <w:r>
              <w:rPr>
                <w:b/>
                <w:bCs/>
              </w:rPr>
              <w:t xml:space="preserve">0613</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6/13/26 | Jordan Bassett | Added Safe or Sus module (UC-019); updated UC-009 for tappable resource links; added testing-approach paragraph (Test plan intro); documented shared shuffle/cap pattern and content.json editability (Software Architecture)</w:t>
            </w:r>
          </w:p>
        </w:tc>
      </w:tr>
    </w:tbl>
    <w:p>
      <w:pPr>
        <w:spacing w:after="200" w:before="80"/>
      </w:pPr>
      <w:r>
        <w:rPr>
          <w:i/>
          <w:iCs/>
          <w:color w:val="555555"/>
        </w:rPr>
        <w:t xml:space="preserve">(The first cell is just the version number —0613— the rest is one combined “Reason” entry, matching the style of your existing rows.)</w:t>
      </w:r>
    </w:p>
    <w:p>
      <w:pPr>
        <w:pStyle w:val="Heading2"/>
      </w:pPr>
      <w:r>
        <w:t xml:space="preserve">5. Shared Shuffle/Cap Pattern — JSONContentLoader</w:t>
      </w:r>
    </w:p>
    <w:p>
      <w:pPr>
        <w:spacing w:after="200" w:before="80"/>
      </w:pPr>
      <w:r>
        <w:rPr>
          <w:i/>
          <w:iCs/>
          <w:color w:val="555555"/>
        </w:rPr>
        <w:t xml:space="preserve">Where: “Software Architecture and Structure” → JSONContentLoader subsection. Add a new bullet to Methods, and a new paragraph after the Methods list (before “## Activity”).</w:t>
      </w:r>
    </w:p>
    <w:p>
      <w:pPr>
        <w:spacing w:after="160"/>
      </w:pPr>
      <w:r>
        <w:t xml:space="preserve">New Methods bullet:</w:t>
      </w:r>
    </w:p>
    <w:p>
      <w:pPr>
        <w:spacing w:after="160"/>
      </w:pPr>
      <w:r>
        <w:t xml:space="preserve">•  shuffleQuestions() — Randomizes the order of loaded questions using a Fisher-Yates shuffle and limits the active set to a maximum of 10 items (MAX_QUESTIONS) per playthrough, regardless of how many questions exist in the content file.</w:t>
      </w:r>
    </w:p>
    <w:p>
      <w:pPr>
        <w:spacing w:after="160"/>
      </w:pPr>
      <w:r>
        <w:t xml:space="preserve">New paragraph after the Methods list:</w:t>
      </w:r>
    </w:p>
    <w:p>
      <w:pPr>
        <w:spacing w:after="160"/>
      </w:pPr>
      <w:r>
        <w:t xml:space="preserve">This shuffle-and-cap behavior is implemented once in a shared content-loading module (content.js) and is used by every activity module (Myth vs Fact, Safe or Sus, and future activities). Each playthrough therefore presents a different question order, and activities with more than 10 items in content.json will show a random subset of 10 rather than the full set, keeping each session short and varied for repeat visitors at events.</w:t>
      </w:r>
    </w:p>
    <w:p>
      <w:pPr>
        <w:pStyle w:val="Heading2"/>
      </w:pPr>
      <w:r>
        <w:t xml:space="preserve">6. content.json Editability Note</w:t>
      </w:r>
    </w:p>
    <w:p>
      <w:pPr>
        <w:spacing w:after="200" w:before="80"/>
      </w:pPr>
      <w:r>
        <w:rPr>
          <w:i/>
          <w:iCs/>
          <w:color w:val="555555"/>
        </w:rPr>
        <w:t xml:space="preserve">Where: “Software Architecture and Structure” — insert as a new paragraph after “Educational content is stored in structured JSON files and loaded dynamically...” (the second paragraph of the section), before the UML component descriptions begin.</w:t>
      </w:r>
    </w:p>
    <w:p>
      <w:pPr>
        <w:spacing w:after="160"/>
      </w:pPr>
      <w:r>
        <w:t xml:space="preserve">Because all educational content is stored in content.json rather than hard-coded into the application, content authors can add, edit, or remove questions, scenarios, and resources without making any code changes. The question_order field in content.json defines each item’s base position before the shuffle-and-cap behavior described below is applied.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2026-06-14T02:27:58.443Z</dcterms:created>
  <dcterms:modified xsi:type="dcterms:W3CDTF">2026-06-14T02:27:58.443Z</dcterms:modified>
</cp:coreProperties>
</file>

<file path=docProps/custom.xml><?xml version="1.0" encoding="utf-8"?>
<Properties xmlns="http://schemas.openxmlformats.org/officeDocument/2006/custom-properties" xmlns:vt="http://schemas.openxmlformats.org/officeDocument/2006/docPropsVTypes"/>
</file>