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SDD Updates – Stop Sign Situations Module (6/14/26)</w:t>
      </w:r>
    </w:p>
    <w:p>
      <w:pPr>
        <w:spacing w:after="160"/>
      </w:pPr>
      <w:r>
        <w:t xml:space="preserve">Three items to paste into SDDDocument-SP26-JBassett. Each section below names the SDD location and gives the exact text/table to add. Suggested version log entry is at the end.</w:t>
      </w:r>
    </w:p>
    <w:p>
      <w:pPr>
        <w:pStyle w:val="Heading2"/>
      </w:pPr>
      <w:r>
        <w:t xml:space="preserve">1. New Use Case — UC-020 Complete Stop Sign Situations Activity</w:t>
      </w:r>
    </w:p>
    <w:p>
      <w:pPr>
        <w:spacing w:after="120"/>
      </w:pPr>
      <w:r>
        <w:rPr>
          <w:i/>
          <w:iCs/>
          <w:color w:val="555555"/>
        </w:rPr>
        <w:t xml:space="preserve">Where: “Test plan and Use Cases” section — add as a new table AFTER UC-019, BEFORE “Deployment plan.” Modeled on UC-019 (Complete Safe or Sus Activity), adapted for multiple-choice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4"/>
              <w:left w:val="single" w:color="AAAAAA" w:sz="4"/>
              <w:bottom w:val="single" w:color="AAAAAA" w:sz="4"/>
              <w:right w:val="single" w:color="AAAAAA" w:sz="4"/>
            </w:tcBorders>
            <w:shd w:fill="E8F3FB" w:val="clear"/>
            <w:tcMar>
              <w:top w:type="dxa" w:w="60"/>
              <w:left w:type="dxa" w:w="100"/>
              <w:bottom w:type="dxa" w:w="60"/>
              <w:right w:type="dxa" w:w="100"/>
            </w:tcMar>
            <w:vAlign w:val="center"/>
          </w:tcPr>
          <w:p>
            <w:r>
              <w:rPr>
                <w:b/>
                <w:bCs/>
              </w:rPr>
              <w:t xml:space="preserve">ID:</w:t>
            </w:r>
          </w:p>
        </w:tc>
        <w:tc>
          <w:tcPr>
            <w:tcW w:type="dxa" w:w="756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UC-020</w:t>
            </w:r>
          </w:p>
        </w:tc>
      </w:tr>
      <w:tr>
        <w:tc>
          <w:tcPr>
            <w:tcW w:type="dxa" w:w="1800"/>
            <w:tcBorders>
              <w:top w:val="single" w:color="AAAAAA" w:sz="4"/>
              <w:left w:val="single" w:color="AAAAAA" w:sz="4"/>
              <w:bottom w:val="single" w:color="AAAAAA" w:sz="4"/>
              <w:right w:val="single" w:color="AAAAAA" w:sz="4"/>
            </w:tcBorders>
            <w:shd w:fill="E8F3FB" w:val="clear"/>
            <w:tcMar>
              <w:top w:type="dxa" w:w="60"/>
              <w:left w:type="dxa" w:w="100"/>
              <w:bottom w:type="dxa" w:w="60"/>
              <w:right w:type="dxa" w:w="100"/>
            </w:tcMar>
            <w:vAlign w:val="center"/>
          </w:tcPr>
          <w:p>
            <w:r>
              <w:rPr>
                <w:b/>
                <w:bCs/>
              </w:rPr>
              <w:t xml:space="preserve">Title:</w:t>
            </w:r>
          </w:p>
        </w:tc>
        <w:tc>
          <w:tcPr>
            <w:tcW w:type="dxa" w:w="756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Complete Stop Sign Situations Activity</w:t>
            </w:r>
          </w:p>
        </w:tc>
      </w:tr>
      <w:tr>
        <w:tc>
          <w:tcPr>
            <w:tcW w:type="dxa" w:w="1800"/>
            <w:tcBorders>
              <w:top w:val="single" w:color="AAAAAA" w:sz="4"/>
              <w:left w:val="single" w:color="AAAAAA" w:sz="4"/>
              <w:bottom w:val="single" w:color="AAAAAA" w:sz="4"/>
              <w:right w:val="single" w:color="AAAAAA" w:sz="4"/>
            </w:tcBorders>
            <w:shd w:fill="E8F3FB" w:val="clear"/>
            <w:tcMar>
              <w:top w:type="dxa" w:w="60"/>
              <w:left w:type="dxa" w:w="100"/>
              <w:bottom w:type="dxa" w:w="60"/>
              <w:right w:type="dxa" w:w="100"/>
            </w:tcMar>
          </w:tcPr>
          <w:p>
            <w:r>
              <w:rPr>
                <w:b/>
                <w:bCs/>
              </w:rPr>
              <w:t xml:space="preserve">Description:</w:t>
            </w:r>
          </w:p>
        </w:tc>
        <w:tc>
          <w:tcPr>
            <w:tcW w:type="dxa" w:w="756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User participates in a Stop Sign Situations activity by reading a short real-world situation involving potential grooming, trafficking, or exploitation, and selecting the answer choice that best identifies the warning sign present — or correctly identifies that no significant warning sign is present.</w:t>
            </w:r>
          </w:p>
        </w:tc>
      </w:tr>
      <w:tr>
        <w:tc>
          <w:tcPr>
            <w:tcW w:type="dxa" w:w="1800"/>
            <w:tcBorders>
              <w:top w:val="single" w:color="AAAAAA" w:sz="4"/>
              <w:left w:val="single" w:color="AAAAAA" w:sz="4"/>
              <w:bottom w:val="single" w:color="AAAAAA" w:sz="4"/>
              <w:right w:val="single" w:color="AAAAAA" w:sz="4"/>
            </w:tcBorders>
            <w:shd w:fill="E8F3FB" w:val="clear"/>
            <w:tcMar>
              <w:top w:type="dxa" w:w="60"/>
              <w:left w:type="dxa" w:w="100"/>
              <w:bottom w:type="dxa" w:w="60"/>
              <w:right w:type="dxa" w:w="100"/>
            </w:tcMar>
            <w:vAlign w:val="center"/>
          </w:tcPr>
          <w:p>
            <w:r>
              <w:rPr>
                <w:b/>
                <w:bCs/>
              </w:rPr>
              <w:t xml:space="preserve">Primary Actor:</w:t>
            </w:r>
          </w:p>
        </w:tc>
        <w:tc>
          <w:tcPr>
            <w:tcW w:type="dxa" w:w="756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Event Participant</w:t>
            </w:r>
          </w:p>
        </w:tc>
      </w:tr>
      <w:tr>
        <w:tc>
          <w:tcPr>
            <w:tcW w:type="dxa" w:w="1800"/>
            <w:tcBorders>
              <w:top w:val="single" w:color="AAAAAA" w:sz="4"/>
              <w:left w:val="single" w:color="AAAAAA" w:sz="4"/>
              <w:bottom w:val="single" w:color="AAAAAA" w:sz="4"/>
              <w:right w:val="single" w:color="AAAAAA" w:sz="4"/>
            </w:tcBorders>
            <w:shd w:fill="E8F3FB" w:val="clear"/>
            <w:tcMar>
              <w:top w:type="dxa" w:w="60"/>
              <w:left w:type="dxa" w:w="100"/>
              <w:bottom w:type="dxa" w:w="60"/>
              <w:right w:type="dxa" w:w="100"/>
            </w:tcMar>
          </w:tcPr>
          <w:p>
            <w:r>
              <w:rPr>
                <w:b/>
                <w:bCs/>
              </w:rPr>
              <w:t xml:space="preserve">Preconditions:</w:t>
            </w:r>
          </w:p>
        </w:tc>
        <w:tc>
          <w:tcPr>
            <w:tcW w:type="dxa" w:w="756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User has accessed the activity menu. Stop Sign Situations activity is available. Activity content has loaded successfully.</w:t>
            </w:r>
          </w:p>
        </w:tc>
      </w:tr>
      <w:tr>
        <w:tc>
          <w:tcPr>
            <w:tcW w:type="dxa" w:w="1800"/>
            <w:tcBorders>
              <w:top w:val="single" w:color="AAAAAA" w:sz="4"/>
              <w:left w:val="single" w:color="AAAAAA" w:sz="4"/>
              <w:bottom w:val="single" w:color="AAAAAA" w:sz="4"/>
              <w:right w:val="single" w:color="AAAAAA" w:sz="4"/>
            </w:tcBorders>
            <w:shd w:fill="E8F3FB" w:val="clear"/>
            <w:tcMar>
              <w:top w:type="dxa" w:w="60"/>
              <w:left w:type="dxa" w:w="100"/>
              <w:bottom w:type="dxa" w:w="60"/>
              <w:right w:type="dxa" w:w="100"/>
            </w:tcMar>
          </w:tcPr>
          <w:p>
            <w:r>
              <w:rPr>
                <w:b/>
                <w:bCs/>
              </w:rPr>
              <w:t xml:space="preserve">Postconditions:</w:t>
            </w:r>
          </w:p>
        </w:tc>
        <w:tc>
          <w:tcPr>
            <w:tcW w:type="dxa" w:w="756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User response has been evaluated. Feedback has been displayed. User may continue to the next situation or activity.</w:t>
            </w:r>
          </w:p>
        </w:tc>
      </w:tr>
      <w:tr>
        <w:tc>
          <w:tcPr>
            <w:tcW w:type="dxa" w:w="1800"/>
            <w:tcBorders>
              <w:top w:val="single" w:color="AAAAAA" w:sz="4"/>
              <w:left w:val="single" w:color="AAAAAA" w:sz="4"/>
              <w:bottom w:val="single" w:color="AAAAAA" w:sz="4"/>
              <w:right w:val="single" w:color="AAAAAA" w:sz="4"/>
            </w:tcBorders>
            <w:shd w:fill="E8F3FB" w:val="clear"/>
            <w:tcMar>
              <w:top w:type="dxa" w:w="60"/>
              <w:left w:type="dxa" w:w="100"/>
              <w:bottom w:type="dxa" w:w="60"/>
              <w:right w:type="dxa" w:w="100"/>
            </w:tcMar>
          </w:tcPr>
          <w:p>
            <w:r>
              <w:rPr>
                <w:b/>
                <w:bCs/>
              </w:rPr>
              <w:t xml:space="preserve">Main Success Scenario:</w:t>
            </w:r>
          </w:p>
        </w:tc>
        <w:tc>
          <w:tcPr>
            <w:tcW w:type="dxa" w:w="756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User selects the Stop Sign Situations activity from the activity menu. System displays a situation and a question with multiple answer choices (two to four options). User reviews the situation. User selects one answer choice. System evaluates the response. System displays whether the answer was correct or incorrect, and highlights the correct choice if the user was incorrect. System displays an educational explanation of the warning sign — or lack thereof. User proceeds to the next situation or completes the activity.</w:t>
            </w:r>
          </w:p>
        </w:tc>
      </w:tr>
      <w:tr>
        <w:tc>
          <w:tcPr>
            <w:tcW w:type="dxa" w:w="1800"/>
            <w:tcBorders>
              <w:top w:val="single" w:color="AAAAAA" w:sz="4"/>
              <w:left w:val="single" w:color="AAAAAA" w:sz="4"/>
              <w:bottom w:val="single" w:color="AAAAAA" w:sz="4"/>
              <w:right w:val="single" w:color="AAAAAA" w:sz="4"/>
            </w:tcBorders>
            <w:shd w:fill="E8F3FB" w:val="clear"/>
            <w:tcMar>
              <w:top w:type="dxa" w:w="60"/>
              <w:left w:type="dxa" w:w="100"/>
              <w:bottom w:type="dxa" w:w="60"/>
              <w:right w:type="dxa" w:w="100"/>
            </w:tcMar>
          </w:tcPr>
          <w:p>
            <w:r>
              <w:rPr>
                <w:b/>
                <w:bCs/>
              </w:rPr>
              <w:t xml:space="preserve">Extensions:</w:t>
            </w:r>
          </w:p>
        </w:tc>
        <w:tc>
          <w:tcPr>
            <w:tcW w:type="dxa" w:w="756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2a. Activity content fails to load. System displays an error message. User may return to the activity menu or retry loading the activity. 4a. User closes the application before answering. Application session ends. Current activity progress is lost. 4b. User refreshes the page during the activity. Activity reloads from the beginning. User may restart the activity. 5a. User attempts to continue without selecting an answer choice. System displays a message requesting answer selection. User remains on the current situation until an answer choice is selected.</w:t>
            </w:r>
          </w:p>
        </w:tc>
      </w:tr>
      <w:tr>
        <w:tc>
          <w:tcPr>
            <w:tcW w:type="dxa" w:w="1800"/>
            <w:tcBorders>
              <w:top w:val="single" w:color="AAAAAA" w:sz="4"/>
              <w:left w:val="single" w:color="AAAAAA" w:sz="4"/>
              <w:bottom w:val="single" w:color="AAAAAA" w:sz="4"/>
              <w:right w:val="single" w:color="AAAAAA" w:sz="4"/>
            </w:tcBorders>
            <w:shd w:fill="E8F3FB" w:val="clear"/>
            <w:tcMar>
              <w:top w:type="dxa" w:w="60"/>
              <w:left w:type="dxa" w:w="100"/>
              <w:bottom w:type="dxa" w:w="60"/>
              <w:right w:type="dxa" w:w="100"/>
            </w:tcMar>
            <w:vAlign w:val="center"/>
          </w:tcPr>
          <w:p>
            <w:r>
              <w:rPr>
                <w:b/>
                <w:bCs/>
              </w:rPr>
              <w:t xml:space="preserve">Frequency of Use:</w:t>
            </w:r>
          </w:p>
        </w:tc>
        <w:tc>
          <w:tcPr>
            <w:tcW w:type="dxa" w:w="756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Very High</w:t>
            </w:r>
          </w:p>
        </w:tc>
      </w:tr>
      <w:tr>
        <w:tc>
          <w:tcPr>
            <w:tcW w:type="dxa" w:w="1800"/>
            <w:tcBorders>
              <w:top w:val="single" w:color="AAAAAA" w:sz="4"/>
              <w:left w:val="single" w:color="AAAAAA" w:sz="4"/>
              <w:bottom w:val="single" w:color="AAAAAA" w:sz="4"/>
              <w:right w:val="single" w:color="AAAAAA" w:sz="4"/>
            </w:tcBorders>
            <w:shd w:fill="E8F3FB" w:val="clear"/>
            <w:tcMar>
              <w:top w:type="dxa" w:w="60"/>
              <w:left w:type="dxa" w:w="100"/>
              <w:bottom w:type="dxa" w:w="60"/>
              <w:right w:type="dxa" w:w="100"/>
            </w:tcMar>
            <w:vAlign w:val="center"/>
          </w:tcPr>
          <w:p>
            <w:r>
              <w:rPr>
                <w:b/>
                <w:bCs/>
              </w:rPr>
              <w:t xml:space="preserve">Status:</w:t>
            </w:r>
          </w:p>
        </w:tc>
        <w:tc>
          <w:tcPr>
            <w:tcW w:type="dxa" w:w="756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Implemented</w:t>
            </w:r>
          </w:p>
        </w:tc>
      </w:tr>
      <w:tr>
        <w:tc>
          <w:tcPr>
            <w:tcW w:type="dxa" w:w="1800"/>
            <w:tcBorders>
              <w:top w:val="single" w:color="AAAAAA" w:sz="4"/>
              <w:left w:val="single" w:color="AAAAAA" w:sz="4"/>
              <w:bottom w:val="single" w:color="AAAAAA" w:sz="4"/>
              <w:right w:val="single" w:color="AAAAAA" w:sz="4"/>
            </w:tcBorders>
            <w:shd w:fill="E8F3FB" w:val="clear"/>
            <w:tcMar>
              <w:top w:type="dxa" w:w="60"/>
              <w:left w:type="dxa" w:w="100"/>
              <w:bottom w:type="dxa" w:w="60"/>
              <w:right w:type="dxa" w:w="100"/>
            </w:tcMar>
            <w:vAlign w:val="center"/>
          </w:tcPr>
          <w:p>
            <w:r>
              <w:rPr>
                <w:b/>
                <w:bCs/>
              </w:rPr>
              <w:t xml:space="preserve">Owner:</w:t>
            </w:r>
          </w:p>
        </w:tc>
        <w:tc>
          <w:tcPr>
            <w:tcW w:type="dxa" w:w="756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Jordan Bassett</w:t>
            </w:r>
          </w:p>
        </w:tc>
      </w:tr>
      <w:tr>
        <w:tc>
          <w:tcPr>
            <w:tcW w:type="dxa" w:w="1800"/>
            <w:tcBorders>
              <w:top w:val="single" w:color="AAAAAA" w:sz="4"/>
              <w:left w:val="single" w:color="AAAAAA" w:sz="4"/>
              <w:bottom w:val="single" w:color="AAAAAA" w:sz="4"/>
              <w:right w:val="single" w:color="AAAAAA" w:sz="4"/>
            </w:tcBorders>
            <w:shd w:fill="E8F3FB" w:val="clear"/>
            <w:tcMar>
              <w:top w:type="dxa" w:w="60"/>
              <w:left w:type="dxa" w:w="100"/>
              <w:bottom w:type="dxa" w:w="60"/>
              <w:right w:type="dxa" w:w="100"/>
            </w:tcMar>
            <w:vAlign w:val="center"/>
          </w:tcPr>
          <w:p>
            <w:r>
              <w:rPr>
                <w:b/>
                <w:bCs/>
              </w:rPr>
              <w:t xml:space="preserve">Priority:</w:t>
            </w:r>
          </w:p>
        </w:tc>
        <w:tc>
          <w:tcPr>
            <w:tcW w:type="dxa" w:w="756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High</w:t>
            </w:r>
          </w:p>
        </w:tc>
      </w:tr>
    </w:tbl>
    <w:p>
      <w:pPr>
        <w:pStyle w:val="Heading2"/>
        <w:spacing w:before="280"/>
      </w:pPr>
      <w:r>
        <w:t xml:space="preserve">2. Generalized Answer-Option Rendering — ActivityPage / AnswerOption</w:t>
      </w:r>
    </w:p>
    <w:p>
      <w:pPr>
        <w:spacing w:after="120"/>
      </w:pPr>
      <w:r>
        <w:rPr>
          <w:i/>
          <w:iCs/>
          <w:color w:val="555555"/>
        </w:rPr>
        <w:t xml:space="preserve">Where: “Software Architecture and Structure” → ActivityPage / AnswerOption subsection. Add the following paragraph after the existing description of how answer options are rendered.</w:t>
      </w:r>
    </w:p>
    <w:p>
      <w:pPr>
        <w:spacing w:after="160"/>
      </w:pPr>
      <w:r>
        <w:t xml:space="preserve">Myth vs Fact and Safe or Sus each present a fixed pair of answer options. Stop Sign Situations introduces questions with two to four answer_options per question, so the AnswerOption rendering logic was generalized: ActivityPage now builds the answer list dynamically from the answer_options array in content.json, rendering each option as a labeled button (A, B, C, D, …) rather than assuming a fixed two-button layout. Selection, correct/incorrect styling, and reveal-the-correct-answer behavior all operate on this dynamic list, so this same rendering path now supports any activity with two to six answer_options without further code changes.</w:t>
      </w:r>
    </w:p>
    <w:p>
      <w:pPr>
        <w:pStyle w:val="Heading2"/>
      </w:pPr>
      <w:r>
        <w:t xml:space="preserve">3. Content Sourcing Note — Stop Sign Situations</w:t>
      </w:r>
    </w:p>
    <w:p>
      <w:pPr>
        <w:spacing w:after="120"/>
      </w:pPr>
      <w:r>
        <w:rPr>
          <w:i/>
          <w:iCs/>
          <w:color w:val="555555"/>
        </w:rPr>
        <w:t xml:space="preserve">Where: “References” (or wherever the TraffickSTOP Toolkit is cited as a content source) — add the following note.</w:t>
      </w:r>
    </w:p>
    <w:p>
      <w:pPr>
        <w:spacing w:after="160"/>
      </w:pPr>
      <w:r>
        <w:t xml:space="preserve">The six situations in the Stop Sign Situations activity (Charlie, Emerson, Olivia, Mark, Isabelle, and Jay) are adapted from the “Stop Sign Situations” handout in the TraffickSTOP Toolkit (NW3C, 2024), pp. 47–48. Two situations (Emerson, Mark) are intentionally written as “no significant warning sign” cases in the source material; these were preserved as multiple-choice questions that ask the user to identify what would make the situation concerning, rather than treating ambiguity as a red flag on its own.</w:t>
      </w:r>
    </w:p>
    <w:p>
      <w:pPr>
        <w:pStyle w:val="Heading2"/>
      </w:pPr>
      <w:r>
        <w:t xml:space="preserve">4. Version Log Entry</w:t>
      </w:r>
    </w:p>
    <w:p>
      <w:pPr>
        <w:spacing w:after="120"/>
      </w:pPr>
      <w:r>
        <w:rPr>
          <w:i/>
          <w:iCs/>
          <w:color w:val="555555"/>
        </w:rPr>
        <w:t xml:space="preserve">Where: Version table near the top of the document — add as a new row after “0613 | 6/13/26 | Jordan Bassett | Added Safe or Sus module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4"/>
              <w:left w:val="single" w:color="AAAAAA" w:sz="4"/>
              <w:bottom w:val="single" w:color="AAAAAA" w:sz="4"/>
              <w:right w:val="single" w:color="AAAAAA" w:sz="4"/>
            </w:tcBorders>
            <w:shd w:fill="E8F3FB" w:val="clear"/>
            <w:tcMar>
              <w:top w:type="dxa" w:w="60"/>
              <w:left w:type="dxa" w:w="100"/>
              <w:bottom w:type="dxa" w:w="60"/>
              <w:right w:type="dxa" w:w="100"/>
            </w:tcMar>
          </w:tcPr>
          <w:p>
            <w:r>
              <w:rPr>
                <w:b/>
                <w:bCs/>
              </w:rPr>
              <w:t xml:space="preserve">0614</w:t>
            </w:r>
          </w:p>
        </w:tc>
        <w:tc>
          <w:tcPr>
            <w:tcW w:type="dxa" w:w="796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6/14/26 │ Jordan Bassett │ Added Stop Sign Situations module (UC-020); added “scenario” activity to content.json with six situations sourced from the TraffickSTOP Toolkit (pp. 47–48); generalized AnswerOption rendering to support two to six multiple-choice options; updated index.html to mark Stop Sign Situations available.</w:t>
            </w:r>
          </w:p>
        </w:tc>
      </w:tr>
    </w:tbl>
    <w:p>
      <w:pPr>
        <w:spacing w:after="120"/>
      </w:pPr>
      <w:r>
        <w:rPr>
          <w:i/>
          <w:iCs/>
          <w:color w:val="555555"/>
        </w:rPr>
        <w:t xml:space="preserve">(The first cell is just the version number — 0614 — the rest is one combined “Reason” entry, matching the style of your existing rows.)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02E6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2E6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2026-06-15T01:33:03.136Z</dcterms:created>
  <dcterms:modified xsi:type="dcterms:W3CDTF">2026-06-15T01:33:03.136Z</dcterms:modified>
</cp:coreProperties>
</file>

<file path=docProps/custom.xml><?xml version="1.0" encoding="utf-8"?>
<Properties xmlns="http://schemas.openxmlformats.org/officeDocument/2006/custom-properties" xmlns:vt="http://schemas.openxmlformats.org/officeDocument/2006/docPropsVTypes"/>
</file>