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800"/>
        <w:ind/>
        <w:jc w:val="center"/>
        <w:rPr>
          <w:color w:val="000000" w:themeColor="text1"/>
        </w:rPr>
      </w:pPr>
      <w:r>
        <w:rPr>
          <w:b/>
          <w:color w:val="000000" w:themeColor="text1"/>
          <w:sz w:val="26"/>
        </w:rPr>
        <w:t xml:space="preserve">INFRAESTRUCTURA Y SERVICIOS EN LA NUBE</w:t>
        <w:br/>
        <w:t xml:space="preserve">GOOGLE CLOUD PLATFORM</w:t>
      </w:r>
      <w:r>
        <w:rPr>
          <w:color w:val="000000" w:themeColor="text1"/>
        </w:rPr>
      </w:r>
    </w:p>
    <w:p>
      <w:pPr>
        <w:pBdr/>
        <w:spacing w:after="300" w:before="400"/>
        <w:ind/>
        <w:jc w:val="center"/>
        <w:rPr>
          <w:color w:val="000000" w:themeColor="text1"/>
        </w:rPr>
      </w:pPr>
      <w:r>
        <w:rPr>
          <w:b/>
          <w:color w:val="000000" w:themeColor="text1"/>
          <w:sz w:val="52"/>
        </w:rPr>
        <w:t xml:space="preserve">PROYECTO EMPRESA CLOUD</w:t>
      </w:r>
      <w:r>
        <w:rPr>
          <w:color w:val="000000" w:themeColor="text1"/>
        </w:rPr>
      </w:r>
    </w:p>
    <w:p>
      <w:pPr>
        <w:pBdr/>
        <w:spacing w:after="800"/>
        <w:ind/>
        <w:jc w:val="center"/>
        <w:rPr>
          <w:color w:val="000000" w:themeColor="text1"/>
        </w:rPr>
      </w:pPr>
      <w:r>
        <w:rPr>
          <w:color w:val="000000" w:themeColor="text1"/>
          <w:sz w:val="26"/>
        </w:rPr>
        <w:t xml:space="preserve">Diseño e Implementación de Infraestructura Empresarial Completa</w:t>
        <w:br/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line="312" w:lineRule="auto"/>
        <w:ind/>
        <w:jc w:val="center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2"/>
        </w:rPr>
        <w:t xml:space="preserve">Presentado por:</w:t>
        <w:br/>
      </w:r>
      <w:r>
        <w:rPr>
          <w:color w:val="000000" w:themeColor="text1"/>
          <w:sz w:val="24"/>
        </w:rPr>
      </w:r>
      <w:r>
        <w:rPr>
          <w:color w:val="000000" w:themeColor="text1"/>
          <w:sz w:val="24"/>
          <w:szCs w:val="24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788"/>
        <w:gridCol w:w="4788"/>
      </w:tblGrid>
      <w:tr>
        <w:trPr/>
        <w:tc>
          <w:tcPr>
            <w:tcBorders/>
            <w:tcW w:w="4788" w:type="dxa"/>
          </w:tcPr>
          <w:p w14:paraId="4C8F17C3">
            <w:pPr>
              <w:pBdr/>
              <w:spacing w:line="312" w:lineRule="auto"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GT"/>
              </w:rPr>
              <w:t xml:space="preserve">Ruben Estuardo Donis Chacón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788" w:type="dxa"/>
          </w:tcPr>
          <w:p w14:paraId="73AEED34">
            <w:pPr>
              <w:pBdr/>
              <w:spacing w:line="312" w:lineRule="auto"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GT"/>
              </w:rPr>
              <w:t xml:space="preserve">2190-22-9387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788" w:type="dxa"/>
            <w:vMerge w:val="restart"/>
          </w:tcPr>
          <w:p w14:paraId="045815FD">
            <w:pPr>
              <w:pBdr/>
              <w:spacing w:line="312" w:lineRule="auto"/>
              <w:ind/>
              <w:jc w:val="center"/>
              <w:rPr>
                <w:color w:val="000000" w:themeColor="text1"/>
                <w:sz w:val="24"/>
                <w:szCs w:val="24"/>
                <w:lang w:val="es-GT"/>
              </w:rPr>
            </w:pPr>
            <w:r>
              <w:rPr>
                <w:color w:val="000000" w:themeColor="text1"/>
                <w:sz w:val="24"/>
                <w:szCs w:val="24"/>
                <w:lang w:val="es-GT"/>
              </w:rPr>
              <w:t xml:space="preserve">Nelson Bryan Lopez Lorenzana</w:t>
            </w:r>
            <w:r>
              <w:rPr>
                <w:color w:val="000000" w:themeColor="text1"/>
                <w:sz w:val="24"/>
                <w:szCs w:val="24"/>
                <w:lang w:val="es-GT"/>
              </w:rPr>
            </w:r>
          </w:p>
        </w:tc>
        <w:tc>
          <w:tcPr>
            <w:tcBorders/>
            <w:tcW w:w="4788" w:type="dxa"/>
            <w:vMerge w:val="restart"/>
          </w:tcPr>
          <w:p w14:paraId="2FF5D545">
            <w:pPr>
              <w:pBdr/>
              <w:spacing w:line="312" w:lineRule="auto"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GT"/>
              </w:rPr>
              <w:t xml:space="preserve">2190-22-1008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788" w:type="dxa"/>
            <w:vMerge w:val="restart"/>
          </w:tcPr>
          <w:p w14:paraId="2DC27D0C">
            <w:pPr>
              <w:pBdr/>
              <w:spacing w:line="312" w:lineRule="auto"/>
              <w:ind/>
              <w:jc w:val="center"/>
              <w:rPr>
                <w:color w:val="000000" w:themeColor="text1"/>
                <w:sz w:val="24"/>
                <w:szCs w:val="24"/>
                <w:lang w:val="es-GT"/>
              </w:rPr>
            </w:pPr>
            <w:r>
              <w:rPr>
                <w:color w:val="000000" w:themeColor="text1"/>
                <w:sz w:val="24"/>
                <w:szCs w:val="24"/>
                <w:lang w:val="es-GT"/>
              </w:rPr>
              <w:t xml:space="preserve">Eduardo Jose Hernandez Gomez</w:t>
            </w:r>
            <w:r>
              <w:rPr>
                <w:color w:val="000000" w:themeColor="text1"/>
                <w:sz w:val="24"/>
                <w:szCs w:val="24"/>
                <w:lang w:val="es-GT"/>
              </w:rPr>
            </w:r>
          </w:p>
        </w:tc>
        <w:tc>
          <w:tcPr>
            <w:tcBorders/>
            <w:tcW w:w="4788" w:type="dxa"/>
            <w:vMerge w:val="restart"/>
          </w:tcPr>
          <w:p w14:paraId="423FFA80">
            <w:pPr>
              <w:pBdr/>
              <w:spacing w:line="312" w:lineRule="auto"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es-GT"/>
              </w:rPr>
              <w:t xml:space="preserve">2190-22-11585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 w14:paraId="09796C6C">
      <w:pPr>
        <w:pBdr/>
        <w:spacing w:line="312" w:lineRule="auto"/>
        <w:ind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</w:rPr>
      </w:r>
      <w:r>
        <w:rPr>
          <w:color w:val="000000" w:themeColor="text1"/>
        </w:rPr>
      </w:r>
      <w:r/>
    </w:p>
    <w:p w14:paraId="253E4729">
      <w:pPr>
        <w:pBdr/>
        <w:spacing w:line="312" w:lineRule="auto"/>
        <w:ind/>
        <w:jc w:val="center"/>
        <w:rPr>
          <w:color w:val="000000" w:themeColor="text1"/>
        </w:rPr>
      </w:pPr>
      <w:r>
        <w:rPr>
          <w:color w:val="000000" w:themeColor="text1"/>
          <w:sz w:val="24"/>
        </w:rPr>
        <w:br/>
      </w:r>
      <w:r>
        <w:rPr>
          <w:color w:val="000000" w:themeColor="text1"/>
          <w:sz w:val="20"/>
        </w:rPr>
        <w:t xml:space="preserve">Octubre 2026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1. Objetivo del Proyecto</w:t>
      </w:r>
      <w:r>
        <w:rPr>
          <w:color w:val="000000" w:themeColor="text1"/>
        </w:rPr>
      </w:r>
    </w:p>
    <w:p>
      <w:pPr>
        <w:pBdr/>
        <w:spacing w:after="240"/>
        <w:ind/>
        <w:rPr>
          <w:color w:val="000000" w:themeColor="text1"/>
        </w:rPr>
      </w:pPr>
      <w:r>
        <w:rPr>
          <w:color w:val="000000" w:themeColor="text1"/>
        </w:rPr>
        <w:t xml:space="preserve">Diseñar e implementar una infraestructura empresarial completa, desacoplada y escalable util</w:t>
      </w:r>
      <w:r>
        <w:rPr>
          <w:color w:val="000000" w:themeColor="text1"/>
        </w:rPr>
        <w:t xml:space="preserve">izando los servicios administrados de Google Cloud Platform (GCP). El proyecto garantiza la separación estricta de capas de red, alta disponibilidad, seguridad de datos y cumplimiento con el estándar OWASP Top 10 para la gestión corporativa de información.</w:t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2. Caso Empresarial y Alcance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Una empresa ficticia de carácter comercial y minorista requiere un sistema web integral y robusto (denominado NohemySys) para administrar de forma centralizada y segura sus operaciones neurálgicas: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Clientes: </w:t>
      </w:r>
      <w:r>
        <w:rPr>
          <w:color w:val="000000" w:themeColor="text1"/>
        </w:rPr>
        <w:t xml:space="preserve">Control y registro de cartera de clientes, soporte fiscal para Consumidor Final (C/F) y NIT.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Productos: </w:t>
      </w:r>
      <w:r>
        <w:rPr>
          <w:color w:val="000000" w:themeColor="text1"/>
        </w:rPr>
        <w:t xml:space="preserve">Catálogo maestro con código de barras, categorías, marcas, precios de costo/venta y control de stock.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Ventas: </w:t>
      </w:r>
      <w:r>
        <w:rPr>
          <w:color w:val="000000" w:themeColor="text1"/>
        </w:rPr>
        <w:t xml:space="preserve">Punto de Venta (POS) multisesión de caja, tickets de venta, control de mermas y balance de ingresos.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Usuarios: </w:t>
      </w:r>
      <w:r>
        <w:rPr>
          <w:color w:val="000000" w:themeColor="text1"/>
        </w:rPr>
        <w:t xml:space="preserve">Seguridad por roles RBAC (Administrador, Vendedor, Almacenero) con trazabilidad y auditoría.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Documentos: </w:t>
      </w:r>
      <w:r>
        <w:rPr>
          <w:color w:val="000000" w:themeColor="text1"/>
        </w:rPr>
        <w:t xml:space="preserve">Generación de comprobantes, reportes y respaldo en repositorio de objetos en la nube.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 Direccionamiento de Red y Subredes (VPC)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Para aislar los entornos de ejecución y cumplir con el principio de mínima exposición, se diseñó una Red Virtual Privada (VPC) con modo de subredes personalizado (Custom Subnet Mode) y direccionamiento bajo el estándar RFC 1918.</w:t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1a73e8"/>
            <w:tcBorders/>
            <w:tcW w:w="1728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 xml:space="preserve">Recurso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1a73e8"/>
            <w:tcBorders/>
            <w:tcW w:w="216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 xml:space="preserve">Red / Prefijo CIDR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1a73e8"/>
            <w:tcBorders/>
            <w:tcW w:w="2592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 xml:space="preserve">Rango de IPs Asignables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1a73e8"/>
            <w:tcBorders/>
            <w:tcW w:w="288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 xml:space="preserve">Propósito en la Infraestructura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fffff"/>
            <w:tcBorders/>
            <w:tcW w:w="1728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VPC Principal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1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10.10.0.0/16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592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10.10.0.1 - 10.10.255.254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8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Red virtual empresarial (vpc-empresa).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1f5f9"/>
            <w:tcBorders/>
            <w:tcW w:w="1728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Subred Web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1f5f9"/>
            <w:tcBorders/>
            <w:tcW w:w="21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10.10.10.0/24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1f5f9"/>
            <w:tcBorders/>
            <w:tcW w:w="2592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10.10.10.1 - 10.10.10.254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1f5f9"/>
            <w:tcBorders/>
            <w:tcW w:w="28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Capa frontend (React SPA + Nginx Alpine).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fffff"/>
            <w:tcBorders/>
            <w:tcW w:w="1728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Subred App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1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10.10.20.0/24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592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10.10.20.1 - 10.10.20.254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8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Capa backend (Django REST Framework + Gunicorn).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1f5f9"/>
            <w:tcBorders/>
            <w:tcW w:w="1728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Subred DB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1f5f9"/>
            <w:tcBorders/>
            <w:tcW w:w="21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10.10.30.0/24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1f5f9"/>
            <w:tcBorders/>
            <w:tcW w:w="2592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10.10.30.1 - 10.10.30.254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1f5f9"/>
            <w:tcBorders/>
            <w:tcW w:w="28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Capa de persistencia (PostgreSQL en Cloud SQL).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Políticas de Seguridad y Firewall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Se establecieron tres reglas de cortafuegos perimetrales para salvaguardar la VPC: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allow-web-traffic (Prioridad 1000): </w:t>
      </w:r>
      <w:r>
        <w:rPr>
          <w:color w:val="000000" w:themeColor="text1"/>
        </w:rPr>
        <w:t xml:space="preserve">Permite tráfico entrante HTTP (puerto 80) y HTTPS (puerto 443) desde cualquier origen (0.0.0.0/0) hacia la subred Web.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allow-internal-traffic (Prioridad 1000): </w:t>
      </w:r>
      <w:r>
        <w:rPr>
          <w:color w:val="000000" w:themeColor="text1"/>
        </w:rPr>
        <w:t xml:space="preserve">Permite la interconexión completa y segura entre los servicios internos pertenecientes al rango corporativo 10.10.0.0/16.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allow-icmp (Prioridad 1000): </w:t>
      </w:r>
      <w:r>
        <w:rPr>
          <w:color w:val="000000" w:themeColor="text1"/>
        </w:rPr>
        <w:t xml:space="preserve">Habilita diagnósticos y pruebas de latencia/conectividad interna mediante protocolo ICMP.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4. Arquitectura de Infraestructura en Google Cloud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 arquitectura implementada responde al patrón moderno de microservicios serverless desacoplados, optimizando costos operativos gracias al escalado automático a cero instancias y máxima seguridad perimetral: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Capa de Cómputo (Cloud Run): </w:t>
      </w:r>
      <w:r>
        <w:rPr>
          <w:color w:val="000000" w:themeColor="text1"/>
        </w:rPr>
        <w:t xml:space="preserve">Alojamiento de contenedores Docker ligeros. El Frontend (React SPA) es servido por Nginx Alpine y el Backend API por Django 6 + Gunicorn multihilo.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Capa de Base de Datos (Cloud SQL): </w:t>
      </w:r>
      <w:r>
        <w:rPr>
          <w:color w:val="000000" w:themeColor="text1"/>
        </w:rPr>
        <w:t xml:space="preserve">Instancia administrada de PostgreSQL 16 (nohemysys-db) con conexión encriptada mediante túnel de Socket Unix y respaldos automatizados.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Capa de Almacenamiento (Cloud Storage): </w:t>
      </w:r>
      <w:r>
        <w:rPr>
          <w:color w:val="000000" w:themeColor="text1"/>
        </w:rPr>
        <w:t xml:space="preserve">Bucket de objetos gs://nohemysys-documentos-proyectotelecom-511619 para el resguardo inmutable de facturas, tickets y documentos empresariales.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Seguridad e IAM: </w:t>
      </w:r>
      <w:r>
        <w:rPr>
          <w:color w:val="000000" w:themeColor="text1"/>
        </w:rPr>
        <w:t xml:space="preserve">Cuentas de servicio con roles mínimos (roles/cloudsql.client, roles/storage.admin) y certificados SSL gestionados automáticamente.</w:t>
      </w:r>
      <w:r>
        <w:rPr>
          <w:color w:val="000000" w:themeColor="text1"/>
        </w:rPr>
      </w:r>
    </w:p>
    <w:p>
      <w:pPr>
        <w:pBdr/>
        <w:spacing w:after="2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298"/>
      </w:tblGrid>
      <w:tr>
        <w:trPr>
          <w:trHeight w:val="6132"/>
        </w:trPr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8298" w:type="dxa"/>
          </w:tcPr>
          <w:p>
            <w:pPr>
              <w:pBdr/>
              <w:spacing w:after="36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00707" cy="3676830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5177625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100707" cy="367682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01.63pt;height:289.51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5. Modelo de Base de Datos y Código Fuente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El modelo relacional cumple y excede las especificaciones mínimas solicitadas, incorporando integridad referencial, índices de alto desempeño y protección transaccional ACID.</w:t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a73e8"/>
            <w:tcBorders/>
            <w:tcW w:w="21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 xml:space="preserve">Entidad / Tabla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1a73e8"/>
            <w:tcBorders/>
            <w:tcW w:w="432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 xml:space="preserve">Campos Clave Implementados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1a73e8"/>
            <w:tcBorders/>
            <w:tcW w:w="28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 xml:space="preserve">Relación / Descripción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fffff"/>
            <w:tcBorders/>
            <w:tcW w:w="21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CLIENTES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432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id_cliente, nombre_completo, nit, dpi, telefono, direccion, is_active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8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Gestión de clientes con NIT C/F.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1f5f9"/>
            <w:tcBorders/>
            <w:tcW w:w="21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PRODUCTOS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1f5f9"/>
            <w:tcBorders/>
            <w:tcW w:w="432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id_producto, codigo_barras, nombre, precio_venta, precio_costo, stock_actual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1f5f9"/>
            <w:tcBorders/>
            <w:tcW w:w="28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Catálogo comercial e inventario.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fffff"/>
            <w:tcBorders/>
            <w:tcW w:w="21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VENTAS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432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id_venta, numero_factura, fecha_venta, subtotal, impuesto, total, cliente_id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8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Cabecera de ventas y facturación.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1f5f9"/>
            <w:tcBorders/>
            <w:tcW w:w="21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DETALLES_VENTA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1f5f9"/>
            <w:tcBorders/>
            <w:tcW w:w="432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id_detalle, venta_id, producto_id, cantidad, precio_unitario, subtotal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1f5f9"/>
            <w:tcBorders/>
            <w:tcW w:w="28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Detalle de líneas de venta (N:1).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fffff"/>
            <w:tcBorders/>
            <w:tcW w:w="21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USUARIOS / ROLES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432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id, username, password, email, rol (ADMIN, VENDEDOR, ALMACENERO)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ffff"/>
            <w:tcBorders/>
            <w:tcW w:w="288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 xml:space="preserve">Control de acceso RBAC seguro.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before="320"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Repositorio de Código Fuente (GitHub):</w:t>
        <w:br/>
      </w:r>
      <w:r>
        <w:rPr>
          <w:b/>
          <w:color w:val="000000" w:themeColor="text1"/>
        </w:rPr>
        <w:t xml:space="preserve">https://github.com/FlashB4cks/ProyectoAbarrotes</w:t>
        <w:br/>
      </w:r>
      <w:r>
        <w:rPr>
          <w:color w:val="000000" w:themeColor="text1"/>
        </w:rPr>
        <w:t xml:space="preserve">Script SQL DDL Adjunto en Repositorio: </w:t>
      </w:r>
      <w:r>
        <w:rPr>
          <w:i/>
          <w:color w:val="000000" w:themeColor="text1"/>
        </w:rPr>
        <w:t xml:space="preserve">database_schema.sql (disponible en la raíz del proyecto).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6. Evidencias de Implementación en Google Cloud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 continuación se presentan las capturas de pantalla organizadas por cada uno de los servicios y componentes obligatorios desplegados en el proyecto proyectotelecom-511619.</w:t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36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79682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831710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7968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8.00pt;height:62.74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36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2707993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3850277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27079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68.00pt;height:213.23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36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3364325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532955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943599" cy="3364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68.00pt;height:264.91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36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1922153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770480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19221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68.00pt;height:151.3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36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1737476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6336986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17374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468.00pt;height:136.81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36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1845604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02568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18456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468.00pt;height:145.32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80" w:before="360"/>
              <w:ind/>
              <w:jc w:val="center"/>
              <w:rPr>
                <w:color w:val="000000" w:themeColor="text1"/>
              </w:rPr>
            </w:pPr>
            <w:r>
              <w:rPr>
                <w:i/>
                <w:color w:val="000000" w:themeColor="text1"/>
                <w:sz w:val="18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1406120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275037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14061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468.00pt;height:110.72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i/>
                <w:color w:val="000000" w:themeColor="text1"/>
                <w:sz w:val="18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36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4122601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0991636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4122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468.00pt;height:324.61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36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2245031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4326287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22450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468.00pt;height:176.77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80" w:before="360"/>
              <w:ind/>
              <w:jc w:val="center"/>
              <w:rPr>
                <w:color w:val="000000" w:themeColor="text1"/>
              </w:rPr>
            </w:pPr>
            <w:r>
              <w:rPr>
                <w:i/>
                <w:color w:val="000000" w:themeColor="text1"/>
                <w:sz w:val="18"/>
                <w:lang w:val="es-GT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1840479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1281930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18404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468.00pt;height:144.92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i/>
                <w:color w:val="000000" w:themeColor="text1"/>
                <w:sz w:val="18"/>
                <w:lang w:val="es-GT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36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3302822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35174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33028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468.00pt;height:260.06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9fa"/>
            <w:tcBorders>
              <w:top w:val="single" w:color="1a73e8" w:sz="8" w:space="0"/>
              <w:left w:val="single" w:color="1a73e8" w:sz="8" w:space="0"/>
              <w:bottom w:val="single" w:color="1a73e8" w:sz="8" w:space="0"/>
              <w:right w:val="single" w:color="1a73e8" w:sz="8" w:space="0"/>
            </w:tcBorders>
            <w:tcW w:w="9360" w:type="dxa"/>
          </w:tcPr>
          <w:p>
            <w:pPr>
              <w:pBdr/>
              <w:spacing w:after="36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3022957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515497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30229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468.00pt;height:238.03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200" w:before="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7. Conclusiones y Beneficios de la Arquitectura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Escalabilidad Serverless sin Servidores Fijos: </w:t>
      </w:r>
      <w:r>
        <w:rPr>
          <w:color w:val="000000" w:themeColor="text1"/>
        </w:rPr>
        <w:t xml:space="preserve">El uso combinado de Cloud Run para Frontend y Backend permite a la empresa atender picos de ventas sin sobreaprovisionamiento de hardware, escalando a cero durante la noche y reduciendo drásticamente los costos de infraestructura.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Seguridad Perimetral y OWASP Hardening: </w:t>
      </w:r>
      <w:r>
        <w:rPr>
          <w:color w:val="000000" w:themeColor="text1"/>
        </w:rPr>
        <w:t xml:space="preserve">La separación de la red en subredes privadas (Web, App, DB), el filtrado por Firewall y la autenticación JWT con control RBAC garantizan que los datos financieros y de clientes permanezcan aislados de vectores de ataque comunes.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Alta Disponibilidad y Mantenimiento Cero: </w:t>
      </w:r>
      <w:r>
        <w:rPr>
          <w:color w:val="000000" w:themeColor="text1"/>
        </w:rPr>
        <w:t xml:space="preserve">Tanto Cloud SQL como Cloud Storage delegan la administración de parches, replicación y certificados SSL directamente en la infraestructura global de Google, asegurando un SLA del 99.95% para la operación continua del negocio.</w:t>
      </w: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2026-10-15T02:38:10Z</dcterms:modified>
  <cp:category/>
</cp:coreProperties>
</file>