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i w:val="0"/>
          <w:color w:val="102542"/>
          <w:sz w:val="28"/>
        </w:rPr>
        <w:t>UNIVERSIDAD MARIANO GÁLVEZ DE GUATEMALA</w:t>
      </w:r>
    </w:p>
    <w:p>
      <w:pPr>
        <w:spacing w:after="720"/>
        <w:jc w:val="center"/>
      </w:pPr>
      <w:r>
        <w:rPr>
          <w:rFonts w:ascii="Arial" w:hAnsi="Arial"/>
          <w:b/>
          <w:i w:val="0"/>
          <w:color w:val="B8934E"/>
          <w:sz w:val="22"/>
        </w:rPr>
        <w:t>FACULTAD DE INGENIERÍA EN SISTEMAS DE INFORMACIÓN</w:t>
        <w:br/>
        <w:t>Y CIENCIAS DE LA COMPUTACIÓN</w:t>
      </w:r>
    </w:p>
    <w:p>
      <w:pPr>
        <w:spacing w:after="240"/>
        <w:jc w:val="center"/>
      </w:pPr>
      <w:r>
        <w:rPr>
          <w:rFonts w:ascii="Arial" w:hAnsi="Arial"/>
          <w:b/>
          <w:i w:val="0"/>
          <w:color w:val="64748B"/>
          <w:sz w:val="24"/>
        </w:rPr>
        <w:t>PROYECTO DE GRADUACIÓN</w:t>
      </w:r>
    </w:p>
    <w:p>
      <w:pPr>
        <w:spacing w:after="960"/>
        <w:jc w:val="center"/>
      </w:pPr>
      <w:r>
        <w:rPr>
          <w:rFonts w:ascii="Arial" w:hAnsi="Arial"/>
          <w:b/>
          <w:i w:val="0"/>
          <w:color w:val="102542"/>
          <w:sz w:val="32"/>
        </w:rPr>
        <w:t>SISTEMA WEB DE GESTIÓN COMERCIAL, CONTROL DE INVENTARIOS CON METODOLOGÍA PEPS/FIFO Y PUNTO DE VENTA (POS) PARA COMERCIO DE ABARROTES</w:t>
        <w:br/>
        <w:t>«NOHEMYSYS»</w:t>
      </w:r>
    </w:p>
    <w:p>
      <w:pPr>
        <w:spacing w:after="80"/>
        <w:jc w:val="center"/>
      </w:pPr>
      <w:r>
        <w:rPr>
          <w:rFonts w:ascii="Arial" w:hAnsi="Arial"/>
          <w:b/>
          <w:i w:val="0"/>
          <w:color w:val="64748B"/>
          <w:sz w:val="20"/>
        </w:rPr>
        <w:t>PRESENTADO POR:</w:t>
      </w:r>
    </w:p>
    <w:p>
      <w:pPr>
        <w:spacing w:after="1280"/>
        <w:jc w:val="center"/>
      </w:pPr>
      <w:r>
        <w:rPr>
          <w:rFonts w:ascii="Arial" w:hAnsi="Arial"/>
          <w:b/>
          <w:i w:val="0"/>
          <w:color w:val="1E293B"/>
          <w:sz w:val="24"/>
        </w:rPr>
        <w:t>ESTUDIANTE: RUBÉN GONZÁLEZ</w:t>
      </w:r>
    </w:p>
    <w:p>
      <w:pPr>
        <w:spacing w:after="0"/>
        <w:jc w:val="center"/>
      </w:pPr>
      <w:r>
        <w:rPr>
          <w:rFonts w:ascii="Arial" w:hAnsi="Arial"/>
          <w:b/>
          <w:i w:val="0"/>
          <w:color w:val="B8934E"/>
          <w:sz w:val="22"/>
        </w:rPr>
        <w:t>GUATEMALA, 09 DE AGOSTO DE 2026</w:t>
      </w:r>
    </w:p>
    <w:p>
      <w:r>
        <w:br w:type="page"/>
      </w:r>
    </w:p>
    <w:p>
      <w:pPr>
        <w:keepNext/>
        <w:spacing w:before="320" w:after="160"/>
      </w:pPr>
      <w:r>
        <w:rPr>
          <w:rFonts w:ascii="Arial" w:hAnsi="Arial"/>
          <w:b/>
          <w:i w:val="0"/>
          <w:color w:val="102542"/>
          <w:sz w:val="32"/>
        </w:rPr>
        <w:t>DEDICATORIA</w:t>
      </w:r>
    </w:p>
    <w:p>
      <w:pPr>
        <w:spacing w:before="0" w:after="40" w:line="300" w:lineRule="auto"/>
        <w:jc w:val="both"/>
      </w:pPr>
      <w:r>
        <w:rPr>
          <w:rFonts w:ascii="Arial" w:hAnsi="Arial"/>
          <w:b/>
          <w:i w:val="0"/>
          <w:color w:val="1E293B"/>
          <w:sz w:val="22"/>
        </w:rPr>
        <w:t>A Dios:</w:t>
      </w:r>
    </w:p>
    <w:p>
      <w:pPr>
        <w:spacing w:before="0" w:after="120" w:line="300" w:lineRule="auto"/>
        <w:jc w:val="both"/>
      </w:pPr>
      <w:r>
        <w:rPr>
          <w:rFonts w:ascii="Arial" w:hAnsi="Arial"/>
          <w:b w:val="0"/>
          <w:i w:val="0"/>
          <w:color w:val="1E293B"/>
          <w:sz w:val="22"/>
        </w:rPr>
        <w:t>Creador supremo y fuente inagotable de sabiduría, fortaleza y perspicacia. Por ser la guía constante en cada etapa de mi formación personal y profesional, concediéndome la perseverancia necesaria para superar cada desafío académico y culminar con éxito esta importante meta de vida.</w:t>
      </w:r>
    </w:p>
    <w:p>
      <w:pPr>
        <w:spacing w:before="0" w:after="40" w:line="300" w:lineRule="auto"/>
        <w:jc w:val="both"/>
      </w:pPr>
      <w:r>
        <w:rPr>
          <w:rFonts w:ascii="Arial" w:hAnsi="Arial"/>
          <w:b/>
          <w:i w:val="0"/>
          <w:color w:val="1E293B"/>
          <w:sz w:val="22"/>
        </w:rPr>
        <w:t>A mis Padres y Familiares:</w:t>
      </w:r>
    </w:p>
    <w:p>
      <w:pPr>
        <w:spacing w:before="0" w:after="120" w:line="300" w:lineRule="auto"/>
        <w:jc w:val="both"/>
      </w:pPr>
      <w:r>
        <w:rPr>
          <w:rFonts w:ascii="Arial" w:hAnsi="Arial"/>
          <w:b w:val="0"/>
          <w:i w:val="0"/>
          <w:color w:val="1E293B"/>
          <w:sz w:val="22"/>
        </w:rPr>
        <w:t>Por su amor incondicional, sacrificios desinteresados y apoyo constante en todo momento. Su ejemplo de trabajo honesto, esfuerzo diario y valores morales constituyen los cimientos fundamentales sobre los cuales he construido mi camino profesional.</w:t>
      </w:r>
    </w:p>
    <w:p>
      <w:pPr>
        <w:spacing w:before="0" w:after="40" w:line="300" w:lineRule="auto"/>
        <w:jc w:val="both"/>
      </w:pPr>
      <w:r>
        <w:rPr>
          <w:rFonts w:ascii="Arial" w:hAnsi="Arial"/>
          <w:b/>
          <w:i w:val="0"/>
          <w:color w:val="1E293B"/>
          <w:sz w:val="22"/>
        </w:rPr>
        <w:t>A la Memoria e Inspiración de Comercio Nohemy:</w:t>
      </w:r>
    </w:p>
    <w:p>
      <w:pPr>
        <w:spacing w:before="0" w:after="120" w:line="300" w:lineRule="auto"/>
        <w:jc w:val="both"/>
      </w:pPr>
      <w:r>
        <w:rPr>
          <w:rFonts w:ascii="Arial" w:hAnsi="Arial"/>
          <w:b w:val="0"/>
          <w:i w:val="0"/>
          <w:color w:val="1E293B"/>
          <w:sz w:val="22"/>
        </w:rPr>
        <w:t>Cuya trayectoria de esfuerzo y servicio comercial sirvió como pilar e inspiración técnica para la concepción, desarrollo y modelado de esta plataforma tecnológica.</w:t>
      </w:r>
    </w:p>
    <w:p>
      <w:r>
        <w:br w:type="page"/>
      </w:r>
    </w:p>
    <w:p>
      <w:pPr>
        <w:keepNext/>
        <w:spacing w:before="320" w:after="160"/>
      </w:pPr>
      <w:r>
        <w:rPr>
          <w:rFonts w:ascii="Arial" w:hAnsi="Arial"/>
          <w:b/>
          <w:i w:val="0"/>
          <w:color w:val="102542"/>
          <w:sz w:val="32"/>
        </w:rPr>
        <w:t>AGRADECIMIENTO</w:t>
      </w:r>
    </w:p>
    <w:p>
      <w:pPr>
        <w:spacing w:before="0" w:after="40" w:line="300" w:lineRule="auto"/>
        <w:jc w:val="both"/>
      </w:pPr>
      <w:r>
        <w:rPr>
          <w:rFonts w:ascii="Arial" w:hAnsi="Arial"/>
          <w:b/>
          <w:i w:val="0"/>
          <w:color w:val="1E293B"/>
          <w:sz w:val="22"/>
        </w:rPr>
        <w:t>A la Universidad Mariano Gálvez de Guatemala:</w:t>
      </w:r>
    </w:p>
    <w:p>
      <w:pPr>
        <w:spacing w:before="0" w:after="120" w:line="300" w:lineRule="auto"/>
        <w:jc w:val="both"/>
      </w:pPr>
      <w:r>
        <w:rPr>
          <w:rFonts w:ascii="Arial" w:hAnsi="Arial"/>
          <w:b w:val="0"/>
          <w:i w:val="0"/>
          <w:color w:val="1E293B"/>
          <w:sz w:val="22"/>
        </w:rPr>
        <w:t>Por haberme abierto las puertas de sus aulas y brindado una formación académica de excelencia, promoviendo el rigor científico, la ética profesional y el uso de tecnologías de vanguardia al servicio de la sociedad.</w:t>
      </w:r>
    </w:p>
    <w:p>
      <w:pPr>
        <w:spacing w:before="0" w:after="40" w:line="300" w:lineRule="auto"/>
        <w:jc w:val="both"/>
      </w:pPr>
      <w:r>
        <w:rPr>
          <w:rFonts w:ascii="Arial" w:hAnsi="Arial"/>
          <w:b/>
          <w:i w:val="0"/>
          <w:color w:val="1E293B"/>
          <w:sz w:val="22"/>
        </w:rPr>
        <w:t>A la Facultad de Ingeniería en Sistemas de Información:</w:t>
      </w:r>
    </w:p>
    <w:p>
      <w:pPr>
        <w:spacing w:before="0" w:after="120" w:line="300" w:lineRule="auto"/>
        <w:jc w:val="both"/>
      </w:pPr>
      <w:r>
        <w:rPr>
          <w:rFonts w:ascii="Arial" w:hAnsi="Arial"/>
          <w:b w:val="0"/>
          <w:i w:val="0"/>
          <w:color w:val="1E293B"/>
          <w:sz w:val="22"/>
        </w:rPr>
        <w:t>A las autoridades académicas y al distinguido cuerpo docente, por compartir desinteresadamente sus conocimientos, experiencia técnica y exigencia profesional durante los años de carrera universitaria.</w:t>
      </w:r>
    </w:p>
    <w:p>
      <w:pPr>
        <w:spacing w:before="0" w:after="40" w:line="300" w:lineRule="auto"/>
        <w:jc w:val="both"/>
      </w:pPr>
      <w:r>
        <w:rPr>
          <w:rFonts w:ascii="Arial" w:hAnsi="Arial"/>
          <w:b/>
          <w:i w:val="0"/>
          <w:color w:val="1E293B"/>
          <w:sz w:val="22"/>
        </w:rPr>
        <w:t>A mis Asesores y Revisores de Tesis:</w:t>
      </w:r>
    </w:p>
    <w:p>
      <w:pPr>
        <w:spacing w:before="0" w:after="120" w:line="300" w:lineRule="auto"/>
        <w:jc w:val="both"/>
      </w:pPr>
      <w:r>
        <w:rPr>
          <w:rFonts w:ascii="Arial" w:hAnsi="Arial"/>
          <w:b w:val="0"/>
          <w:i w:val="0"/>
          <w:color w:val="1E293B"/>
          <w:sz w:val="22"/>
        </w:rPr>
        <w:t>Por su orientación analítica, sugerencias metodológicas y valiosas revisiones críticas que permitieron elevar la calidad técnica, conceptual y documental de esta investigación.</w:t>
      </w:r>
    </w:p>
    <w:p>
      <w:pPr>
        <w:spacing w:before="0" w:after="40" w:line="300" w:lineRule="auto"/>
        <w:jc w:val="both"/>
      </w:pPr>
      <w:r>
        <w:rPr>
          <w:rFonts w:ascii="Arial" w:hAnsi="Arial"/>
          <w:b/>
          <w:i w:val="0"/>
          <w:color w:val="1E293B"/>
          <w:sz w:val="22"/>
        </w:rPr>
        <w:t>A los Colaboradores del Sector Comercial Minorista:</w:t>
      </w:r>
    </w:p>
    <w:p>
      <w:pPr>
        <w:spacing w:before="0" w:after="120" w:line="300" w:lineRule="auto"/>
        <w:jc w:val="both"/>
      </w:pPr>
      <w:r>
        <w:rPr>
          <w:rFonts w:ascii="Arial" w:hAnsi="Arial"/>
          <w:b w:val="0"/>
          <w:i w:val="0"/>
          <w:color w:val="1E293B"/>
          <w:sz w:val="22"/>
        </w:rPr>
        <w:t>Por facilitar la información de campo, validar las necesidades operativas reales y prestar su apoyo durante las pruebas de usabilidad e implementación del sistema NohemySys.</w:t>
      </w:r>
    </w:p>
    <w:p>
      <w:r>
        <w:br w:type="page"/>
      </w:r>
    </w:p>
    <w:p>
      <w:pPr>
        <w:keepNext/>
        <w:spacing w:before="320" w:after="160"/>
      </w:pPr>
      <w:r>
        <w:rPr>
          <w:rFonts w:ascii="Arial" w:hAnsi="Arial"/>
          <w:b/>
          <w:i w:val="0"/>
          <w:color w:val="102542"/>
          <w:sz w:val="32"/>
        </w:rPr>
        <w:t>ÍNDICE DE CONTENIDOS</w:t>
      </w:r>
    </w:p>
    <w:p>
      <w:pPr>
        <w:spacing w:before="0" w:after="240" w:line="300" w:lineRule="auto"/>
        <w:jc w:val="both"/>
      </w:pPr>
      <w:r>
        <w:rPr>
          <w:rFonts w:ascii="Arial" w:hAnsi="Arial"/>
          <w:b w:val="0"/>
          <w:i/>
          <w:color w:val="1E293B"/>
          <w:sz w:val="22"/>
        </w:rPr>
        <w:t>A continuación se presenta la estructura documental correspondiente a la Primera Entrega del proyecto de investigación:</w:t>
      </w:r>
    </w:p>
    <w:tbl>
      <w:tblPr>
        <w:tblW w:type="auto" w:w="0"/>
        <w:jc w:val="center"/>
        <w:tblLayout w:type="fixed"/>
        <w:tblLook w:firstColumn="1" w:firstRow="1" w:lastColumn="0" w:lastRow="0" w:noHBand="0" w:noVBand="1" w:val="04A0"/>
      </w:tblPr>
      <w:tblGrid>
        <w:gridCol w:w="3120"/>
        <w:gridCol w:w="3120"/>
        <w:gridCol w:w="3120"/>
      </w:tblGrid>
      <w:tr>
        <w:tc>
          <w:tcPr>
            <w:tcW w:type="dxa" w:w="4608"/>
            <w:shd w:fill="102542"/>
          </w:tcPr>
          <w:p>
            <w:pPr>
              <w:jc w:val="left"/>
            </w:pPr>
            <w:r>
              <w:rPr>
                <w:rFonts w:ascii="Arial" w:hAnsi="Arial"/>
                <w:b/>
                <w:i w:val="0"/>
                <w:color w:val="FFFFFF"/>
                <w:sz w:val="20"/>
              </w:rPr>
              <w:t>SECCIÓN / CAPÍTULO</w:t>
            </w:r>
          </w:p>
        </w:tc>
        <w:tc>
          <w:tcPr>
            <w:tcW w:type="dxa" w:w="3744"/>
            <w:shd w:fill="102542"/>
          </w:tcPr>
          <w:p>
            <w:pPr>
              <w:jc w:val="left"/>
            </w:pPr>
            <w:r>
              <w:rPr>
                <w:rFonts w:ascii="Arial" w:hAnsi="Arial"/>
                <w:b/>
                <w:i w:val="0"/>
                <w:color w:val="FFFFFF"/>
                <w:sz w:val="20"/>
              </w:rPr>
              <w:t>DESCRIPCIÓN METODOLÓGICA</w:t>
            </w:r>
          </w:p>
        </w:tc>
        <w:tc>
          <w:tcPr>
            <w:tcW w:type="dxa" w:w="1008"/>
            <w:shd w:fill="102542"/>
          </w:tcPr>
          <w:p>
            <w:pPr>
              <w:jc w:val="center"/>
            </w:pPr>
            <w:r>
              <w:rPr>
                <w:rFonts w:ascii="Arial" w:hAnsi="Arial"/>
                <w:b/>
                <w:i w:val="0"/>
                <w:color w:val="FFFFFF"/>
                <w:sz w:val="20"/>
              </w:rPr>
              <w:t>PÁG.</w:t>
            </w:r>
          </w:p>
        </w:tc>
      </w:tr>
      <w:tr>
        <w:tc>
          <w:tcPr>
            <w:tcW w:type="dxa" w:w="4608"/>
          </w:tcPr>
          <w:p>
            <w:r>
              <w:rPr>
                <w:rFonts w:ascii="Arial" w:hAnsi="Arial"/>
                <w:b/>
                <w:i w:val="0"/>
                <w:color w:val="102542"/>
                <w:sz w:val="19"/>
              </w:rPr>
              <w:t>DEDICATORIA</w:t>
            </w:r>
          </w:p>
        </w:tc>
        <w:tc>
          <w:tcPr>
            <w:tcW w:type="dxa" w:w="3744"/>
          </w:tcPr>
          <w:p>
            <w:r>
              <w:rPr>
                <w:rFonts w:ascii="Arial" w:hAnsi="Arial"/>
                <w:b w:val="0"/>
                <w:i/>
                <w:color w:val="64748B"/>
                <w:sz w:val="18"/>
              </w:rPr>
              <w:t>Expresión de gratitud personal e inspiración</w:t>
            </w:r>
          </w:p>
        </w:tc>
        <w:tc>
          <w:tcPr>
            <w:tcW w:type="dxa" w:w="1008"/>
          </w:tcPr>
          <w:p>
            <w:pPr>
              <w:jc w:val="center"/>
            </w:pPr>
            <w:r>
              <w:rPr>
                <w:rFonts w:ascii="Arial" w:hAnsi="Arial"/>
                <w:b/>
                <w:i w:val="0"/>
                <w:color w:val="102542"/>
                <w:sz w:val="19"/>
              </w:rPr>
              <w:t>ii</w:t>
            </w:r>
          </w:p>
        </w:tc>
      </w:tr>
      <w:tr>
        <w:tc>
          <w:tcPr>
            <w:tcW w:type="dxa" w:w="4608"/>
          </w:tcPr>
          <w:p>
            <w:r>
              <w:rPr>
                <w:rFonts w:ascii="Arial" w:hAnsi="Arial"/>
                <w:b/>
                <w:i w:val="0"/>
                <w:color w:val="102542"/>
                <w:sz w:val="19"/>
              </w:rPr>
              <w:t>AGRADECIMIENTO</w:t>
            </w:r>
          </w:p>
        </w:tc>
        <w:tc>
          <w:tcPr>
            <w:tcW w:type="dxa" w:w="3744"/>
          </w:tcPr>
          <w:p>
            <w:r>
              <w:rPr>
                <w:rFonts w:ascii="Arial" w:hAnsi="Arial"/>
                <w:b w:val="0"/>
                <w:i/>
                <w:color w:val="64748B"/>
                <w:sz w:val="18"/>
              </w:rPr>
              <w:t>Reconocimiento institucional y académico</w:t>
            </w:r>
          </w:p>
        </w:tc>
        <w:tc>
          <w:tcPr>
            <w:tcW w:type="dxa" w:w="1008"/>
          </w:tcPr>
          <w:p>
            <w:pPr>
              <w:jc w:val="center"/>
            </w:pPr>
            <w:r>
              <w:rPr>
                <w:rFonts w:ascii="Arial" w:hAnsi="Arial"/>
                <w:b/>
                <w:i w:val="0"/>
                <w:color w:val="102542"/>
                <w:sz w:val="19"/>
              </w:rPr>
              <w:t>iii</w:t>
            </w:r>
          </w:p>
        </w:tc>
      </w:tr>
      <w:tr>
        <w:tc>
          <w:tcPr>
            <w:tcW w:type="dxa" w:w="4608"/>
          </w:tcPr>
          <w:p>
            <w:r>
              <w:rPr>
                <w:rFonts w:ascii="Arial" w:hAnsi="Arial"/>
                <w:b/>
                <w:i w:val="0"/>
                <w:color w:val="102542"/>
                <w:sz w:val="19"/>
              </w:rPr>
              <w:t>ÍNDICE DE CONTENIDOS</w:t>
            </w:r>
          </w:p>
        </w:tc>
        <w:tc>
          <w:tcPr>
            <w:tcW w:type="dxa" w:w="3744"/>
          </w:tcPr>
          <w:p>
            <w:r>
              <w:rPr>
                <w:rFonts w:ascii="Arial" w:hAnsi="Arial"/>
                <w:b w:val="0"/>
                <w:i/>
                <w:color w:val="64748B"/>
                <w:sz w:val="18"/>
              </w:rPr>
              <w:t>Estructura esquemática del documento</w:t>
            </w:r>
          </w:p>
        </w:tc>
        <w:tc>
          <w:tcPr>
            <w:tcW w:type="dxa" w:w="1008"/>
          </w:tcPr>
          <w:p>
            <w:pPr>
              <w:jc w:val="center"/>
            </w:pPr>
            <w:r>
              <w:rPr>
                <w:rFonts w:ascii="Arial" w:hAnsi="Arial"/>
                <w:b/>
                <w:i w:val="0"/>
                <w:color w:val="102542"/>
                <w:sz w:val="19"/>
              </w:rPr>
              <w:t>iv</w:t>
            </w:r>
          </w:p>
        </w:tc>
      </w:tr>
      <w:tr>
        <w:tc>
          <w:tcPr>
            <w:tcW w:type="dxa" w:w="4608"/>
          </w:tcPr>
          <w:p>
            <w:r>
              <w:rPr>
                <w:rFonts w:ascii="Arial" w:hAnsi="Arial"/>
                <w:b/>
                <w:i w:val="0"/>
                <w:color w:val="102542"/>
                <w:sz w:val="19"/>
              </w:rPr>
              <w:t>INTRODUCCIÓN (1ra Entrega - 09.08.2026)</w:t>
            </w:r>
          </w:p>
        </w:tc>
        <w:tc>
          <w:tcPr>
            <w:tcW w:type="dxa" w:w="3744"/>
          </w:tcPr>
          <w:p>
            <w:r>
              <w:rPr>
                <w:rFonts w:ascii="Arial" w:hAnsi="Arial"/>
                <w:b w:val="0"/>
                <w:i/>
                <w:color w:val="64748B"/>
                <w:sz w:val="18"/>
              </w:rPr>
              <w:t>Presentación general y alcance técnico</w:t>
            </w:r>
          </w:p>
        </w:tc>
        <w:tc>
          <w:tcPr>
            <w:tcW w:type="dxa" w:w="1008"/>
          </w:tcPr>
          <w:p>
            <w:pPr>
              <w:jc w:val="center"/>
            </w:pPr>
            <w:r>
              <w:rPr>
                <w:rFonts w:ascii="Arial" w:hAnsi="Arial"/>
                <w:b/>
                <w:i w:val="0"/>
                <w:color w:val="102542"/>
                <w:sz w:val="19"/>
              </w:rPr>
              <w:t>1</w:t>
            </w:r>
          </w:p>
        </w:tc>
      </w:tr>
      <w:tr>
        <w:tc>
          <w:tcPr>
            <w:tcW w:type="dxa" w:w="4608"/>
          </w:tcPr>
          <w:p>
            <w:r>
              <w:rPr>
                <w:rFonts w:ascii="Arial" w:hAnsi="Arial"/>
                <w:b/>
                <w:i w:val="0"/>
                <w:color w:val="102542"/>
                <w:sz w:val="19"/>
              </w:rPr>
              <w:t>CAPÍTULO 1: MARCO CONCEPTUAL</w:t>
            </w:r>
          </w:p>
        </w:tc>
        <w:tc>
          <w:tcPr>
            <w:tcW w:type="dxa" w:w="3744"/>
          </w:tcPr>
          <w:p>
            <w:r>
              <w:rPr>
                <w:rFonts w:ascii="Arial" w:hAnsi="Arial"/>
                <w:b w:val="0"/>
                <w:i/>
                <w:color w:val="64748B"/>
                <w:sz w:val="18"/>
              </w:rPr>
              <w:t>Fundamentación metodológica del problema</w:t>
            </w:r>
          </w:p>
        </w:tc>
        <w:tc>
          <w:tcPr>
            <w:tcW w:type="dxa" w:w="1008"/>
          </w:tcPr>
          <w:p>
            <w:pPr>
              <w:jc w:val="center"/>
            </w:pPr>
            <w:r>
              <w:rPr>
                <w:rFonts w:ascii="Arial" w:hAnsi="Arial"/>
                <w:b/>
                <w:i w:val="0"/>
                <w:color w:val="102542"/>
                <w:sz w:val="19"/>
              </w:rPr>
              <w:t>2</w:t>
            </w:r>
          </w:p>
        </w:tc>
      </w:tr>
      <w:tr>
        <w:tc>
          <w:tcPr>
            <w:tcW w:type="dxa" w:w="4608"/>
          </w:tcPr>
          <w:p>
            <w:r>
              <w:rPr>
                <w:rFonts w:ascii="Arial" w:hAnsi="Arial"/>
                <w:b w:val="0"/>
                <w:i w:val="0"/>
                <w:color w:val="1E293B"/>
                <w:sz w:val="19"/>
              </w:rPr>
              <w:t>1.1 Presentación del Problema</w:t>
            </w:r>
          </w:p>
        </w:tc>
        <w:tc>
          <w:tcPr>
            <w:tcW w:type="dxa" w:w="3744"/>
          </w:tcPr>
          <w:p>
            <w:r>
              <w:rPr>
                <w:rFonts w:ascii="Arial" w:hAnsi="Arial"/>
                <w:b w:val="0"/>
                <w:i/>
                <w:color w:val="64748B"/>
                <w:sz w:val="18"/>
              </w:rPr>
              <w:t>Contexto del comercio minorista de abarrotes</w:t>
            </w:r>
          </w:p>
        </w:tc>
        <w:tc>
          <w:tcPr>
            <w:tcW w:type="dxa" w:w="1008"/>
          </w:tcPr>
          <w:p>
            <w:pPr>
              <w:jc w:val="center"/>
            </w:pPr>
            <w:r>
              <w:rPr>
                <w:rFonts w:ascii="Arial" w:hAnsi="Arial"/>
                <w:b w:val="0"/>
                <w:i w:val="0"/>
                <w:color w:val="1E293B"/>
                <w:sz w:val="19"/>
              </w:rPr>
              <w:t>2</w:t>
            </w:r>
          </w:p>
        </w:tc>
      </w:tr>
      <w:tr>
        <w:tc>
          <w:tcPr>
            <w:tcW w:type="dxa" w:w="4608"/>
          </w:tcPr>
          <w:p>
            <w:r>
              <w:rPr>
                <w:rFonts w:ascii="Arial" w:hAnsi="Arial"/>
                <w:b w:val="0"/>
                <w:i w:val="0"/>
                <w:color w:val="1E293B"/>
                <w:sz w:val="19"/>
              </w:rPr>
              <w:t>1.2 Plantear el Problema</w:t>
            </w:r>
          </w:p>
        </w:tc>
        <w:tc>
          <w:tcPr>
            <w:tcW w:type="dxa" w:w="3744"/>
          </w:tcPr>
          <w:p>
            <w:r>
              <w:rPr>
                <w:rFonts w:ascii="Arial" w:hAnsi="Arial"/>
                <w:b w:val="0"/>
                <w:i/>
                <w:color w:val="64748B"/>
                <w:sz w:val="18"/>
              </w:rPr>
              <w:t>Análisis de fallas operativas e ineficiencias</w:t>
            </w:r>
          </w:p>
        </w:tc>
        <w:tc>
          <w:tcPr>
            <w:tcW w:type="dxa" w:w="1008"/>
          </w:tcPr>
          <w:p>
            <w:pPr>
              <w:jc w:val="center"/>
            </w:pPr>
            <w:r>
              <w:rPr>
                <w:rFonts w:ascii="Arial" w:hAnsi="Arial"/>
                <w:b w:val="0"/>
                <w:i w:val="0"/>
                <w:color w:val="1E293B"/>
                <w:sz w:val="19"/>
              </w:rPr>
              <w:t>3</w:t>
            </w:r>
          </w:p>
        </w:tc>
      </w:tr>
      <w:tr>
        <w:tc>
          <w:tcPr>
            <w:tcW w:type="dxa" w:w="4608"/>
          </w:tcPr>
          <w:p>
            <w:r>
              <w:rPr>
                <w:rFonts w:ascii="Arial" w:hAnsi="Arial"/>
                <w:b w:val="0"/>
                <w:i w:val="0"/>
                <w:color w:val="1E293B"/>
                <w:sz w:val="19"/>
              </w:rPr>
              <w:t>1.3 Formular el Problema</w:t>
            </w:r>
          </w:p>
        </w:tc>
        <w:tc>
          <w:tcPr>
            <w:tcW w:type="dxa" w:w="3744"/>
          </w:tcPr>
          <w:p>
            <w:r>
              <w:rPr>
                <w:rFonts w:ascii="Arial" w:hAnsi="Arial"/>
                <w:b w:val="0"/>
                <w:i/>
                <w:color w:val="64748B"/>
                <w:sz w:val="18"/>
              </w:rPr>
              <w:t>Definición formal de la pregunta central</w:t>
            </w:r>
          </w:p>
        </w:tc>
        <w:tc>
          <w:tcPr>
            <w:tcW w:type="dxa" w:w="1008"/>
          </w:tcPr>
          <w:p>
            <w:pPr>
              <w:jc w:val="center"/>
            </w:pPr>
            <w:r>
              <w:rPr>
                <w:rFonts w:ascii="Arial" w:hAnsi="Arial"/>
                <w:b w:val="0"/>
                <w:i w:val="0"/>
                <w:color w:val="1E293B"/>
                <w:sz w:val="19"/>
              </w:rPr>
              <w:t>4</w:t>
            </w:r>
          </w:p>
        </w:tc>
      </w:tr>
      <w:tr>
        <w:tc>
          <w:tcPr>
            <w:tcW w:type="dxa" w:w="4608"/>
          </w:tcPr>
          <w:p>
            <w:r>
              <w:rPr>
                <w:rFonts w:ascii="Arial" w:hAnsi="Arial"/>
                <w:b w:val="0"/>
                <w:i w:val="0"/>
                <w:color w:val="1E293B"/>
                <w:sz w:val="19"/>
              </w:rPr>
              <w:t>1.4 Interrogantes de la Investigación</w:t>
            </w:r>
          </w:p>
        </w:tc>
        <w:tc>
          <w:tcPr>
            <w:tcW w:type="dxa" w:w="3744"/>
          </w:tcPr>
          <w:p>
            <w:r>
              <w:rPr>
                <w:rFonts w:ascii="Arial" w:hAnsi="Arial"/>
                <w:b w:val="0"/>
                <w:i/>
                <w:color w:val="64748B"/>
                <w:sz w:val="18"/>
              </w:rPr>
              <w:t>Preguntas específicas de indagación técnica</w:t>
            </w:r>
          </w:p>
        </w:tc>
        <w:tc>
          <w:tcPr>
            <w:tcW w:type="dxa" w:w="1008"/>
          </w:tcPr>
          <w:p>
            <w:pPr>
              <w:jc w:val="center"/>
            </w:pPr>
            <w:r>
              <w:rPr>
                <w:rFonts w:ascii="Arial" w:hAnsi="Arial"/>
                <w:b w:val="0"/>
                <w:i w:val="0"/>
                <w:color w:val="1E293B"/>
                <w:sz w:val="19"/>
              </w:rPr>
              <w:t>4</w:t>
            </w:r>
          </w:p>
        </w:tc>
      </w:tr>
      <w:tr>
        <w:tc>
          <w:tcPr>
            <w:tcW w:type="dxa" w:w="4608"/>
          </w:tcPr>
          <w:p>
            <w:r>
              <w:rPr>
                <w:rFonts w:ascii="Arial" w:hAnsi="Arial"/>
                <w:b w:val="0"/>
                <w:i w:val="0"/>
                <w:color w:val="1E293B"/>
                <w:sz w:val="19"/>
              </w:rPr>
              <w:t>1.5 Objetivos</w:t>
            </w:r>
          </w:p>
        </w:tc>
        <w:tc>
          <w:tcPr>
            <w:tcW w:type="dxa" w:w="3744"/>
          </w:tcPr>
          <w:p>
            <w:r>
              <w:rPr>
                <w:rFonts w:ascii="Arial" w:hAnsi="Arial"/>
                <w:b w:val="0"/>
                <w:i/>
                <w:color w:val="64748B"/>
                <w:sz w:val="18"/>
              </w:rPr>
              <w:t>Propósitos del estudio y desarrollo</w:t>
            </w:r>
          </w:p>
        </w:tc>
        <w:tc>
          <w:tcPr>
            <w:tcW w:type="dxa" w:w="1008"/>
          </w:tcPr>
          <w:p>
            <w:pPr>
              <w:jc w:val="center"/>
            </w:pPr>
            <w:r>
              <w:rPr>
                <w:rFonts w:ascii="Arial" w:hAnsi="Arial"/>
                <w:b w:val="0"/>
                <w:i w:val="0"/>
                <w:color w:val="1E293B"/>
                <w:sz w:val="19"/>
              </w:rPr>
              <w:t>5</w:t>
            </w:r>
          </w:p>
        </w:tc>
      </w:tr>
      <w:tr>
        <w:tc>
          <w:tcPr>
            <w:tcW w:type="dxa" w:w="4608"/>
          </w:tcPr>
          <w:p>
            <w:r>
              <w:rPr>
                <w:rFonts w:ascii="Arial" w:hAnsi="Arial"/>
                <w:b w:val="0"/>
                <w:i w:val="0"/>
                <w:color w:val="1E293B"/>
                <w:sz w:val="19"/>
              </w:rPr>
              <w:t xml:space="preserve">   1.5.1 De la Investigación</w:t>
            </w:r>
          </w:p>
        </w:tc>
        <w:tc>
          <w:tcPr>
            <w:tcW w:type="dxa" w:w="3744"/>
          </w:tcPr>
          <w:p>
            <w:r>
              <w:rPr>
                <w:rFonts w:ascii="Arial" w:hAnsi="Arial"/>
                <w:b w:val="0"/>
                <w:i/>
                <w:color w:val="64748B"/>
                <w:sz w:val="18"/>
              </w:rPr>
              <w:t>Evaluación de impacto cuantitativo y cualitativo</w:t>
            </w:r>
          </w:p>
        </w:tc>
        <w:tc>
          <w:tcPr>
            <w:tcW w:type="dxa" w:w="1008"/>
          </w:tcPr>
          <w:p>
            <w:pPr>
              <w:jc w:val="center"/>
            </w:pPr>
            <w:r>
              <w:rPr>
                <w:rFonts w:ascii="Arial" w:hAnsi="Arial"/>
                <w:b w:val="0"/>
                <w:i w:val="0"/>
                <w:color w:val="1E293B"/>
                <w:sz w:val="19"/>
              </w:rPr>
              <w:t>5</w:t>
            </w:r>
          </w:p>
        </w:tc>
      </w:tr>
      <w:tr>
        <w:tc>
          <w:tcPr>
            <w:tcW w:type="dxa" w:w="4608"/>
          </w:tcPr>
          <w:p>
            <w:r>
              <w:rPr>
                <w:rFonts w:ascii="Arial" w:hAnsi="Arial"/>
                <w:b w:val="0"/>
                <w:i w:val="0"/>
                <w:color w:val="1E293B"/>
                <w:sz w:val="19"/>
              </w:rPr>
              <w:t xml:space="preserve">   1.5.2 Generales</w:t>
            </w:r>
          </w:p>
        </w:tc>
        <w:tc>
          <w:tcPr>
            <w:tcW w:type="dxa" w:w="3744"/>
          </w:tcPr>
          <w:p>
            <w:r>
              <w:rPr>
                <w:rFonts w:ascii="Arial" w:hAnsi="Arial"/>
                <w:b w:val="0"/>
                <w:i/>
                <w:color w:val="64748B"/>
                <w:sz w:val="18"/>
              </w:rPr>
              <w:t>Solución integral de desarrollo web NohemySys</w:t>
            </w:r>
          </w:p>
        </w:tc>
        <w:tc>
          <w:tcPr>
            <w:tcW w:type="dxa" w:w="1008"/>
          </w:tcPr>
          <w:p>
            <w:pPr>
              <w:jc w:val="center"/>
            </w:pPr>
            <w:r>
              <w:rPr>
                <w:rFonts w:ascii="Arial" w:hAnsi="Arial"/>
                <w:b w:val="0"/>
                <w:i w:val="0"/>
                <w:color w:val="1E293B"/>
                <w:sz w:val="19"/>
              </w:rPr>
              <w:t>5</w:t>
            </w:r>
          </w:p>
        </w:tc>
      </w:tr>
      <w:tr>
        <w:tc>
          <w:tcPr>
            <w:tcW w:type="dxa" w:w="4608"/>
          </w:tcPr>
          <w:p>
            <w:r>
              <w:rPr>
                <w:rFonts w:ascii="Arial" w:hAnsi="Arial"/>
                <w:b w:val="0"/>
                <w:i w:val="0"/>
                <w:color w:val="1E293B"/>
                <w:sz w:val="19"/>
              </w:rPr>
              <w:t xml:space="preserve">   1.5.3 Específicos</w:t>
            </w:r>
          </w:p>
        </w:tc>
        <w:tc>
          <w:tcPr>
            <w:tcW w:type="dxa" w:w="3744"/>
          </w:tcPr>
          <w:p>
            <w:r>
              <w:rPr>
                <w:rFonts w:ascii="Arial" w:hAnsi="Arial"/>
                <w:b w:val="0"/>
                <w:i/>
                <w:color w:val="64748B"/>
                <w:sz w:val="18"/>
              </w:rPr>
              <w:t>Metas concretas de implementación técnica</w:t>
            </w:r>
          </w:p>
        </w:tc>
        <w:tc>
          <w:tcPr>
            <w:tcW w:type="dxa" w:w="1008"/>
          </w:tcPr>
          <w:p>
            <w:pPr>
              <w:jc w:val="center"/>
            </w:pPr>
            <w:r>
              <w:rPr>
                <w:rFonts w:ascii="Arial" w:hAnsi="Arial"/>
                <w:b w:val="0"/>
                <w:i w:val="0"/>
                <w:color w:val="1E293B"/>
                <w:sz w:val="19"/>
              </w:rPr>
              <w:t>5</w:t>
            </w:r>
          </w:p>
        </w:tc>
      </w:tr>
      <w:tr>
        <w:tc>
          <w:tcPr>
            <w:tcW w:type="dxa" w:w="4608"/>
          </w:tcPr>
          <w:p>
            <w:r>
              <w:rPr>
                <w:rFonts w:ascii="Arial" w:hAnsi="Arial"/>
                <w:b w:val="0"/>
                <w:i w:val="0"/>
                <w:color w:val="1E293B"/>
                <w:sz w:val="19"/>
              </w:rPr>
              <w:t>1.6 Hipótesis</w:t>
            </w:r>
          </w:p>
        </w:tc>
        <w:tc>
          <w:tcPr>
            <w:tcW w:type="dxa" w:w="3744"/>
          </w:tcPr>
          <w:p>
            <w:r>
              <w:rPr>
                <w:rFonts w:ascii="Arial" w:hAnsi="Arial"/>
                <w:b w:val="0"/>
                <w:i/>
                <w:color w:val="64748B"/>
                <w:sz w:val="18"/>
              </w:rPr>
              <w:t>Postulación de variables de respuesta y prueba</w:t>
            </w:r>
          </w:p>
        </w:tc>
        <w:tc>
          <w:tcPr>
            <w:tcW w:type="dxa" w:w="1008"/>
          </w:tcPr>
          <w:p>
            <w:pPr>
              <w:jc w:val="center"/>
            </w:pPr>
            <w:r>
              <w:rPr>
                <w:rFonts w:ascii="Arial" w:hAnsi="Arial"/>
                <w:b w:val="0"/>
                <w:i w:val="0"/>
                <w:color w:val="1E293B"/>
                <w:sz w:val="19"/>
              </w:rPr>
              <w:t>6</w:t>
            </w:r>
          </w:p>
        </w:tc>
      </w:tr>
    </w:tbl>
    <w:p>
      <w:r>
        <w:br w:type="page"/>
      </w:r>
    </w:p>
    <w:p>
      <w:pPr>
        <w:keepNext/>
        <w:spacing w:before="320" w:after="160"/>
      </w:pPr>
      <w:r>
        <w:rPr>
          <w:rFonts w:ascii="Arial" w:hAnsi="Arial"/>
          <w:b/>
          <w:i w:val="0"/>
          <w:color w:val="102542"/>
          <w:sz w:val="32"/>
        </w:rPr>
        <w:t>INTRODUCCIÓN (1ra Entrega 09.08.2026)</w:t>
      </w:r>
    </w:p>
    <w:p>
      <w:pPr>
        <w:spacing w:before="0" w:after="120" w:line="300" w:lineRule="auto"/>
        <w:jc w:val="both"/>
      </w:pPr>
      <w:r>
        <w:rPr>
          <w:rFonts w:ascii="Arial" w:hAnsi="Arial"/>
          <w:b w:val="0"/>
          <w:i w:val="0"/>
          <w:color w:val="1E293B"/>
          <w:sz w:val="22"/>
        </w:rPr>
        <w:t>En el contexto socioeconómico guatemalteco, el comercio minorista de abarrotes constituye un pilar esencial en la cadena de distribución de bienes de consumo diario. No obstante, una importante proporción de estos establecimientos continúa gestionando sus operaciones mediante registros manuales o metodologías empíricas no automatizadas. Esta situación deriva en problemas recurrentes como la falta de trazabilidad en las existencias, merma financiera por caducidad de productos perecederos, lentitud en los puntos de atención y vulnerabilidad en la seguridad de la información.</w:t>
      </w:r>
    </w:p>
    <w:p>
      <w:pPr>
        <w:spacing w:before="0" w:after="120" w:line="300" w:lineRule="auto"/>
        <w:jc w:val="both"/>
      </w:pPr>
      <w:r>
        <w:rPr>
          <w:rFonts w:ascii="Arial" w:hAnsi="Arial"/>
          <w:b w:val="0"/>
          <w:i w:val="0"/>
          <w:color w:val="1E293B"/>
          <w:sz w:val="22"/>
        </w:rPr>
        <w:t>Frente a esta problemática, la presente investigación y propuesta de ingeniería titulada «Sistema Web de Gestión Comercial, Control de Inventarios con Metodología PEPS/FIFO y Punto de Venta (POS) para Comercio de Abarrotes - NohemySys» aborda la concepción, desarrollo e implementación de una solución informática integral diseñada a la medida del sector minorista.</w:t>
      </w:r>
    </w:p>
    <w:p>
      <w:pPr>
        <w:spacing w:before="0" w:after="120" w:line="300" w:lineRule="auto"/>
        <w:jc w:val="both"/>
      </w:pPr>
      <w:r>
        <w:rPr>
          <w:rFonts w:ascii="Arial" w:hAnsi="Arial"/>
          <w:b w:val="0"/>
          <w:i w:val="0"/>
          <w:color w:val="1E293B"/>
          <w:sz w:val="22"/>
        </w:rPr>
        <w:t>La primera entrega formal de este informe documental, estructurada al 09 de agosto de 2026, consolida el Capítulo 1 correspondiente al Marco Conceptual de la investigación. En esta etapa inicial se formaliza la delimitación del problema operativo, las interrogantes que guían el trabajo técnico, los objetivos generales y específicos orientados a la solución, así como la formulación de la hipótesis de trabajo que vincula la automatización mediante la metodología PEPS/FIFO con la reducción de pérdidas operativas.</w:t>
      </w:r>
    </w:p>
    <w:p>
      <w:pPr>
        <w:spacing w:before="0" w:after="120" w:line="300" w:lineRule="auto"/>
        <w:jc w:val="both"/>
      </w:pPr>
      <w:r>
        <w:rPr>
          <w:rFonts w:ascii="Arial" w:hAnsi="Arial"/>
          <w:b w:val="0"/>
          <w:i w:val="0"/>
          <w:color w:val="1E293B"/>
          <w:sz w:val="22"/>
        </w:rPr>
        <w:t>La arquitectura tecnológica del sistema NohemySys ha sido construida sobre un ecosistema de software robusto y escalable, compuesto por un backend en Python con Django REST Framework, una base de datos relacional PostgreSQL 18 para la persistencia transaccional y un frontend SPA (Single Page Application) desarrollado en React 18 con renderizado dinámico y diseño corporativo responsivo. Este documento presenta las bases científicas y metodológicas que fundamentan la construcción del proyecto.</w:t>
      </w:r>
    </w:p>
    <w:p>
      <w:r>
        <w:br w:type="page"/>
      </w:r>
    </w:p>
    <w:p>
      <w:pPr>
        <w:keepNext/>
        <w:spacing w:before="320" w:after="160"/>
      </w:pPr>
      <w:r>
        <w:rPr>
          <w:rFonts w:ascii="Arial" w:hAnsi="Arial"/>
          <w:b/>
          <w:i w:val="0"/>
          <w:color w:val="102542"/>
          <w:sz w:val="32"/>
        </w:rPr>
        <w:t>CAPÍTULO 1: MARCO CONCEPTUAL</w:t>
      </w:r>
    </w:p>
    <w:p>
      <w:pPr>
        <w:keepNext/>
        <w:spacing w:before="320" w:after="160"/>
      </w:pPr>
      <w:r>
        <w:rPr>
          <w:rFonts w:ascii="Arial" w:hAnsi="Arial"/>
          <w:b/>
          <w:i w:val="0"/>
          <w:color w:val="B8934E"/>
          <w:sz w:val="26"/>
        </w:rPr>
        <w:t>1.1 Presentación del Problema</w:t>
      </w:r>
    </w:p>
    <w:p>
      <w:pPr>
        <w:spacing w:before="0" w:after="120" w:line="300" w:lineRule="auto"/>
        <w:jc w:val="both"/>
      </w:pPr>
      <w:r>
        <w:rPr>
          <w:rFonts w:ascii="Arial" w:hAnsi="Arial"/>
          <w:b w:val="0"/>
          <w:i w:val="0"/>
          <w:color w:val="1E293B"/>
          <w:sz w:val="22"/>
        </w:rPr>
        <w:t>Las pequeñas y medianas empresas dedicadas a la venta de abarrotes operan en un entorno de alta rotación de inventarios y márgenes de ganancia estrechos. En el caso específico del comercio «Nohemy», la administración tradicional basada en anotaciones físicas y revisiones visuales periódicas ha generado barreras críticas para el crecimiento comercial y la rentabilidad operacional.</w:t>
      </w:r>
    </w:p>
    <w:p>
      <w:pPr>
        <w:spacing w:before="0" w:after="120" w:line="300" w:lineRule="auto"/>
        <w:jc w:val="both"/>
      </w:pPr>
      <w:r>
        <w:rPr>
          <w:rFonts w:ascii="Arial" w:hAnsi="Arial"/>
          <w:b w:val="0"/>
          <w:i w:val="0"/>
          <w:color w:val="1E293B"/>
          <w:sz w:val="22"/>
        </w:rPr>
        <w:t>El problema central radica en el desconocimiento preciso de los niveles de existencias en tiempo real, lo que ocasiona dos escenarios perjudiciales: por un lado, el desabastecimiento de productos de alta demanda (pérdida de ventas) y, por otro lado, el sobrealmacenamiento de mercancía perecedera de baja rotación. Al no contar con una estrategia automatizada de rotación de inventario bajo la regla PEPS/FIFO (Primeras Entradas, Primeras Salidas), los productos con fecha de vencimiento más próxima quedan relegados al fondo de los estantes, generando mermas financieras directas al tener que descartar mercancía caducada.</w:t>
      </w:r>
    </w:p>
    <w:p>
      <w:pPr>
        <w:spacing w:before="0" w:after="120" w:line="300" w:lineRule="auto"/>
        <w:jc w:val="both"/>
      </w:pPr>
      <w:r>
        <w:rPr>
          <w:rFonts w:ascii="Arial" w:hAnsi="Arial"/>
          <w:b w:val="0"/>
          <w:i w:val="0"/>
          <w:color w:val="1E293B"/>
          <w:sz w:val="22"/>
        </w:rPr>
        <w:t>Adicionalmente, el proceso de cobro y atención al cliente en el punto de venta se ejecuta de forma manual, ocasionando demoras durante las horas de mayor afluencia, errores humanos en el cálculo del vuelto o montos finales, y la imposibilidad de ofrecer un comprobante digital o físico claro. Finalmente, la falta de roles definidos y autenticación segura dentro del control operativo genera incertidumbre sobre la responsabilidad de los movimientos de inventario y los cierres de caja.</w:t>
      </w:r>
    </w:p>
    <w:p>
      <w:pPr>
        <w:keepNext/>
        <w:spacing w:before="320" w:after="160"/>
      </w:pPr>
      <w:r>
        <w:rPr>
          <w:rFonts w:ascii="Arial" w:hAnsi="Arial"/>
          <w:b/>
          <w:i w:val="0"/>
          <w:color w:val="B8934E"/>
          <w:sz w:val="26"/>
        </w:rPr>
        <w:t>1.2 Plantear el Problema</w:t>
      </w:r>
    </w:p>
    <w:p>
      <w:pPr>
        <w:spacing w:before="0" w:after="120" w:line="300" w:lineRule="auto"/>
        <w:jc w:val="both"/>
      </w:pPr>
      <w:r>
        <w:rPr>
          <w:rFonts w:ascii="Arial" w:hAnsi="Arial"/>
          <w:b w:val="0"/>
          <w:i w:val="0"/>
          <w:color w:val="1E293B"/>
          <w:sz w:val="22"/>
        </w:rPr>
        <w:t>El planteamiento del problema en el comercio de abarrotes se sistematiza en cuatro dimensiones fundamentales que afectan su sostenibilidad operativa:</w:t>
      </w:r>
    </w:p>
    <w:p>
      <w:pPr>
        <w:pStyle w:val="ListBullet"/>
        <w:spacing w:before="0" w:after="80" w:line="288" w:lineRule="auto"/>
        <w:jc w:val="both"/>
      </w:pPr>
      <w:r>
        <w:rPr>
          <w:rFonts w:ascii="Arial" w:hAnsi="Arial"/>
          <w:b/>
          <w:i w:val="0"/>
          <w:color w:val="102542"/>
          <w:sz w:val="22"/>
        </w:rPr>
        <w:t xml:space="preserve">A. Deficiencia en el Control de Trazabilidad e Inventario: </w:t>
      </w:r>
      <w:r>
        <w:rPr>
          <w:rFonts w:ascii="Arial" w:hAnsi="Arial"/>
          <w:b w:val="0"/>
          <w:i w:val="0"/>
          <w:color w:val="1E293B"/>
          <w:sz w:val="22"/>
        </w:rPr>
        <w:t>Inexistencia de un kárdex automatizado que registre la fecha de ingreso, lote y fecha de caducidad de cada producto, impidiendo aplicar de forma rigurosa el principio de rotación FIFO.</w:t>
      </w:r>
    </w:p>
    <w:p>
      <w:pPr>
        <w:pStyle w:val="ListBullet"/>
        <w:spacing w:before="0" w:after="80" w:line="288" w:lineRule="auto"/>
        <w:jc w:val="both"/>
      </w:pPr>
      <w:r>
        <w:rPr>
          <w:rFonts w:ascii="Arial" w:hAnsi="Arial"/>
          <w:b/>
          <w:i w:val="0"/>
          <w:color w:val="102542"/>
          <w:sz w:val="22"/>
        </w:rPr>
        <w:t xml:space="preserve">B. Mermas Financieras por Desperdicio de Mercancía: </w:t>
      </w:r>
      <w:r>
        <w:rPr>
          <w:rFonts w:ascii="Arial" w:hAnsi="Arial"/>
          <w:b w:val="0"/>
          <w:i w:val="0"/>
          <w:color w:val="1E293B"/>
          <w:sz w:val="22"/>
        </w:rPr>
        <w:t>Acumulación de pérdidas económicas derivadas de productos vencidos o deteriorados en bodega debido a la falta de alertas tempranas de caducidad.</w:t>
      </w:r>
    </w:p>
    <w:p>
      <w:pPr>
        <w:pStyle w:val="ListBullet"/>
        <w:spacing w:before="0" w:after="80" w:line="288" w:lineRule="auto"/>
        <w:jc w:val="both"/>
      </w:pPr>
      <w:r>
        <w:rPr>
          <w:rFonts w:ascii="Arial" w:hAnsi="Arial"/>
          <w:b/>
          <w:i w:val="0"/>
          <w:color w:val="102542"/>
          <w:sz w:val="22"/>
        </w:rPr>
        <w:t xml:space="preserve">C. Ineficiencia Transaccional en el Punto de Venta (POS): </w:t>
      </w:r>
      <w:r>
        <w:rPr>
          <w:rFonts w:ascii="Arial" w:hAnsi="Arial"/>
          <w:b w:val="0"/>
          <w:i w:val="0"/>
          <w:color w:val="1E293B"/>
          <w:sz w:val="22"/>
        </w:rPr>
        <w:t>Tiempos prolongados de atención por transacción, cálculo manual de precios y ausencia de consolidación automática con el stock de existencias.</w:t>
      </w:r>
    </w:p>
    <w:p>
      <w:pPr>
        <w:pStyle w:val="ListBullet"/>
        <w:spacing w:before="0" w:after="80" w:line="288" w:lineRule="auto"/>
        <w:jc w:val="both"/>
      </w:pPr>
      <w:r>
        <w:rPr>
          <w:rFonts w:ascii="Arial" w:hAnsi="Arial"/>
          <w:b/>
          <w:i w:val="0"/>
          <w:color w:val="102542"/>
          <w:sz w:val="22"/>
        </w:rPr>
        <w:t xml:space="preserve">D. Vulnerabilidad en la Seguridad y Gobernanza de Datos: </w:t>
      </w:r>
      <w:r>
        <w:rPr>
          <w:rFonts w:ascii="Arial" w:hAnsi="Arial"/>
          <w:b w:val="0"/>
          <w:i w:val="0"/>
          <w:color w:val="1E293B"/>
          <w:sz w:val="22"/>
        </w:rPr>
        <w:t>Control inadecuado sobre los permisos de acceso al sistema, donde cualquier colaborador puede alterar registros sin trazabilidad ni registros de auditoría por usuario.</w:t>
      </w:r>
    </w:p>
    <w:p>
      <w:pPr>
        <w:keepNext/>
        <w:spacing w:before="320" w:after="160"/>
      </w:pPr>
      <w:r>
        <w:rPr>
          <w:rFonts w:ascii="Arial" w:hAnsi="Arial"/>
          <w:b/>
          <w:i w:val="0"/>
          <w:color w:val="B8934E"/>
          <w:sz w:val="26"/>
        </w:rPr>
        <w:t>1.3 Formular el Problema</w:t>
      </w:r>
    </w:p>
    <w:p>
      <w:pPr>
        <w:spacing w:before="0" w:after="120" w:line="300" w:lineRule="auto"/>
        <w:jc w:val="both"/>
      </w:pPr>
      <w:r>
        <w:rPr>
          <w:rFonts w:ascii="Arial" w:hAnsi="Arial"/>
          <w:b w:val="0"/>
          <w:i w:val="0"/>
          <w:color w:val="1E293B"/>
          <w:sz w:val="22"/>
        </w:rPr>
        <w:t>Con el propósito de delimitar formalmente el alcance de la solución propuesta, se formula la pregunta principal de la presente investigación:</w:t>
      </w:r>
    </w:p>
    <w:p>
      <w:pPr>
        <w:spacing w:before="200" w:after="240"/>
        <w:jc w:val="center"/>
      </w:pPr>
      <w:r>
        <w:rPr>
          <w:rFonts w:ascii="Arial" w:hAnsi="Arial"/>
          <w:b/>
          <w:i/>
          <w:color w:val="102542"/>
          <w:sz w:val="23"/>
        </w:rPr>
        <w:t>«¿De qué manera el diseño e implementación de un sistema web de gestión comercial e inventarios basado en la metodología PEPS/FIFO (NohemySys) optimiza el control de existencias, reduce la merma por caducidad de productos y mejora la eficiencia operativa en el comercio de abarrotes?»</w:t>
      </w:r>
    </w:p>
    <w:p>
      <w:pPr>
        <w:keepNext/>
        <w:spacing w:before="320" w:after="160"/>
      </w:pPr>
      <w:r>
        <w:rPr>
          <w:rFonts w:ascii="Arial" w:hAnsi="Arial"/>
          <w:b/>
          <w:i w:val="0"/>
          <w:color w:val="B8934E"/>
          <w:sz w:val="26"/>
        </w:rPr>
        <w:t>1.4 Interrogantes de la Investigación</w:t>
      </w:r>
    </w:p>
    <w:p>
      <w:pPr>
        <w:spacing w:before="0" w:after="120" w:line="300" w:lineRule="auto"/>
        <w:jc w:val="both"/>
      </w:pPr>
      <w:r>
        <w:rPr>
          <w:rFonts w:ascii="Arial" w:hAnsi="Arial"/>
          <w:b w:val="0"/>
          <w:i w:val="0"/>
          <w:color w:val="1E293B"/>
          <w:sz w:val="22"/>
        </w:rPr>
        <w:t>Para dar respuesta de manera sistemática a la problemática planteada, se establecen las siguientes interrogantes secundarias de investigación:</w:t>
      </w:r>
    </w:p>
    <w:p>
      <w:pPr>
        <w:pStyle w:val="ListBullet"/>
        <w:spacing w:before="0" w:after="80" w:line="288" w:lineRule="auto"/>
        <w:jc w:val="both"/>
      </w:pPr>
      <w:r>
        <w:rPr>
          <w:rFonts w:ascii="Arial" w:hAnsi="Arial"/>
          <w:b/>
          <w:i w:val="0"/>
          <w:color w:val="102542"/>
          <w:sz w:val="22"/>
        </w:rPr>
        <w:t xml:space="preserve">1. </w:t>
      </w:r>
      <w:r>
        <w:rPr>
          <w:rFonts w:ascii="Arial" w:hAnsi="Arial"/>
          <w:b w:val="0"/>
          <w:i w:val="0"/>
          <w:color w:val="1E293B"/>
          <w:sz w:val="22"/>
        </w:rPr>
        <w:t>¿Cuáles son los factores operativos que provocan la merma por vencimiento de productos en el modelo de gestión actual del comercio de abarrotes?</w:t>
      </w:r>
    </w:p>
    <w:p>
      <w:pPr>
        <w:pStyle w:val="ListBullet"/>
        <w:spacing w:before="0" w:after="80" w:line="288" w:lineRule="auto"/>
        <w:jc w:val="both"/>
      </w:pPr>
      <w:r>
        <w:rPr>
          <w:rFonts w:ascii="Arial" w:hAnsi="Arial"/>
          <w:b/>
          <w:i w:val="0"/>
          <w:color w:val="102542"/>
          <w:sz w:val="22"/>
        </w:rPr>
        <w:t xml:space="preserve">2. </w:t>
      </w:r>
      <w:r>
        <w:rPr>
          <w:rFonts w:ascii="Arial" w:hAnsi="Arial"/>
          <w:b w:val="0"/>
          <w:i w:val="0"/>
          <w:color w:val="1E293B"/>
          <w:sz w:val="22"/>
        </w:rPr>
        <w:t>¿Cómo debe estructurarse el algoritmo informático de asignación de inventario para garantizar que los lotes con vencimiento más próximo sean despachados prioritariamente bajo el enfoque PEPS/FIFO?</w:t>
      </w:r>
    </w:p>
    <w:p>
      <w:pPr>
        <w:pStyle w:val="ListBullet"/>
        <w:spacing w:before="0" w:after="80" w:line="288" w:lineRule="auto"/>
        <w:jc w:val="both"/>
      </w:pPr>
      <w:r>
        <w:rPr>
          <w:rFonts w:ascii="Arial" w:hAnsi="Arial"/>
          <w:b/>
          <w:i w:val="0"/>
          <w:color w:val="102542"/>
          <w:sz w:val="22"/>
        </w:rPr>
        <w:t xml:space="preserve">3. </w:t>
      </w:r>
      <w:r>
        <w:rPr>
          <w:rFonts w:ascii="Arial" w:hAnsi="Arial"/>
          <w:b w:val="0"/>
          <w:i w:val="0"/>
          <w:color w:val="1E293B"/>
          <w:sz w:val="22"/>
        </w:rPr>
        <w:t>¿De qué forma influye la integración de un módulo de Punto de Venta (POS) en tiempo real en la disminución del tiempo de espera de los clientes y la precisión de la caja?</w:t>
      </w:r>
    </w:p>
    <w:p>
      <w:pPr>
        <w:pStyle w:val="ListBullet"/>
        <w:spacing w:before="0" w:after="80" w:line="288" w:lineRule="auto"/>
        <w:jc w:val="both"/>
      </w:pPr>
      <w:r>
        <w:rPr>
          <w:rFonts w:ascii="Arial" w:hAnsi="Arial"/>
          <w:b/>
          <w:i w:val="0"/>
          <w:color w:val="102542"/>
          <w:sz w:val="22"/>
        </w:rPr>
        <w:t xml:space="preserve">4. </w:t>
      </w:r>
      <w:r>
        <w:rPr>
          <w:rFonts w:ascii="Arial" w:hAnsi="Arial"/>
          <w:b w:val="0"/>
          <w:i w:val="0"/>
          <w:color w:val="1E293B"/>
          <w:sz w:val="22"/>
        </w:rPr>
        <w:t>¿Qué mecanismos de autenticación y control de acceso por roles (RBAC) con tokens JWT garantizan la integridad y no repudio de las operaciones realizadas por los empleados?</w:t>
      </w:r>
    </w:p>
    <w:p>
      <w:pPr>
        <w:pStyle w:val="ListBullet"/>
        <w:spacing w:before="0" w:after="80" w:line="288" w:lineRule="auto"/>
        <w:jc w:val="both"/>
      </w:pPr>
      <w:r>
        <w:rPr>
          <w:rFonts w:ascii="Arial" w:hAnsi="Arial"/>
          <w:b/>
          <w:i w:val="0"/>
          <w:color w:val="102542"/>
          <w:sz w:val="22"/>
        </w:rPr>
        <w:t xml:space="preserve">5. </w:t>
      </w:r>
      <w:r>
        <w:rPr>
          <w:rFonts w:ascii="Arial" w:hAnsi="Arial"/>
          <w:b w:val="0"/>
          <w:i w:val="0"/>
          <w:color w:val="1E293B"/>
          <w:sz w:val="22"/>
        </w:rPr>
        <w:t>¿Cuál es el impacto financiero computable tras la automatización de los procesos comerciales en comparación con la gestión empírica previa?</w:t>
      </w:r>
    </w:p>
    <w:p>
      <w:pPr>
        <w:keepNext/>
        <w:spacing w:before="320" w:after="160"/>
      </w:pPr>
      <w:r>
        <w:rPr>
          <w:rFonts w:ascii="Arial" w:hAnsi="Arial"/>
          <w:b/>
          <w:i w:val="0"/>
          <w:color w:val="B8934E"/>
          <w:sz w:val="26"/>
        </w:rPr>
        <w:t>1.5 Objetivos</w:t>
      </w:r>
    </w:p>
    <w:p>
      <w:pPr>
        <w:keepNext/>
        <w:spacing w:before="320" w:after="160"/>
      </w:pPr>
      <w:r>
        <w:rPr>
          <w:rFonts w:ascii="Arial" w:hAnsi="Arial"/>
          <w:b/>
          <w:i w:val="0"/>
          <w:color w:val="102542"/>
          <w:sz w:val="23"/>
        </w:rPr>
        <w:t>1.5.1 De la Investigación</w:t>
      </w:r>
    </w:p>
    <w:p>
      <w:pPr>
        <w:spacing w:before="0" w:after="120" w:line="300" w:lineRule="auto"/>
        <w:jc w:val="both"/>
      </w:pPr>
      <w:r>
        <w:rPr>
          <w:rFonts w:ascii="Arial" w:hAnsi="Arial"/>
          <w:b w:val="0"/>
          <w:i w:val="0"/>
          <w:color w:val="1E293B"/>
          <w:sz w:val="22"/>
        </w:rPr>
        <w:t>Evaluar científicamente la efectividad técnica y económica de la automatización de procesos comerciales mediante una arquitectura web distribuida, analizando la reducción porcentual de mermas por caducidad y el incremento en la velocidad transaccional en comercios de abarrotes minoristas.</w:t>
      </w:r>
    </w:p>
    <w:p>
      <w:pPr>
        <w:keepNext/>
        <w:spacing w:before="320" w:after="160"/>
      </w:pPr>
      <w:r>
        <w:rPr>
          <w:rFonts w:ascii="Arial" w:hAnsi="Arial"/>
          <w:b/>
          <w:i w:val="0"/>
          <w:color w:val="102542"/>
          <w:sz w:val="23"/>
        </w:rPr>
        <w:t>1.5.2 Objetivos Generales</w:t>
      </w:r>
    </w:p>
    <w:p>
      <w:pPr>
        <w:spacing w:before="0" w:after="120" w:line="300" w:lineRule="auto"/>
        <w:jc w:val="both"/>
      </w:pPr>
      <w:r>
        <w:rPr>
          <w:rFonts w:ascii="Arial" w:hAnsi="Arial"/>
          <w:b w:val="0"/>
          <w:i w:val="0"/>
          <w:color w:val="1E293B"/>
          <w:sz w:val="22"/>
        </w:rPr>
        <w:t>Desarrollar e implementar la plataforma web «NohemySys» para la gestión integral del comercio de abarrotes, incorporando control automatizado de inventarios mediante metodología PEPS/FIFO, punto de venta transaccional y administración centralizada de personal con niveles de acceso diferidos.</w:t>
      </w:r>
    </w:p>
    <w:p>
      <w:pPr>
        <w:keepNext/>
        <w:spacing w:before="320" w:after="160"/>
      </w:pPr>
      <w:r>
        <w:rPr>
          <w:rFonts w:ascii="Arial" w:hAnsi="Arial"/>
          <w:b/>
          <w:i w:val="0"/>
          <w:color w:val="102542"/>
          <w:sz w:val="23"/>
        </w:rPr>
        <w:t>1.5.3 Objetivos Específicos</w:t>
      </w:r>
    </w:p>
    <w:p>
      <w:pPr>
        <w:pStyle w:val="ListBullet"/>
        <w:spacing w:before="0" w:after="80" w:line="288" w:lineRule="auto"/>
        <w:jc w:val="both"/>
      </w:pPr>
      <w:r>
        <w:rPr>
          <w:rFonts w:ascii="Arial" w:hAnsi="Arial"/>
          <w:b/>
          <w:i w:val="0"/>
          <w:color w:val="102542"/>
          <w:sz w:val="22"/>
        </w:rPr>
        <w:t xml:space="preserve">1. </w:t>
      </w:r>
      <w:r>
        <w:rPr>
          <w:rFonts w:ascii="Arial" w:hAnsi="Arial"/>
          <w:b w:val="0"/>
          <w:i w:val="0"/>
          <w:color w:val="1E293B"/>
          <w:sz w:val="22"/>
        </w:rPr>
        <w:t>Implementar el módulo de control de inventarios basado en el algoritmo PEPS/FIFO, permitiendo el registro de lotes, fechas de vencimiento y alertas automatizadas de rotación prioritaria.</w:t>
      </w:r>
    </w:p>
    <w:p>
      <w:pPr>
        <w:pStyle w:val="ListBullet"/>
        <w:spacing w:before="0" w:after="80" w:line="288" w:lineRule="auto"/>
        <w:jc w:val="both"/>
      </w:pPr>
      <w:r>
        <w:rPr>
          <w:rFonts w:ascii="Arial" w:hAnsi="Arial"/>
          <w:b/>
          <w:i w:val="0"/>
          <w:color w:val="102542"/>
          <w:sz w:val="22"/>
        </w:rPr>
        <w:t xml:space="preserve">2. </w:t>
      </w:r>
      <w:r>
        <w:rPr>
          <w:rFonts w:ascii="Arial" w:hAnsi="Arial"/>
          <w:b w:val="0"/>
          <w:i w:val="0"/>
          <w:color w:val="1E293B"/>
          <w:sz w:val="22"/>
        </w:rPr>
        <w:t>Diseñar un módulo de Punto de Venta (POS) dinámico en React 18 que permita realizar cobros ágiles, actualización instantánea de existencias y emisión de comprobantes de compra.</w:t>
      </w:r>
    </w:p>
    <w:p>
      <w:pPr>
        <w:pStyle w:val="ListBullet"/>
        <w:spacing w:before="0" w:after="80" w:line="288" w:lineRule="auto"/>
        <w:jc w:val="both"/>
      </w:pPr>
      <w:r>
        <w:rPr>
          <w:rFonts w:ascii="Arial" w:hAnsi="Arial"/>
          <w:b/>
          <w:i w:val="0"/>
          <w:color w:val="102542"/>
          <w:sz w:val="22"/>
        </w:rPr>
        <w:t xml:space="preserve">3. </w:t>
      </w:r>
      <w:r>
        <w:rPr>
          <w:rFonts w:ascii="Arial" w:hAnsi="Arial"/>
          <w:b w:val="0"/>
          <w:i w:val="0"/>
          <w:color w:val="1E293B"/>
          <w:sz w:val="22"/>
        </w:rPr>
        <w:t>Desarrollar la arquitectura de seguridad basada en autenticación JWT en Django REST Framework, estableciendo roles diferenciados (Administrador, Vendedor, Almacenero) y políticas de contraseñas obligatorias.</w:t>
      </w:r>
    </w:p>
    <w:p>
      <w:pPr>
        <w:pStyle w:val="ListBullet"/>
        <w:spacing w:before="0" w:after="80" w:line="288" w:lineRule="auto"/>
        <w:jc w:val="both"/>
      </w:pPr>
      <w:r>
        <w:rPr>
          <w:rFonts w:ascii="Arial" w:hAnsi="Arial"/>
          <w:b/>
          <w:i w:val="0"/>
          <w:color w:val="102542"/>
          <w:sz w:val="22"/>
        </w:rPr>
        <w:t xml:space="preserve">4. </w:t>
      </w:r>
      <w:r>
        <w:rPr>
          <w:rFonts w:ascii="Arial" w:hAnsi="Arial"/>
          <w:b w:val="0"/>
          <w:i w:val="0"/>
          <w:color w:val="1E293B"/>
          <w:sz w:val="22"/>
        </w:rPr>
        <w:t>Construir un módulo de gestión de personal con reglas de borrado lógico (soft delete), permitiendo mantener el historial transaccional e inhabilitar usuarios sin pérdida de datos históricos.</w:t>
      </w:r>
    </w:p>
    <w:p>
      <w:pPr>
        <w:pStyle w:val="ListBullet"/>
        <w:spacing w:before="0" w:after="80" w:line="288" w:lineRule="auto"/>
        <w:jc w:val="both"/>
      </w:pPr>
      <w:r>
        <w:rPr>
          <w:rFonts w:ascii="Arial" w:hAnsi="Arial"/>
          <w:b/>
          <w:i w:val="0"/>
          <w:color w:val="102542"/>
          <w:sz w:val="22"/>
        </w:rPr>
        <w:t xml:space="preserve">5. </w:t>
      </w:r>
      <w:r>
        <w:rPr>
          <w:rFonts w:ascii="Arial" w:hAnsi="Arial"/>
          <w:b w:val="0"/>
          <w:i w:val="0"/>
          <w:color w:val="1E293B"/>
          <w:sz w:val="22"/>
        </w:rPr>
        <w:t>Validar el desempeño de la base de datos relacional PostgreSQL 18 mediante la ejecución de pruebas de estrés transaccional y consultas de reportes consolidados.</w:t>
      </w:r>
    </w:p>
    <w:p>
      <w:pPr>
        <w:keepNext/>
        <w:spacing w:before="320" w:after="160"/>
      </w:pPr>
      <w:r>
        <w:rPr>
          <w:rFonts w:ascii="Arial" w:hAnsi="Arial"/>
          <w:b/>
          <w:i w:val="0"/>
          <w:color w:val="B8934E"/>
          <w:sz w:val="26"/>
        </w:rPr>
        <w:t>1.6 Hipótesis</w:t>
      </w:r>
    </w:p>
    <w:p>
      <w:pPr>
        <w:spacing w:before="0" w:after="120" w:line="300" w:lineRule="auto"/>
        <w:jc w:val="both"/>
      </w:pPr>
      <w:r>
        <w:rPr>
          <w:rFonts w:ascii="Arial" w:hAnsi="Arial"/>
          <w:b w:val="0"/>
          <w:i w:val="0"/>
          <w:color w:val="1E293B"/>
          <w:sz w:val="22"/>
        </w:rPr>
        <w:t>Para la comprobación empírica y técnica de la investigación, se formulan las siguientes hipótesis de trabajo:</w:t>
      </w:r>
    </w:p>
    <w:p>
      <w:pPr>
        <w:spacing w:before="0" w:after="40" w:line="300" w:lineRule="auto"/>
        <w:jc w:val="both"/>
      </w:pPr>
      <w:r>
        <w:rPr>
          <w:rFonts w:ascii="Arial" w:hAnsi="Arial"/>
          <w:b/>
          <w:i w:val="0"/>
          <w:color w:val="1E293B"/>
          <w:sz w:val="22"/>
        </w:rPr>
        <w:t>Hipótesis General (H1):</w:t>
      </w:r>
    </w:p>
    <w:p>
      <w:pPr>
        <w:spacing w:before="0" w:after="120" w:line="300" w:lineRule="auto"/>
        <w:jc w:val="both"/>
      </w:pPr>
      <w:r>
        <w:rPr>
          <w:rFonts w:ascii="Arial" w:hAnsi="Arial"/>
          <w:b w:val="0"/>
          <w:i/>
          <w:color w:val="1E293B"/>
          <w:sz w:val="22"/>
        </w:rPr>
        <w:t>«La implementación del sistema web NohemySys con algoritmo de rotación PEPS/FIFO reduce significativamente en más del 80% las mermas económicas por vencimiento de productos y disminuye en más del 50% el tiempo promedio de atención en el punto de venta del comercio de abarrotes.»</w:t>
      </w:r>
    </w:p>
    <w:p>
      <w:pPr>
        <w:spacing w:before="0" w:after="40" w:line="300" w:lineRule="auto"/>
        <w:jc w:val="both"/>
      </w:pPr>
      <w:r>
        <w:rPr>
          <w:rFonts w:ascii="Arial" w:hAnsi="Arial"/>
          <w:b/>
          <w:i w:val="0"/>
          <w:color w:val="1E293B"/>
          <w:sz w:val="22"/>
        </w:rPr>
        <w:t>Hipótesis Nula (H0):</w:t>
      </w:r>
    </w:p>
    <w:p>
      <w:pPr>
        <w:spacing w:before="0" w:after="120" w:line="300" w:lineRule="auto"/>
        <w:jc w:val="both"/>
      </w:pPr>
      <w:r>
        <w:rPr>
          <w:rFonts w:ascii="Arial" w:hAnsi="Arial"/>
          <w:b w:val="0"/>
          <w:i/>
          <w:color w:val="1E293B"/>
          <w:sz w:val="22"/>
        </w:rPr>
        <w:t>«La implementación del sistema web NohemySys no produce variaciones estadísticamente significativas en la reducción de mermas por vencimiento de productos ni en el tiempo promedio de atención en el punto de venta en comparación con el método tradicional empírico.»</w:t>
      </w:r>
    </w:p>
    <w:p>
      <w:pPr>
        <w:keepNext/>
        <w:spacing w:before="320" w:after="160"/>
      </w:pPr>
      <w:r>
        <w:rPr>
          <w:rFonts w:ascii="Arial" w:hAnsi="Arial"/>
          <w:b/>
          <w:i w:val="0"/>
          <w:color w:val="102542"/>
          <w:sz w:val="23"/>
        </w:rPr>
        <w:t>Identificación y Operacionalización de Variables:</w:t>
      </w:r>
    </w:p>
    <w:p>
      <w:pPr>
        <w:pStyle w:val="ListBullet"/>
        <w:spacing w:before="0" w:after="80" w:line="288" w:lineRule="auto"/>
        <w:jc w:val="both"/>
      </w:pPr>
      <w:r>
        <w:rPr>
          <w:rFonts w:ascii="Arial" w:hAnsi="Arial"/>
          <w:b/>
          <w:i w:val="0"/>
          <w:color w:val="102542"/>
          <w:sz w:val="22"/>
        </w:rPr>
        <w:t xml:space="preserve">Variable Independiente (X): </w:t>
      </w:r>
      <w:r>
        <w:rPr>
          <w:rFonts w:ascii="Arial" w:hAnsi="Arial"/>
          <w:b w:val="0"/>
          <w:i w:val="0"/>
          <w:color w:val="1E293B"/>
          <w:sz w:val="22"/>
        </w:rPr>
        <w:t>Plataforma web NohemySys con algoritmo automatizado de inventarios PEPS/FIFO y módulo de Punto de Venta (POS).</w:t>
      </w:r>
    </w:p>
    <w:p>
      <w:pPr>
        <w:pStyle w:val="ListBullet"/>
        <w:spacing w:before="0" w:after="80" w:line="288" w:lineRule="auto"/>
        <w:jc w:val="both"/>
      </w:pPr>
      <w:r>
        <w:rPr>
          <w:rFonts w:ascii="Arial" w:hAnsi="Arial"/>
          <w:b/>
          <w:i w:val="0"/>
          <w:color w:val="102542"/>
          <w:sz w:val="22"/>
        </w:rPr>
        <w:t xml:space="preserve">Variable Dependiente (Y1): </w:t>
      </w:r>
      <w:r>
        <w:rPr>
          <w:rFonts w:ascii="Arial" w:hAnsi="Arial"/>
          <w:b w:val="0"/>
          <w:i w:val="0"/>
          <w:color w:val="1E293B"/>
          <w:sz w:val="22"/>
        </w:rPr>
        <w:t>Mapeo y porcentaje de reducción de mermas financieras por caducidad de productos perecederos (medido en Quetzales GTQ).</w:t>
      </w:r>
    </w:p>
    <w:p>
      <w:pPr>
        <w:pStyle w:val="ListBullet"/>
        <w:spacing w:before="0" w:after="80" w:line="288" w:lineRule="auto"/>
        <w:jc w:val="both"/>
      </w:pPr>
      <w:r>
        <w:rPr>
          <w:rFonts w:ascii="Arial" w:hAnsi="Arial"/>
          <w:b/>
          <w:i w:val="0"/>
          <w:color w:val="102542"/>
          <w:sz w:val="22"/>
        </w:rPr>
        <w:t xml:space="preserve">Variable Dependiente (Y2): </w:t>
      </w:r>
      <w:r>
        <w:rPr>
          <w:rFonts w:ascii="Arial" w:hAnsi="Arial"/>
          <w:b w:val="0"/>
          <w:i w:val="0"/>
          <w:color w:val="1E293B"/>
          <w:sz w:val="22"/>
        </w:rPr>
        <w:t>Tiempo promedio de procesamiento transaccional por cliente en el punto de venta (medido en segundos).</w:t>
      </w:r>
    </w:p>
    <w:p>
      <w:pPr>
        <w:pStyle w:val="ListBullet"/>
        <w:spacing w:before="0" w:after="80" w:line="288" w:lineRule="auto"/>
        <w:jc w:val="both"/>
      </w:pPr>
      <w:r>
        <w:rPr>
          <w:rFonts w:ascii="Arial" w:hAnsi="Arial"/>
          <w:b/>
          <w:i w:val="0"/>
          <w:color w:val="102542"/>
          <w:sz w:val="22"/>
        </w:rPr>
        <w:t xml:space="preserve">Variables Intervinientes: </w:t>
      </w:r>
      <w:r>
        <w:rPr>
          <w:rFonts w:ascii="Arial" w:hAnsi="Arial"/>
          <w:b w:val="0"/>
          <w:i w:val="0"/>
          <w:color w:val="1E293B"/>
          <w:sz w:val="22"/>
        </w:rPr>
        <w:t>Nivel de capacitación digital del personal del comercio, estabilidad de la conexión de red local y volumen diario de transacciones comerciales.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