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02542"/>
          <w:sz w:val="26"/>
        </w:rPr>
        <w:t>UNIVERSIDAD MARIANO GÁLVEZ DE GUATEMALA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B8860B"/>
          <w:sz w:val="21"/>
        </w:rPr>
        <w:t>FACULTAD DE INGENIERÍA EN SISTEMAS DE INFORMACIÓN Y CIENCIAS DE LA COMPUTACIÓN</w:t>
        <w:br/>
        <w:t>PROYECTO DE GRADUACIÓN</w:t>
      </w:r>
    </w:p>
    <w:p>
      <w:pPr>
        <w:spacing w:after="400"/>
        <w:jc w:val="center"/>
      </w:pPr>
      <w:r>
        <w:rPr>
          <w:rFonts w:ascii="Arial" w:hAnsi="Arial"/>
          <w:b/>
          <w:i w:val="0"/>
          <w:color w:val="102542"/>
          <w:sz w:val="30"/>
        </w:rPr>
        <w:t>MATRIZ FORMAL DE REQUISITOS FUNCIONALES Y NO FUNCIONALES PRIORIZADOS</w:t>
        <w:br/>
        <w:t>«SISTEMA WEB NOHEMYSYS»</w:t>
      </w:r>
    </w:p>
    <w:p>
      <w:pPr>
        <w:spacing w:after="280" w:line="300" w:lineRule="auto"/>
        <w:jc w:val="both"/>
      </w:pPr>
      <w:r>
        <w:rPr>
          <w:rFonts w:ascii="Arial" w:hAnsi="Arial"/>
          <w:b w:val="0"/>
          <w:i w:val="0"/>
          <w:color w:val="1E293B"/>
          <w:sz w:val="21"/>
        </w:rPr>
        <w:t>El presente documento formaliza la especificación técnica de requisitos del sistema web NohemySys. La estructura se divide en dos matrices analíticas: los Requisitos Funcionales (RF), agrupados por módulos operativos y roles de acceso; y los Requisitos No Funcionales (RNF), estrictamente jerarquizados en cuatro niveles de prioridad técnica de acuerdo con los estándares de la norma IEEE 830.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02542"/>
          <w:sz w:val="26"/>
        </w:rPr>
        <w:t>1. Matriz de Requisitos Funcionales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 DEL REQUISITO FUNCIONAL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 AUTORIZADO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RF-01.1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Autenticación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Permitir inicio de sesión autenticado mediante Username o Email.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Todos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RF-01.2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Autenticación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Generación de tokens JWT (Access Token y Refresh Token).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Todos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RF-01.3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Autenticación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Refresco automático de tokens en segundo plano sin cerrar sesión.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Todos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Media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RF-02.1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Seguridad Claves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Detección automática de primer inicio de sesión con clave temporal.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Todos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RF-02.2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Seguridad Claves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Bloqueo operativo y despliegue obligatorio de modal de cambio de clave.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Todos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RF-02.3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Seguridad Claves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Validación estricta de 6 reglas de seguridad en la nueva contraseña.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Todos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RF-03.1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Gestión Usuarios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Registro de empleados con Nombre, Apellido, DPI (13 dig.), NIT, Teléfono.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Administrador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RF-03.2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Gestión Usuarios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Autogeneración de Username único derivado de inicial + apellidos.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Sistema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RF-03.3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Gestión Usuarios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Autogeneración de contraseña aleatoria de 12 car. y copiar al portapapeles.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Administrador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RF-03.4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Gestión Usuarios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Asignación de Roles diferenciados: ADMINISTRADOR, VENDEDOR, ALMACENERO.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Administrador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RF-03.5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Gestión Usuarios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Borrado lógico (soft delete) cambiando `is_active` sin eliminar datos.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Administrador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RF-03.6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Gestión Usuarios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Filtro de estado de usuarios: Todos, Solo Activos, Solo Dados de Baja.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Administrador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Media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RF-04.1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Inventario FIFO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Clasificación de productos por categoría y proveedor principal.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Almacenero/Admin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RF-04.2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Inventario FIFO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Control de lotes con fecha de ingreso, vencimiento y costo unitario.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Almacenero/Admin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RF-04.3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Inventario FIFO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Algoritmo PEPS/FIFO: Descuento automático del lote más próximo a vencer.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Sistema/POS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RF-04.4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Inventario FIFO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Alertas preventivas de caducidad de lotes y stock mínimo alcanzado.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Almacenero/Admin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Media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RF-05.1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Punto Venta POS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Búsqueda y selección ágil de productos mediante lector o código.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Vendedor/Admin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RF-05.2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Punto Venta POS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Cálculo automático en tiempo real de subtotales, descuentos y total.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Sistema/POS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RF-05.3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Punto Venta POS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Cálculo de cambio a entregar según el pago recibido y forma de cobro.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Sistema/POS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RF-05.4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Punto Venta POS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Registro transaccional de la venta vinculado al vendedor emitiendo factura.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Vendedor/Admin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RF-06.1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Compras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Registro de órdenes de ingreso de mercadería asociadas a proveedores.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Almacenero/Admin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RF-06.2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Compras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Creación de nuevos lotes FIFO e incremento automático del stock general.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Sistema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RF-07.1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Auditoría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Registro inmutable en bitácora de usuario, fecha/hora, acción e IP.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Sistema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Alta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RF-07.2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Reportes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Consolidación de informes financieros de ventas y mermas evitadas.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Administrador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9F8F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Media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02542"/>
          <w:sz w:val="26"/>
        </w:rPr>
        <w:t>2. Matriz de Requisitos No Funcionales (RNF) Priorizados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ESPECIFICACIÓN TÉCNICA DEL REQUISITO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CRITERIO DE ACEPTACIÓN / MÉTRICO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  <w:shd w:fill="10254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 TÉCNICA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Seguridad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Encriptación de contraseñas con PBKDF2/Argon2 y autenticación obligatoria mediante Tokens JWT Bearer.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0 claves en texto plano; Token JWT en cada petición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91C1C"/>
                <w:sz w:val="17"/>
              </w:rPr>
              <w:t>Nivel 1 (Crítica)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Integridad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Ejecución de operaciones financieras e inventario mediante transacciones atómicas (@transaction.atomic).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Rollback automático ante fallas sin corrupción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91C1C"/>
                <w:sz w:val="17"/>
              </w:rPr>
              <w:t>Nivel 1 (Crítica)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Auditoría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Protección de datos mediante borrado lógico (soft delete: is_active=False) sin eliminación física.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100% de registros históricos inmutables en PostgreSQL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91C1C"/>
                <w:sz w:val="17"/>
              </w:rPr>
              <w:t>Nivel 1 (Crítica)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Disponibilidad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Garantía de uptime y operación continua del backend y base de datos durante horario comercial.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Disponibilidad garantizada del 99.5% mínimo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E2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91C1C"/>
                <w:sz w:val="17"/>
              </w:rPr>
              <w:t>Nivel 1 (Crítica)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Rendimiento API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Procesamiento y respuesta rápida de los endpoints REST en el servidor backend Django.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Tiempo de respuesta API &lt; 500 ms por petición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45309"/>
                <w:sz w:val="17"/>
              </w:rPr>
              <w:t>Nivel 2 (Alta)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Velocidad POS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Actualización e interacción dinámica e instantánea en el cliente Single Page Application (React 18).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Renderizado de componentes &lt; 100 ms sin recargar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EF3C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45309"/>
                <w:sz w:val="17"/>
              </w:rPr>
              <w:t>Nivel 2 (Alta)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Usabilidad UI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Tabla de datos limpia ajustada a 5 columnas esenciales sin desplazamiento horizontal.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overflow-x: hidden; 0 scrollbar horizontal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369A1"/>
                <w:sz w:val="17"/>
              </w:rPr>
              <w:t>Nivel 3 (Media)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Ergonomía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Barra lateral de navegación contraíble a 72px para maximizar pantalla en monitores de caja.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Conmutación suave de 250px a 72px con ícono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369A1"/>
                <w:sz w:val="17"/>
              </w:rPr>
              <w:t>Nivel 3 (Media)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RNF-09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Diseño UX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Sistema de diseño corporativo claro/dorado (Light Gold Theme) con alto contraste tipográfico.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Cumplimiento del manual de estilo Light Gold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E0F2F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369A1"/>
                <w:sz w:val="17"/>
              </w:rPr>
              <w:t>Nivel 3 (Media)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Arquitectura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Separación estricta entre la capa de presentación (React SPA) y lógica de negocio (Django REST).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Arquitectura totalmente desacoplada vía API REST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B5563"/>
                <w:sz w:val="17"/>
              </w:rPr>
              <w:t>Nivel 4 (Baja)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02542"/>
                <w:sz w:val="17"/>
              </w:rPr>
              <w:t>RNF-11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Modelo Datos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Estructura relacional de la base de datos PostgreSQL estructurada en Tercera Forma Normal.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Modelo 3NF sin redundancias de atributos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3F4F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B5563"/>
                <w:sz w:val="17"/>
              </w:rPr>
              <w:t>Nivel 4 (Baja)</w:t>
            </w:r>
          </w:p>
        </w:tc>
      </w:tr>
    </w:tbl>
    <w:p>
      <w:pPr>
        <w:spacing w:before="400"/>
      </w:pPr>
      <w:r>
        <w:rPr>
          <w:rFonts w:ascii="Arial" w:hAnsi="Arial"/>
          <w:b w:val="0"/>
          <w:i/>
          <w:color w:val="64748B"/>
          <w:sz w:val="18"/>
        </w:rPr>
        <w:t>Nota: La presente matriz de requisitos ha sido validada para su cumplimiento en la entrega documental y de software del sistema NohemySys.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