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36"/>
        </w:rPr>
        <w:t>E05 Adaptive Policy Monitoring Snapshot</w:t>
      </w:r>
    </w:p>
    <w:p>
      <w:r>
        <w:rPr>
          <w:b/>
        </w:rPr>
        <w:t xml:space="preserve">Version: </w:t>
      </w:r>
      <w:r>
        <w:t xml:space="preserve">v0.2.56  </w:t>
      </w:r>
      <w:r>
        <w:rPr>
          <w:b/>
        </w:rPr>
        <w:t xml:space="preserve">Date: </w:t>
      </w:r>
      <w:r>
        <w:t xml:space="preserve">2026-07-10  </w:t>
      </w:r>
      <w:r>
        <w:rPr>
          <w:b/>
        </w:rPr>
        <w:t xml:space="preserve">Status: </w:t>
      </w:r>
      <w:r>
        <w:t>验证应用</w:t>
      </w:r>
    </w:p>
    <w:p>
      <w:pPr>
        <w:pStyle w:val="Heading1"/>
      </w:pPr>
      <w:r>
        <w:t>Background</w:t>
      </w:r>
    </w:p>
    <w:p>
      <w:r>
        <w:t>Adaptive Template policy has deep-resolving and shallow-resolving live evidence, plus a closed policy-default reliability slice. This monitoring snapshot turns those artifacts into a small repeatable drift and override visibility check.</w:t>
      </w:r>
    </w:p>
    <w:p>
      <w:pPr>
        <w:pStyle w:val="Heading1"/>
      </w:pPr>
      <w:r>
        <w:t>Monitoring Design</w:t>
      </w:r>
    </w:p>
    <w:p>
      <w:pPr>
        <w:pStyle w:val="ListBullet"/>
        <w:spacing w:after="120"/>
      </w:pPr>
      <w:r>
        <w:t>Inputs are existing raw E05 evidence files; no paid model calls are made.</w:t>
      </w:r>
    </w:p>
    <w:p>
      <w:pPr>
        <w:pStyle w:val="ListBullet"/>
        <w:spacing w:after="120"/>
      </w:pPr>
      <w:r>
        <w:t>The snapshot records family, mode, build status, effective depth, policy source, benchmark pass, timeout signal, and override visibility.</w:t>
      </w:r>
    </w:p>
    <w:p>
      <w:pPr>
        <w:pStyle w:val="ListBullet"/>
        <w:spacing w:after="120"/>
      </w:pPr>
      <w:r>
        <w:t>Alerts are generated only for concrete evidence issues: timeout-like failures, non-published default path, benchmark failure, missing override metadata, or missing expected coverage.</w:t>
      </w:r>
    </w:p>
    <w:p>
      <w:pPr>
        <w:pStyle w:val="Heading1"/>
      </w:pPr>
      <w:r>
        <w:t>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Family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</w:t>
            </w:r>
          </w:p>
        </w:tc>
        <w:tc>
          <w:tcPr>
            <w:tcW w:type="dxa" w:w="1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Build</w:t>
            </w:r>
          </w:p>
        </w:tc>
        <w:tc>
          <w:tcPr>
            <w:tcW w:type="dxa" w:w="1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Effective</w:t>
            </w:r>
          </w:p>
        </w:tc>
        <w:tc>
          <w:tcPr>
            <w:tcW w:type="dxa" w:w="1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1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Benchmark</w:t>
            </w:r>
          </w:p>
        </w:tc>
        <w:tc>
          <w:tcPr>
            <w:tcW w:type="dxa" w:w="12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Timeout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data_analyzer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adaptive_explicit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published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deep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explicit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1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False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code_review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adaptive_explicit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published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shallow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explicit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1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False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data_analyzer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policy_default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published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deep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policy_default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1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False</w:t>
            </w:r>
          </w:p>
        </w:tc>
      </w:tr>
    </w:tbl>
    <w:p>
      <w:pPr>
        <w:pStyle w:val="Heading1"/>
      </w:pPr>
      <w:r>
        <w:t>Conclusion</w:t>
      </w:r>
    </w:p>
    <w:p>
      <w:r>
        <w:t>Current monitored evidence has no critical adaptive/default-path alert; fixed-depth overrides remain visible and should stay as rollback controls.</w:t>
      </w:r>
    </w:p>
    <w:p>
      <w:pPr>
        <w:pStyle w:val="ListBullet"/>
        <w:spacing w:after="120"/>
      </w:pPr>
      <w:r>
        <w:t>Critical alerts: 0.</w:t>
      </w:r>
    </w:p>
    <w:p>
      <w:pPr>
        <w:pStyle w:val="ListBullet"/>
        <w:spacing w:after="120"/>
      </w:pPr>
      <w:r>
        <w:t>Override options visible: True.</w:t>
      </w:r>
    </w:p>
    <w:p>
      <w:pPr>
        <w:pStyle w:val="ListBullet"/>
        <w:spacing w:after="120"/>
      </w:pPr>
      <w:r>
        <w:t>Fixed-depth overrides remain rollback controls and should continue to be tested when Template policy changes.</w:t>
      </w:r>
    </w:p>
    <w:p>
      <w:pPr>
        <w:pStyle w:val="Heading1"/>
      </w:pPr>
      <w:r>
        <w:t>Engineering Application</w:t>
      </w:r>
    </w:p>
    <w:p>
      <w:pPr>
        <w:pStyle w:val="ListBullet"/>
        <w:spacing w:after="120"/>
      </w:pPr>
      <w:r>
        <w:t>应用标记：验证应用。This snapshot validates the current adaptive/default policy posture and creates a repeatable monitoring primitive.</w:t>
      </w:r>
    </w:p>
    <w:p>
      <w:pPr>
        <w:pStyle w:val="ListBullet"/>
        <w:spacing w:after="120"/>
      </w:pPr>
      <w:r>
        <w:t>Evidence: docs/experiment-status/evidence/monitor_v0.2.56_e05_adaptive_policy_2026_07_10.json and docs/experiment-status/evidence/monitor_v0.2.56_e05_adaptive_policy_2026_07_10_summary.md.</w:t>
      </w:r>
    </w:p>
    <w:p>
      <w:pPr>
        <w:pStyle w:val="ListBullet"/>
        <w:spacing w:after="120"/>
      </w:pPr>
      <w:r>
        <w:t>Code anchors: scripts/e05_adaptive_monitoring_snapshot.py and tests/test_e05_adaptive_monitoring_snapshot.py.</w:t>
      </w:r>
    </w:p>
    <w:p>
      <w:pPr>
        <w:pStyle w:val="Heading1"/>
      </w:pPr>
      <w:r>
        <w:t>Remaining Constraints</w:t>
      </w:r>
    </w:p>
    <w:p>
      <w:pPr>
        <w:pStyle w:val="ListBullet"/>
        <w:spacing w:after="120"/>
      </w:pPr>
      <w:r>
        <w:t>This is a snapshot over existing evidence, not continuous production telemetry.</w:t>
      </w:r>
    </w:p>
    <w:p>
      <w:pPr>
        <w:pStyle w:val="ListBullet"/>
        <w:spacing w:after="120"/>
      </w:pPr>
      <w:r>
        <w:t>Future monitoring can add Studio/API surfaces and scheduled drift checks.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