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Calibri"/>
          <w:b/>
          <w:color w:val="0B2545"/>
          <w:sz w:val="40"/>
        </w:rPr>
        <w:t>E01 复杂 BlockFlow A/B 实验报告</w:t>
      </w:r>
    </w:p>
    <w:p>
      <w:pPr>
        <w:spacing w:after="200"/>
      </w:pPr>
      <w:r>
        <w:t>实验完成时间：2026-07-09 19:56 JST｜案例：complex_research_brief｜阶段：v0.2.33</w:t>
      </w:r>
    </w:p>
    <w:p>
      <w:r>
        <w:rPr>
          <w:b/>
        </w:rPr>
        <w:t>结论：</w:t>
      </w:r>
      <w:r>
        <w:t>在复杂多模块 BlockFlow 上，plan-first required 组明显更能形成完整可审计结构，但仍未通过 Builder 自身 mandatory tests；node-by-node disabled 组更快更省，但结构不完整且 benchmark 失败。因此 E01 原始问题仍未关闭。</w:t>
      </w:r>
    </w:p>
    <w:p>
      <w:pPr>
        <w:pStyle w:val="Heading1"/>
      </w:pPr>
      <w:r>
        <w:t>背景</w:t>
      </w:r>
    </w:p>
    <w:p>
      <w:r>
        <w:t>v0.2.32 已完成简单摘要 smoke A/B：两组均可 ready，且 node-by-node 更快。该结果不能外推到复杂 BlockFlow。本实验使用复杂研究简报案例，验证 plan-first 是否在复杂多模块搭建中带来结构质量收益。</w:t>
      </w:r>
    </w:p>
    <w:p>
      <w:pPr>
        <w:pStyle w:val="Heading1"/>
      </w:pPr>
      <w:r>
        <w:t>实验设计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700"/>
            <w:vAlign w:val="center"/>
          </w:tcPr>
          <w:p>
            <w:r>
              <w:t>实验对象</w:t>
            </w:r>
          </w:p>
        </w:tc>
        <w:tc>
          <w:tcPr>
            <w:tcW w:type="dxa" w:w="6660"/>
            <w:vAlign w:val="center"/>
          </w:tcPr>
          <w:p>
            <w:r>
              <w:t>Builder Team 创建 complex_research_brief BlockFlow。</w:t>
            </w:r>
          </w:p>
        </w:tc>
      </w:tr>
      <w:tr>
        <w:tc>
          <w:tcPr>
            <w:tcW w:type="dxa" w:w="2700"/>
            <w:vAlign w:val="center"/>
          </w:tcPr>
          <w:p>
            <w:r>
              <w:t>对照组</w:t>
            </w:r>
          </w:p>
        </w:tc>
        <w:tc>
          <w:tcPr>
            <w:tcW w:type="dxa" w:w="6660"/>
            <w:vAlign w:val="center"/>
          </w:tcPr>
          <w:p>
            <w:r>
              <w:t>planning_mode=required 与 planning_mode=disabled。</w:t>
            </w:r>
          </w:p>
        </w:tc>
      </w:tr>
      <w:tr>
        <w:tc>
          <w:tcPr>
            <w:tcW w:type="dxa" w:w="2700"/>
            <w:vAlign w:val="center"/>
          </w:tcPr>
          <w:p>
            <w:r>
              <w:t>预算边界</w:t>
            </w:r>
          </w:p>
        </w:tc>
        <w:tc>
          <w:tcPr>
            <w:tcW w:type="dxa" w:w="6660"/>
            <w:vAlign w:val="center"/>
          </w:tcPr>
          <w:p>
            <w:r>
              <w:t>每组 max_turns=36，timeout=1200s，使用配置的 DeepSeek 付费模型链路。</w:t>
            </w:r>
          </w:p>
        </w:tc>
      </w:tr>
      <w:tr>
        <w:tc>
          <w:tcPr>
            <w:tcW w:type="dxa" w:w="2700"/>
            <w:vAlign w:val="center"/>
          </w:tcPr>
          <w:p>
            <w:r>
              <w:t>结构要求</w:t>
            </w:r>
          </w:p>
        </w:tc>
        <w:tc>
          <w:tcPr>
            <w:tcW w:type="dxa" w:w="6660"/>
            <w:vAlign w:val="center"/>
          </w:tcPr>
          <w:p>
            <w:r>
              <w:t>start、parameter_extractor、question_classifier、context_assembler、model_turn/llm、template_transform、event_recorder、end。</w:t>
            </w:r>
          </w:p>
        </w:tc>
      </w:tr>
      <w:tr>
        <w:tc>
          <w:tcPr>
            <w:tcW w:type="dxa" w:w="2700"/>
            <w:vAlign w:val="center"/>
          </w:tcPr>
          <w:p>
            <w:r>
              <w:t>判定方式</w:t>
            </w:r>
          </w:p>
        </w:tc>
        <w:tc>
          <w:tcPr>
            <w:tcW w:type="dxa" w:w="6660"/>
            <w:vAlign w:val="center"/>
          </w:tcPr>
          <w:p>
            <w:r>
              <w:t>同时看 Builder build status、mandatory tests、benchmark score/pass_rate、缺失节点、模型/工具调用成本。</w:t>
            </w:r>
          </w:p>
        </w:tc>
      </w:tr>
    </w:tbl>
    <w:p>
      <w:pPr>
        <w:pStyle w:val="Heading1"/>
      </w:pPr>
      <w:r>
        <w:t>结果结论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00"/>
        <w:gridCol w:w="1050"/>
        <w:gridCol w:w="700"/>
        <w:gridCol w:w="700"/>
        <w:gridCol w:w="700"/>
        <w:gridCol w:w="650"/>
        <w:gridCol w:w="650"/>
        <w:gridCol w:w="2500"/>
        <w:gridCol w:w="1510"/>
      </w:tblGrid>
      <w:tr>
        <w:tc>
          <w:tcPr>
            <w:tcW w:type="dxa" w:w="900"/>
            <w:vAlign w:val="center"/>
            <w:shd w:fill="E8EEF5"/>
          </w:tcPr>
          <w:p>
            <w:r>
              <w:rPr>
                <w:b/>
              </w:rPr>
              <w:t>组别</w:t>
            </w:r>
          </w:p>
        </w:tc>
        <w:tc>
          <w:tcPr>
            <w:tcW w:type="dxa" w:w="1050"/>
            <w:vAlign w:val="center"/>
            <w:shd w:fill="E8EEF5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700"/>
            <w:vAlign w:val="center"/>
            <w:shd w:fill="E8EEF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700"/>
            <w:vAlign w:val="center"/>
            <w:shd w:fill="E8EEF5"/>
          </w:tcPr>
          <w:p>
            <w:r>
              <w:rPr>
                <w:b/>
              </w:rPr>
              <w:t>通过率</w:t>
            </w:r>
          </w:p>
        </w:tc>
        <w:tc>
          <w:tcPr>
            <w:tcW w:type="dxa" w:w="700"/>
            <w:vAlign w:val="center"/>
            <w:shd w:fill="E8EEF5"/>
          </w:tcPr>
          <w:p>
            <w:r>
              <w:rPr>
                <w:b/>
              </w:rPr>
              <w:t>秒</w:t>
            </w:r>
          </w:p>
        </w:tc>
        <w:tc>
          <w:tcPr>
            <w:tcW w:type="dxa" w:w="650"/>
            <w:vAlign w:val="center"/>
            <w:shd w:fill="E8EEF5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650"/>
            <w:vAlign w:val="center"/>
            <w:shd w:fill="E8EEF5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节点类型</w:t>
            </w:r>
          </w:p>
        </w:tc>
        <w:tc>
          <w:tcPr>
            <w:tcW w:type="dxa" w:w="1510"/>
            <w:vAlign w:val="center"/>
            <w:shd w:fill="E8EEF5"/>
          </w:tcPr>
          <w:p>
            <w:r>
              <w:rPr>
                <w:b/>
              </w:rPr>
              <w:t>缺失项</w:t>
            </w:r>
          </w:p>
        </w:tc>
      </w:tr>
      <w:tr>
        <w:tc>
          <w:tcPr>
            <w:tcW w:type="dxa" w:w="900"/>
            <w:vAlign w:val="center"/>
          </w:tcPr>
          <w:p>
            <w:r>
              <w:t>required</w:t>
            </w:r>
          </w:p>
        </w:tc>
        <w:tc>
          <w:tcPr>
            <w:tcW w:type="dxa" w:w="1050"/>
            <w:vAlign w:val="center"/>
          </w:tcPr>
          <w:p>
            <w:r>
              <w:t>needs_attention</w:t>
            </w:r>
          </w:p>
        </w:tc>
        <w:tc>
          <w:tcPr>
            <w:tcW w:type="dxa" w:w="700"/>
            <w:vAlign w:val="center"/>
          </w:tcPr>
          <w:p>
            <w:r>
              <w:t>0.85</w:t>
            </w:r>
          </w:p>
        </w:tc>
        <w:tc>
          <w:tcPr>
            <w:tcW w:type="dxa" w:w="700"/>
            <w:vAlign w:val="center"/>
          </w:tcPr>
          <w:p>
            <w:r>
              <w:t>1.0</w:t>
            </w:r>
          </w:p>
        </w:tc>
        <w:tc>
          <w:tcPr>
            <w:tcW w:type="dxa" w:w="700"/>
            <w:vAlign w:val="center"/>
          </w:tcPr>
          <w:p>
            <w:r>
              <w:t>756.9</w:t>
            </w:r>
          </w:p>
        </w:tc>
        <w:tc>
          <w:tcPr>
            <w:tcW w:type="dxa" w:w="650"/>
            <w:vAlign w:val="center"/>
          </w:tcPr>
          <w:p>
            <w:r>
              <w:t>41</w:t>
            </w:r>
          </w:p>
        </w:tc>
        <w:tc>
          <w:tcPr>
            <w:tcW w:type="dxa" w:w="650"/>
            <w:vAlign w:val="center"/>
          </w:tcPr>
          <w:p>
            <w:r>
              <w:t>98</w:t>
            </w:r>
          </w:p>
        </w:tc>
        <w:tc>
          <w:tcPr>
            <w:tcW w:type="dxa" w:w="2500"/>
            <w:vAlign w:val="center"/>
          </w:tcPr>
          <w:p>
            <w:r>
              <w:t>context_assembler, end, event_recorder, llm, parameter_extractor, question_classifier, start, template_transform, variable_aggregator</w:t>
            </w:r>
          </w:p>
        </w:tc>
        <w:tc>
          <w:tcPr>
            <w:tcW w:type="dxa" w:w="1510"/>
            <w:vAlign w:val="center"/>
          </w:tcPr>
          <w:p>
            <w:r>
              <w:t>node_types: []; tool_nodes: []; harness_nodes: []</w:t>
            </w:r>
          </w:p>
        </w:tc>
      </w:tr>
      <w:tr>
        <w:tc>
          <w:tcPr>
            <w:tcW w:type="dxa" w:w="900"/>
            <w:vAlign w:val="center"/>
          </w:tcPr>
          <w:p>
            <w:r>
              <w:t>disabled</w:t>
            </w:r>
          </w:p>
        </w:tc>
        <w:tc>
          <w:tcPr>
            <w:tcW w:type="dxa" w:w="1050"/>
            <w:vAlign w:val="center"/>
          </w:tcPr>
          <w:p>
            <w:r>
              <w:t>needs_attention</w:t>
            </w:r>
          </w:p>
        </w:tc>
        <w:tc>
          <w:tcPr>
            <w:tcW w:type="dxa" w:w="700"/>
            <w:vAlign w:val="center"/>
          </w:tcPr>
          <w:p>
            <w:r>
              <w:t>0.475</w:t>
            </w:r>
          </w:p>
        </w:tc>
        <w:tc>
          <w:tcPr>
            <w:tcW w:type="dxa" w:w="700"/>
            <w:vAlign w:val="center"/>
          </w:tcPr>
          <w:p>
            <w:r>
              <w:t>0.0</w:t>
            </w:r>
          </w:p>
        </w:tc>
        <w:tc>
          <w:tcPr>
            <w:tcW w:type="dxa" w:w="700"/>
            <w:vAlign w:val="center"/>
          </w:tcPr>
          <w:p>
            <w:r>
              <w:t>120.5</w:t>
            </w:r>
          </w:p>
        </w:tc>
        <w:tc>
          <w:tcPr>
            <w:tcW w:type="dxa" w:w="650"/>
            <w:vAlign w:val="center"/>
          </w:tcPr>
          <w:p>
            <w:r>
              <w:t>15</w:t>
            </w:r>
          </w:p>
        </w:tc>
        <w:tc>
          <w:tcPr>
            <w:tcW w:type="dxa" w:w="650"/>
            <w:vAlign w:val="center"/>
          </w:tcPr>
          <w:p>
            <w:r>
              <w:t>52</w:t>
            </w:r>
          </w:p>
        </w:tc>
        <w:tc>
          <w:tcPr>
            <w:tcW w:type="dxa" w:w="2500"/>
            <w:vAlign w:val="center"/>
          </w:tcPr>
          <w:p>
            <w:r>
              <w:t>llm, parameter_extractor, question_classifier, start, variable_aggregator</w:t>
            </w:r>
          </w:p>
        </w:tc>
        <w:tc>
          <w:tcPr>
            <w:tcW w:type="dxa" w:w="1510"/>
            <w:vAlign w:val="center"/>
          </w:tcPr>
          <w:p>
            <w:r>
              <w:t>node_types: ['context_assembler', 'end', 'event_recorder', 'template_transform']; tool_nodes: []; harness_nodes: ['event_recorder']</w:t>
            </w:r>
          </w:p>
        </w:tc>
      </w:tr>
    </w:tbl>
    <w:p>
      <w:r>
        <w:t>required 组搭出了 9 个节点、8 条边和 3 个测试，benchmark score=0.85、pass_rate=1.0，节点和 harness 覆盖均通过；但 Build 仍为 needs_attention，原因是 mandatory tests 未通过。</w:t>
      </w:r>
    </w:p>
    <w:p>
      <w:r>
        <w:t>disabled 组停在 5 个节点、0 条边、0 个测试，缺少 context_assembler、template_transform、event_recorder、end，benchmark score=0.475、pass_rate=0.0，并出现 draft_add_node 工具输入 JSON 解析错误。</w:t>
      </w:r>
    </w:p>
    <w:p>
      <w:r>
        <w:t>阶段结论：复杂任务上 plan-first 对结构完整性有明显正向信号，但还没有达到发布级可靠性。不能把 E01 关闭，也不能把 planning_mode=required 直接产品化为默认策略。</w:t>
      </w:r>
    </w:p>
    <w:p>
      <w:pPr>
        <w:pStyle w:val="Heading1"/>
      </w:pPr>
      <w:r>
        <w:t>图片或截图</w:t>
      </w:r>
    </w:p>
    <w:p>
      <w:r>
        <w:t>本实验没有额外截图或图像。原始证据为两组 paid/live JSON、summary JSON 和 Platform Harness usage/task 记录。</w:t>
      </w:r>
    </w:p>
    <w:p>
      <w:pPr>
        <w:pStyle w:val="Heading1"/>
      </w:pPr>
      <w:r>
        <w:t>证据链</w:t>
      </w:r>
    </w:p>
    <w:p>
      <w:pPr/>
      <w:r>
        <w:t>docs/experiment-status/evidence/experiment_v0.2.33_e01_complex_required_2026_07_09.json</w:t>
      </w:r>
    </w:p>
    <w:p>
      <w:pPr/>
      <w:r>
        <w:t>docs/experiment-status/evidence/experiment_v0.2.33_e01_complex_disabled_2026_07_09.json</w:t>
      </w:r>
    </w:p>
    <w:p>
      <w:pPr/>
      <w:r>
        <w:t>docs/experiment-status/evidence/experiment_v0.2.33_e01_complex_ab_summary_2026_07_09.json</w:t>
      </w:r>
    </w:p>
    <w:p>
      <w:pPr/>
      <w:r>
        <w:t>scripts/live_builder_benchmark_suite.py</w:t>
      </w:r>
    </w:p>
    <w:p>
      <w:pPr/>
      <w:r>
        <w:t>tests/test_workflow.py::test_live_builder_benchmark_case_registry_supports_complex_case</w:t>
      </w:r>
    </w:p>
    <w:p>
      <w:pPr>
        <w:pStyle w:val="Heading1"/>
      </w:pPr>
      <w:r>
        <w:t>工程应用状态</w:t>
      </w:r>
    </w:p>
    <w:p>
      <w:r>
        <w:t>本实验结果尚未用于工程能力改进，标记为“未应用 / 原始 E01 未关闭”。v0.2.33 的脚本 case registry 是实验执行基础设施改进，不是根据本实验结论改动 Builder 能力。下一步应调查 required 组结构完整但 mandatory tests 未通过的具体原因。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