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0B2545"/>
          <w:sz w:val="40"/>
        </w:rPr>
        <w:t>E01 Required-mode Repair Budget Rerun 实验报告</w:t>
      </w:r>
    </w:p>
    <w:p>
      <w:r>
        <w:t>实验完成时间：2026-07-09 19:10 JST｜阶段：v0.2.34｜案例：complex_research_brief</w:t>
      </w:r>
    </w:p>
    <w:p>
      <w:r>
        <w:rPr>
          <w:b/>
        </w:rPr>
        <w:t>结论：</w:t>
      </w:r>
      <w:r>
        <w:t>扩大 repair budget 后 retry 达到 ready，说明 v0.2.33 的 readiness failure 与修复预算过窄有关；但 retry 仍缺少 context_assembler，benchmark 未通过，E01 仍未关闭。</w:t>
      </w:r>
    </w:p>
    <w:p>
      <w:pPr>
        <w:pStyle w:val="Heading1"/>
      </w:pPr>
      <w:r>
        <w:t>背景</w:t>
      </w:r>
    </w:p>
    <w:p>
      <w:r>
        <w:t>v0.2.33 的 required 组结构覆盖通过，但 build 停在 needs_attention。事件证据显示 mandatory tests 失败后触发 repair cycle 边界。本实验验证把 max_repair_cycles 从隐藏硬编码 1 提升到显式 3 是否能改善 readiness。</w:t>
      </w:r>
    </w:p>
    <w:p>
      <w:pPr>
        <w:pStyle w:val="Heading1"/>
      </w:pPr>
      <w:r>
        <w:t>实验设计</w:t>
      </w:r>
    </w:p>
    <w:p>
      <w:r>
        <w:t>保持 complex_research_brief、planning_mode=required 和付费模型链路不变；新增并记录 LIVE_BUILDER_BENCHMARK_MAX_REPAIR_CYCLES。首次 v0.2.34 run 遇到 DeepSeek network error，不作为质量证据；随后用同配置 retry。</w:t>
      </w:r>
    </w:p>
    <w:p>
      <w:pPr>
        <w:pStyle w:val="Heading1"/>
      </w:pPr>
      <w:r>
        <w:t>结果结论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20"/>
        <w:gridCol w:w="980"/>
        <w:gridCol w:w="720"/>
        <w:gridCol w:w="680"/>
        <w:gridCol w:w="2280"/>
        <w:gridCol w:w="1240"/>
        <w:gridCol w:w="1180"/>
        <w:gridCol w:w="1360"/>
      </w:tblGrid>
      <w:tr>
        <w:tc>
          <w:tcPr>
            <w:tcW w:type="dxa" w:w="920"/>
            <w:vAlign w:val="center"/>
            <w:shd w:fill="E8EEF5"/>
          </w:tcPr>
          <w:p>
            <w:r>
              <w:rPr>
                <w:b/>
              </w:rPr>
              <w:t>运行</w:t>
            </w:r>
          </w:p>
        </w:tc>
        <w:tc>
          <w:tcPr>
            <w:tcW w:type="dxa" w:w="980"/>
            <w:vAlign w:val="center"/>
            <w:shd w:fill="E8EEF5"/>
          </w:tcPr>
          <w:p>
            <w:r>
              <w:rPr>
                <w:b/>
              </w:rPr>
              <w:t>Build</w:t>
            </w:r>
          </w:p>
        </w:tc>
        <w:tc>
          <w:tcPr>
            <w:tcW w:type="dxa" w:w="720"/>
            <w:vAlign w:val="center"/>
            <w:shd w:fill="E8EEF5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680"/>
            <w:vAlign w:val="center"/>
            <w:shd w:fill="E8EEF5"/>
          </w:tcPr>
          <w:p>
            <w:r>
              <w:rPr>
                <w:b/>
              </w:rPr>
              <w:t>Pass</w:t>
            </w:r>
          </w:p>
        </w:tc>
        <w:tc>
          <w:tcPr>
            <w:tcW w:type="dxa" w:w="2280"/>
            <w:vAlign w:val="center"/>
            <w:shd w:fill="E8EEF5"/>
          </w:tcPr>
          <w:p>
            <w:r>
              <w:rPr>
                <w:b/>
              </w:rPr>
              <w:t>缺失</w:t>
            </w:r>
          </w:p>
        </w:tc>
        <w:tc>
          <w:tcPr>
            <w:tcW w:type="dxa" w:w="1240"/>
            <w:vAlign w:val="center"/>
            <w:shd w:fill="E8EEF5"/>
          </w:tcPr>
          <w:p>
            <w:r>
              <w:rPr>
                <w:b/>
              </w:rPr>
              <w:t>节点/边/测试</w:t>
            </w:r>
          </w:p>
        </w:tc>
        <w:tc>
          <w:tcPr>
            <w:tcW w:type="dxa" w:w="1180"/>
            <w:vAlign w:val="center"/>
            <w:shd w:fill="E8EEF5"/>
          </w:tcPr>
          <w:p>
            <w:r>
              <w:rPr>
                <w:b/>
              </w:rPr>
              <w:t>模型/工具</w:t>
            </w:r>
          </w:p>
        </w:tc>
        <w:tc>
          <w:tcPr>
            <w:tcW w:type="dxa" w:w="1360"/>
            <w:vAlign w:val="center"/>
            <w:shd w:fill="E8EEF5"/>
          </w:tcPr>
          <w:p>
            <w:r>
              <w:rPr>
                <w:b/>
              </w:rPr>
              <w:t>预算</w:t>
            </w:r>
          </w:p>
        </w:tc>
      </w:tr>
      <w:tr>
        <w:tc>
          <w:tcPr>
            <w:tcW w:type="dxa" w:w="920"/>
            <w:vAlign w:val="center"/>
          </w:tcPr>
          <w:p>
            <w:r>
              <w:t>v0.2.33_required</w:t>
            </w:r>
          </w:p>
        </w:tc>
        <w:tc>
          <w:tcPr>
            <w:tcW w:type="dxa" w:w="980"/>
            <w:vAlign w:val="center"/>
          </w:tcPr>
          <w:p>
            <w:r>
              <w:t>needs_attention</w:t>
            </w:r>
          </w:p>
        </w:tc>
        <w:tc>
          <w:tcPr>
            <w:tcW w:type="dxa" w:w="720"/>
            <w:vAlign w:val="center"/>
          </w:tcPr>
          <w:p>
            <w:r>
              <w:t>0.85</w:t>
            </w:r>
          </w:p>
        </w:tc>
        <w:tc>
          <w:tcPr>
            <w:tcW w:type="dxa" w:w="680"/>
            <w:vAlign w:val="center"/>
          </w:tcPr>
          <w:p>
            <w:r>
              <w:t>1.0</w:t>
            </w:r>
          </w:p>
        </w:tc>
        <w:tc>
          <w:tcPr>
            <w:tcW w:type="dxa" w:w="2280"/>
            <w:vAlign w:val="center"/>
          </w:tcPr>
          <w:p>
            <w:r>
              <w:t>node_types:[]; tool_nodes:[]; harness_nodes:[]</w:t>
            </w:r>
          </w:p>
        </w:tc>
        <w:tc>
          <w:tcPr>
            <w:tcW w:type="dxa" w:w="1240"/>
            <w:vAlign w:val="center"/>
          </w:tcPr>
          <w:p>
            <w:r>
              <w:t>9/8/3</w:t>
            </w:r>
          </w:p>
        </w:tc>
        <w:tc>
          <w:tcPr>
            <w:tcW w:type="dxa" w:w="1180"/>
            <w:vAlign w:val="center"/>
          </w:tcPr>
          <w:p>
            <w:r>
              <w:t>41/98</w:t>
            </w:r>
          </w:p>
        </w:tc>
        <w:tc>
          <w:tcPr>
            <w:tcW w:type="dxa" w:w="1360"/>
            <w:vAlign w:val="center"/>
          </w:tcPr>
          <w:p>
            <w:r>
              <w:t>turns=36; repairs=None</w:t>
            </w:r>
          </w:p>
        </w:tc>
      </w:tr>
      <w:tr>
        <w:tc>
          <w:tcPr>
            <w:tcW w:type="dxa" w:w="920"/>
            <w:vAlign w:val="center"/>
          </w:tcPr>
          <w:p>
            <w:r>
              <w:t>v0.2.34_first</w:t>
            </w:r>
          </w:p>
        </w:tc>
        <w:tc>
          <w:tcPr>
            <w:tcW w:type="dxa" w:w="980"/>
            <w:vAlign w:val="center"/>
          </w:tcPr>
          <w:p>
            <w:r>
              <w:t>needs_attention</w:t>
            </w:r>
          </w:p>
        </w:tc>
        <w:tc>
          <w:tcPr>
            <w:tcW w:type="dxa" w:w="720"/>
            <w:vAlign w:val="center"/>
          </w:tcPr>
          <w:p>
            <w:r>
              <w:t>0.3</w:t>
            </w:r>
          </w:p>
        </w:tc>
        <w:tc>
          <w:tcPr>
            <w:tcW w:type="dxa" w:w="680"/>
            <w:vAlign w:val="center"/>
          </w:tcPr>
          <w:p>
            <w:r>
              <w:t>0.0</w:t>
            </w:r>
          </w:p>
        </w:tc>
        <w:tc>
          <w:tcPr>
            <w:tcW w:type="dxa" w:w="2280"/>
            <w:vAlign w:val="center"/>
          </w:tcPr>
          <w:p>
            <w:r>
              <w:t>node_types:['context_assembler', 'end', 'event_recorder', 'model_turn', 'parameter_extractor', 'question_classifier', 'start', 'template_transform']; tool_nodes:[]; harness_nodes:['event_recorder']</w:t>
            </w:r>
          </w:p>
        </w:tc>
        <w:tc>
          <w:tcPr>
            <w:tcW w:type="dxa" w:w="1240"/>
            <w:vAlign w:val="center"/>
          </w:tcPr>
          <w:p>
            <w:r>
              <w:t>0/0/0</w:t>
            </w:r>
          </w:p>
        </w:tc>
        <w:tc>
          <w:tcPr>
            <w:tcW w:type="dxa" w:w="1180"/>
            <w:vAlign w:val="center"/>
          </w:tcPr>
          <w:p>
            <w:r>
              <w:t>11/39</w:t>
            </w:r>
          </w:p>
        </w:tc>
        <w:tc>
          <w:tcPr>
            <w:tcW w:type="dxa" w:w="1360"/>
            <w:vAlign w:val="center"/>
          </w:tcPr>
          <w:p>
            <w:r>
              <w:t>turns=60; repairs=3</w:t>
            </w:r>
          </w:p>
        </w:tc>
      </w:tr>
      <w:tr>
        <w:tc>
          <w:tcPr>
            <w:tcW w:type="dxa" w:w="920"/>
            <w:vAlign w:val="center"/>
          </w:tcPr>
          <w:p>
            <w:r>
              <w:t>v0.2.34_retry</w:t>
            </w:r>
          </w:p>
        </w:tc>
        <w:tc>
          <w:tcPr>
            <w:tcW w:type="dxa" w:w="980"/>
            <w:vAlign w:val="center"/>
          </w:tcPr>
          <w:p>
            <w:r>
              <w:t>ready</w:t>
            </w:r>
          </w:p>
        </w:tc>
        <w:tc>
          <w:tcPr>
            <w:tcW w:type="dxa" w:w="720"/>
            <w:vAlign w:val="center"/>
          </w:tcPr>
          <w:p>
            <w:r>
              <w:t>0.806</w:t>
            </w:r>
          </w:p>
        </w:tc>
        <w:tc>
          <w:tcPr>
            <w:tcW w:type="dxa" w:w="680"/>
            <w:vAlign w:val="center"/>
          </w:tcPr>
          <w:p>
            <w:r>
              <w:t>0.0</w:t>
            </w:r>
          </w:p>
        </w:tc>
        <w:tc>
          <w:tcPr>
            <w:tcW w:type="dxa" w:w="2280"/>
            <w:vAlign w:val="center"/>
          </w:tcPr>
          <w:p>
            <w:r>
              <w:t>node_types:['context_assembler']; tool_nodes:[]; harness_nodes:[]</w:t>
            </w:r>
          </w:p>
        </w:tc>
        <w:tc>
          <w:tcPr>
            <w:tcW w:type="dxa" w:w="1240"/>
            <w:vAlign w:val="center"/>
          </w:tcPr>
          <w:p>
            <w:r>
              <w:t>8/7/3</w:t>
            </w:r>
          </w:p>
        </w:tc>
        <w:tc>
          <w:tcPr>
            <w:tcW w:type="dxa" w:w="1180"/>
            <w:vAlign w:val="center"/>
          </w:tcPr>
          <w:p>
            <w:r>
              <w:t>34/83</w:t>
            </w:r>
          </w:p>
        </w:tc>
        <w:tc>
          <w:tcPr>
            <w:tcW w:type="dxa" w:w="1360"/>
            <w:vAlign w:val="center"/>
          </w:tcPr>
          <w:p>
            <w:r>
              <w:t>turns=60; repairs=3</w:t>
            </w:r>
          </w:p>
        </w:tc>
      </w:tr>
    </w:tbl>
    <w:p>
      <w:r>
        <w:t>v0.2.34 retry 的 build_status=ready，说明扩大 repair budget 有助于 Builder 通过 mandatory tests。</w:t>
      </w:r>
    </w:p>
    <w:p>
      <w:r>
        <w:t>但 benchmark score=0.806、pass_rate=0.0，缺少 context_assembler，因此不满足复杂可审计架构要求。下一步应解决“ready 与复杂架构覆盖不能同时满足”的问题。</w:t>
      </w:r>
    </w:p>
    <w:p>
      <w:pPr>
        <w:pStyle w:val="Heading1"/>
      </w:pPr>
      <w:r>
        <w:t>图片或截图</w:t>
      </w:r>
    </w:p>
    <w:p>
      <w:r>
        <w:t>本实验没有额外截图或图像。证据来自 paid/live JSON、summary JSON、pytest 和 Platform Harness usage/task 记录。</w:t>
      </w:r>
    </w:p>
    <w:p>
      <w:pPr>
        <w:pStyle w:val="Heading1"/>
      </w:pPr>
      <w:r>
        <w:t>证据链</w:t>
      </w:r>
    </w:p>
    <w:p>
      <w:r>
        <w:t>docs/experiment-status/evidence/experiment_v0.2.34_e01_complex_required_repair_budget_2026_07_09.json</w:t>
      </w:r>
    </w:p>
    <w:p>
      <w:r>
        <w:t>docs/experiment-status/evidence/experiment_v0.2.34_e01_complex_required_repair_budget_retry_2026_07_09.json</w:t>
      </w:r>
    </w:p>
    <w:p>
      <w:r>
        <w:t>docs/experiment-status/evidence/experiment_v0.2.34_e01_required_repair_budget_summary_2026_07_09.json</w:t>
      </w:r>
    </w:p>
    <w:p>
      <w:r>
        <w:t>scripts/live_builder_benchmark_suite.py</w:t>
      </w:r>
    </w:p>
    <w:p>
      <w:r>
        <w:t>tests/test_workflow.py::test_live_builder_benchmark_reads_max_repair_cycles_env</w:t>
      </w:r>
    </w:p>
    <w:p>
      <w:pPr>
        <w:pStyle w:val="Heading1"/>
      </w:pPr>
      <w:r>
        <w:t>工程应用状态</w:t>
      </w:r>
    </w:p>
    <w:p>
      <w:r>
        <w:t>标记为“验证应用”：实验基础设施已记录 max_repair_cycles，并证明 repair budget 会影响 readiness；没有把该结果误写成 Builder 产品能力已修复。E01 仍未关闭。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