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eastAsia="Microsoft YaHei"/>
          <w:b/>
          <w:color w:val="0B2545"/>
          <w:sz w:val="48"/>
        </w:rPr>
        <w:t>Lilies 投资方项目进展与商业价值报告</w:t>
      </w:r>
    </w:p>
    <w:p>
      <w:pPr>
        <w:spacing w:after="280"/>
      </w:pPr>
      <w:r>
        <w:rPr>
          <w:rFonts w:ascii="Calibri" w:hAnsi="Calibri" w:eastAsia="Microsoft YaHei"/>
          <w:color w:val="595959"/>
          <w:sz w:val="26"/>
        </w:rPr>
        <w:t>非技术版 - 基于 v0.2.x 真实开发、实验与产品化证据</w:t>
      </w:r>
    </w:p>
    <w:tbl>
      <w:tblPr>
        <w:tblStyle w:val="TableGrid"/>
        <w:tblW w:type="dxa" w:w="9360"/>
        <w:jc w:val="left"/>
        <w:tblLook w:firstColumn="1" w:firstRow="1" w:lastColumn="0" w:lastRow="0" w:noHBand="0" w:noVBand="1" w:val="04A0"/>
        <w:tblInd w:w="120" w:type="dxa"/>
      </w:tblPr>
      <w:tblGrid>
        <w:gridCol w:w="4680"/>
        <w:gridCol w:w="4680"/>
      </w:tblGrid>
      <w:tr>
        <w:tc>
          <w:tcPr>
            <w:tcW w:type="dxa" w:w="1872"/>
            <w:tcMar>
              <w:top w:w="80" w:type="dxa"/>
              <w:start w:w="120" w:type="dxa"/>
              <w:bottom w:w="80" w:type="dxa"/>
              <w:end w:w="120" w:type="dxa"/>
            </w:tcMar>
            <w:vAlign w:val="center"/>
            <w:shd w:fill="F2F4F7"/>
          </w:tcPr>
          <w:p>
            <w:pPr>
              <w:spacing w:after="0"/>
            </w:pPr>
            <w:r>
              <w:rPr>
                <w:rFonts w:ascii="Calibri" w:hAnsi="Calibri" w:eastAsia="Microsoft YaHei"/>
                <w:b/>
                <w:color w:val="0B2545"/>
              </w:rPr>
              <w:t>报告对象</w:t>
            </w:r>
          </w:p>
        </w:tc>
        <w:tc>
          <w:tcPr>
            <w:tcW w:type="dxa" w:w="7488"/>
            <w:tcMar>
              <w:top w:w="80" w:type="dxa"/>
              <w:start w:w="120" w:type="dxa"/>
              <w:bottom w:w="80" w:type="dxa"/>
              <w:end w:w="120" w:type="dxa"/>
            </w:tcMar>
            <w:vAlign w:val="center"/>
          </w:tcPr>
          <w:p>
            <w:pPr>
              <w:spacing w:after="0"/>
            </w:pPr>
            <w:r>
              <w:rPr>
                <w:rFonts w:ascii="Calibri" w:hAnsi="Calibri" w:eastAsia="Microsoft YaHei"/>
                <w:b w:val="0"/>
              </w:rPr>
              <w:t>非技术投资方、潜在战略伙伴、创业团队决策人</w:t>
            </w:r>
          </w:p>
        </w:tc>
      </w:tr>
      <w:tr>
        <w:tc>
          <w:tcPr>
            <w:tcW w:type="dxa" w:w="1872"/>
            <w:tcMar>
              <w:top w:w="80" w:type="dxa"/>
              <w:start w:w="120" w:type="dxa"/>
              <w:bottom w:w="80" w:type="dxa"/>
              <w:end w:w="120" w:type="dxa"/>
            </w:tcMar>
            <w:vAlign w:val="center"/>
            <w:shd w:fill="F2F4F7"/>
          </w:tcPr>
          <w:p>
            <w:pPr>
              <w:spacing w:after="0"/>
            </w:pPr>
            <w:r>
              <w:rPr>
                <w:rFonts w:ascii="Calibri" w:hAnsi="Calibri" w:eastAsia="Microsoft YaHei"/>
                <w:b/>
                <w:color w:val="0B2545"/>
              </w:rPr>
              <w:t>项目定位</w:t>
            </w:r>
          </w:p>
        </w:tc>
        <w:tc>
          <w:tcPr>
            <w:tcW w:type="dxa" w:w="7488"/>
            <w:tcMar>
              <w:top w:w="80" w:type="dxa"/>
              <w:start w:w="120" w:type="dxa"/>
              <w:bottom w:w="80" w:type="dxa"/>
              <w:end w:w="120" w:type="dxa"/>
            </w:tcMar>
            <w:vAlign w:val="center"/>
          </w:tcPr>
          <w:p>
            <w:pPr>
              <w:spacing w:after="0"/>
            </w:pPr>
            <w:r>
              <w:rPr>
                <w:rFonts w:ascii="Calibri" w:hAnsi="Calibri" w:eastAsia="Microsoft YaHei"/>
                <w:b w:val="0"/>
              </w:rPr>
              <w:t>可验证、可复用、模型无关的智能工作流工程平台</w:t>
            </w:r>
          </w:p>
        </w:tc>
      </w:tr>
      <w:tr>
        <w:tc>
          <w:tcPr>
            <w:tcW w:type="dxa" w:w="1872"/>
            <w:tcMar>
              <w:top w:w="80" w:type="dxa"/>
              <w:start w:w="120" w:type="dxa"/>
              <w:bottom w:w="80" w:type="dxa"/>
              <w:end w:w="120" w:type="dxa"/>
            </w:tcMar>
            <w:vAlign w:val="center"/>
            <w:shd w:fill="F2F4F7"/>
          </w:tcPr>
          <w:p>
            <w:pPr>
              <w:spacing w:after="0"/>
            </w:pPr>
            <w:r>
              <w:rPr>
                <w:rFonts w:ascii="Calibri" w:hAnsi="Calibri" w:eastAsia="Microsoft YaHei"/>
                <w:b/>
                <w:color w:val="0B2545"/>
              </w:rPr>
              <w:t>事实基线</w:t>
            </w:r>
          </w:p>
        </w:tc>
        <w:tc>
          <w:tcPr>
            <w:tcW w:type="dxa" w:w="7488"/>
            <w:tcMar>
              <w:top w:w="80" w:type="dxa"/>
              <w:start w:w="120" w:type="dxa"/>
              <w:bottom w:w="80" w:type="dxa"/>
              <w:end w:w="120" w:type="dxa"/>
            </w:tcMar>
            <w:vAlign w:val="center"/>
          </w:tcPr>
          <w:p>
            <w:pPr>
              <w:spacing w:after="0"/>
            </w:pPr>
            <w:r>
              <w:rPr>
                <w:rFonts w:ascii="Calibri" w:hAnsi="Calibri" w:eastAsia="Microsoft YaHei"/>
                <w:b w:val="0"/>
              </w:rPr>
              <w:t>截至 v0.2.143：E01-E10 有完整 disposition；E05/E07/E08/E10 已产品化；E02 true human panel 仍需外部参与者数据。</w:t>
            </w:r>
          </w:p>
        </w:tc>
      </w:tr>
      <w:tr>
        <w:tc>
          <w:tcPr>
            <w:tcW w:type="dxa" w:w="1872"/>
            <w:tcMar>
              <w:top w:w="80" w:type="dxa"/>
              <w:start w:w="120" w:type="dxa"/>
              <w:bottom w:w="80" w:type="dxa"/>
              <w:end w:w="120" w:type="dxa"/>
            </w:tcMar>
            <w:vAlign w:val="center"/>
            <w:shd w:fill="F2F4F7"/>
          </w:tcPr>
          <w:p>
            <w:pPr>
              <w:spacing w:after="0"/>
            </w:pPr>
            <w:r>
              <w:rPr>
                <w:rFonts w:ascii="Calibri" w:hAnsi="Calibri" w:eastAsia="Microsoft YaHei"/>
                <w:b/>
                <w:color w:val="0B2545"/>
              </w:rPr>
              <w:t>报告性质</w:t>
            </w:r>
          </w:p>
        </w:tc>
        <w:tc>
          <w:tcPr>
            <w:tcW w:type="dxa" w:w="7488"/>
            <w:tcMar>
              <w:top w:w="80" w:type="dxa"/>
              <w:start w:w="120" w:type="dxa"/>
              <w:bottom w:w="80" w:type="dxa"/>
              <w:end w:w="120" w:type="dxa"/>
            </w:tcMar>
            <w:vAlign w:val="center"/>
          </w:tcPr>
          <w:p>
            <w:pPr>
              <w:spacing w:after="0"/>
            </w:pPr>
            <w:r>
              <w:rPr>
                <w:rFonts w:ascii="Calibri" w:hAnsi="Calibri" w:eastAsia="Microsoft YaHei"/>
                <w:b w:val="0"/>
              </w:rPr>
              <w:t>项目进展与商业价值说明；不是融资条款书、估值报告或正式投资建议。</w:t>
            </w:r>
          </w:p>
        </w:tc>
      </w:tr>
    </w:tbl>
    <w:p>
      <w:pPr>
        <w:spacing w:after="40"/>
      </w:pPr>
    </w:p>
    <w:p>
      <w:pPr>
        <w:pStyle w:val="Heading1"/>
      </w:pPr>
      <w:r>
        <w:t>1. 投资人一页结论</w:t>
      </w:r>
    </w:p>
    <w:tbl>
      <w:tblPr>
        <w:tblStyle w:val="TableGrid"/>
        <w:tblW w:type="dxa" w:w="9360"/>
        <w:jc w:val="left"/>
        <w:tblLook w:firstColumn="1" w:firstRow="1" w:lastColumn="0" w:lastRow="0" w:noHBand="0" w:noVBand="1" w:val="04A0"/>
        <w:tblInd w:w="120" w:type="dxa"/>
      </w:tblPr>
      <w:tblGrid>
        <w:gridCol w:w="9360"/>
      </w:tblGrid>
      <w:tr>
        <w:tc>
          <w:tcPr>
            <w:tcW w:type="dxa" w:w="9360"/>
            <w:shd w:fill="FFF2CC"/>
            <w:tcMar>
              <w:top w:w="130" w:type="dxa"/>
              <w:start w:w="180" w:type="dxa"/>
              <w:bottom w:w="130" w:type="dxa"/>
              <w:end w:w="180" w:type="dxa"/>
            </w:tcMar>
          </w:tcPr>
          <w:p>
            <w:pPr>
              <w:spacing w:after="60"/>
            </w:pPr>
            <w:r>
              <w:rPr>
                <w:rFonts w:ascii="Calibri" w:hAnsi="Calibri" w:eastAsia="Microsoft YaHei"/>
                <w:b/>
                <w:color w:val="7A5A00"/>
              </w:rPr>
              <w:t>一句话判断</w:t>
            </w:r>
          </w:p>
          <w:p>
            <w:pPr>
              <w:spacing w:after="0"/>
            </w:pPr>
            <w:r>
              <w:rPr>
                <w:rFonts w:ascii="Calibri" w:hAnsi="Calibri" w:eastAsia="Microsoft YaHei"/>
              </w:rPr>
              <w:t>Lilies 已从“Agent 平台想法”推进到有工程内核、有实验台账、有产品化能力边界的可验证智能工作流平台。它的强项是把 AI 工作流变成可测试、可审计、可复用、可治理的工程资产；它的短板是尚未完成外部用户/商业验证，也不能把所有实验称为完全闭环。</w:t>
            </w:r>
          </w:p>
        </w:tc>
      </w:tr>
    </w:tbl>
    <w:p>
      <w:pPr>
        <w:spacing w:after="40"/>
      </w:pPr>
    </w:p>
    <w:tbl>
      <w:tblPr>
        <w:tblStyle w:val="TableGrid"/>
        <w:tblW w:type="dxa" w:w="9360"/>
        <w:jc w:val="left"/>
        <w:tblLook w:firstColumn="1" w:firstRow="1" w:lastColumn="0" w:lastRow="0" w:noHBand="0" w:noVBand="1" w:val="04A0"/>
        <w:tblInd w:w="120" w:type="dxa"/>
      </w:tblPr>
      <w:tblGrid>
        <w:gridCol w:w="4680"/>
        <w:gridCol w:w="4680"/>
      </w:tblGrid>
      <w:tr>
        <w:trPr>
          <w:tblHeader w:val="true"/>
        </w:trPr>
        <w:tc>
          <w:tcPr>
            <w:tcW w:type="dxa" w:w="2592"/>
            <w:shd w:fill="E8EEF5"/>
            <w:tcMar>
              <w:top w:w="80" w:type="dxa"/>
              <w:start w:w="120" w:type="dxa"/>
              <w:bottom w:w="80" w:type="dxa"/>
              <w:end w:w="120" w:type="dxa"/>
            </w:tcMar>
            <w:vAlign w:val="center"/>
          </w:tcPr>
          <w:p>
            <w:pPr>
              <w:spacing w:after="0"/>
            </w:pPr>
            <w:r>
              <w:rPr>
                <w:rFonts w:ascii="Calibri" w:hAnsi="Calibri" w:eastAsia="Microsoft YaHei"/>
                <w:b/>
                <w:color w:val="0B2545"/>
              </w:rPr>
              <w:t>投资人关心的问题</w:t>
            </w:r>
          </w:p>
        </w:tc>
        <w:tc>
          <w:tcPr>
            <w:tcW w:type="dxa" w:w="6768"/>
            <w:shd w:fill="E8EEF5"/>
            <w:tcMar>
              <w:top w:w="80" w:type="dxa"/>
              <w:start w:w="120" w:type="dxa"/>
              <w:bottom w:w="80" w:type="dxa"/>
              <w:end w:w="120" w:type="dxa"/>
            </w:tcMar>
            <w:vAlign w:val="center"/>
          </w:tcPr>
          <w:p>
            <w:pPr>
              <w:spacing w:after="0"/>
            </w:pPr>
            <w:r>
              <w:rPr>
                <w:rFonts w:ascii="Calibri" w:hAnsi="Calibri" w:eastAsia="Microsoft YaHei"/>
                <w:b/>
                <w:color w:val="0B2545"/>
              </w:rPr>
              <w:t>当前答案</w:t>
            </w:r>
          </w:p>
        </w:tc>
      </w:tr>
      <w:tr>
        <w:tc>
          <w:tcPr>
            <w:tcW w:type="dxa" w:w="2592"/>
            <w:tcMar>
              <w:top w:w="80" w:type="dxa"/>
              <w:start w:w="120" w:type="dxa"/>
              <w:bottom w:w="80" w:type="dxa"/>
              <w:end w:w="120" w:type="dxa"/>
            </w:tcMar>
            <w:vAlign w:val="center"/>
          </w:tcPr>
          <w:p>
            <w:pPr>
              <w:spacing w:after="0"/>
              <w:jc w:val="center"/>
            </w:pPr>
            <w:r>
              <w:rPr>
                <w:rFonts w:ascii="Calibri" w:hAnsi="Calibri" w:eastAsia="Microsoft YaHei"/>
              </w:rPr>
              <w:t>它是什么？</w:t>
            </w:r>
          </w:p>
        </w:tc>
        <w:tc>
          <w:tcPr>
            <w:tcW w:type="dxa" w:w="6768"/>
            <w:tcMar>
              <w:top w:w="80" w:type="dxa"/>
              <w:start w:w="120" w:type="dxa"/>
              <w:bottom w:w="80" w:type="dxa"/>
              <w:end w:w="120" w:type="dxa"/>
            </w:tcMar>
            <w:vAlign w:val="center"/>
          </w:tcPr>
          <w:p>
            <w:pPr>
              <w:spacing w:after="0"/>
            </w:pPr>
            <w:r>
              <w:rPr>
                <w:rFonts w:ascii="Calibri" w:hAnsi="Calibri" w:eastAsia="Microsoft YaHei"/>
              </w:rPr>
              <w:t>一个面向 AI 工作流生产化的工程平台：用户或 Builder 生成 BlockFlow，平台用 Benchmark、TestFrame、Platform Harness 和策略路由来验证、约束、复用和治理。</w:t>
            </w:r>
          </w:p>
        </w:tc>
      </w:tr>
      <w:tr>
        <w:tc>
          <w:tcPr>
            <w:tcW w:type="dxa" w:w="2592"/>
            <w:tcMar>
              <w:top w:w="80" w:type="dxa"/>
              <w:start w:w="120" w:type="dxa"/>
              <w:bottom w:w="80" w:type="dxa"/>
              <w:end w:w="120" w:type="dxa"/>
            </w:tcMar>
            <w:vAlign w:val="center"/>
          </w:tcPr>
          <w:p>
            <w:pPr>
              <w:spacing w:after="0"/>
              <w:jc w:val="center"/>
            </w:pPr>
            <w:r>
              <w:rPr>
                <w:rFonts w:ascii="Calibri" w:hAnsi="Calibri" w:eastAsia="Microsoft YaHei"/>
              </w:rPr>
              <w:t>它解决什么痛点？</w:t>
            </w:r>
          </w:p>
        </w:tc>
        <w:tc>
          <w:tcPr>
            <w:tcW w:type="dxa" w:w="6768"/>
            <w:tcMar>
              <w:top w:w="80" w:type="dxa"/>
              <w:start w:w="120" w:type="dxa"/>
              <w:bottom w:w="80" w:type="dxa"/>
              <w:end w:w="120" w:type="dxa"/>
            </w:tcMar>
            <w:vAlign w:val="center"/>
          </w:tcPr>
          <w:p>
            <w:pPr>
              <w:spacing w:after="0"/>
            </w:pPr>
            <w:r>
              <w:rPr>
                <w:rFonts w:ascii="Calibri" w:hAnsi="Calibri" w:eastAsia="Microsoft YaHei"/>
              </w:rPr>
              <w:t>普通 Agent demo 很容易，稳定上线很难；Lilies 重点解决可靠性、可观测性、权限/预算/外部动作边界、模板复用、成本和质量回归。</w:t>
            </w:r>
          </w:p>
        </w:tc>
      </w:tr>
      <w:tr>
        <w:tc>
          <w:tcPr>
            <w:tcW w:type="dxa" w:w="2592"/>
            <w:tcMar>
              <w:top w:w="80" w:type="dxa"/>
              <w:start w:w="120" w:type="dxa"/>
              <w:bottom w:w="80" w:type="dxa"/>
              <w:end w:w="120" w:type="dxa"/>
            </w:tcMar>
            <w:vAlign w:val="center"/>
          </w:tcPr>
          <w:p>
            <w:pPr>
              <w:spacing w:after="0"/>
              <w:jc w:val="center"/>
            </w:pPr>
            <w:r>
              <w:rPr>
                <w:rFonts w:ascii="Calibri" w:hAnsi="Calibri" w:eastAsia="Microsoft YaHei"/>
              </w:rPr>
              <w:t>现在做到哪了？</w:t>
            </w:r>
          </w:p>
        </w:tc>
        <w:tc>
          <w:tcPr>
            <w:tcW w:type="dxa" w:w="6768"/>
            <w:tcMar>
              <w:top w:w="80" w:type="dxa"/>
              <w:start w:w="120" w:type="dxa"/>
              <w:bottom w:w="80" w:type="dxa"/>
              <w:end w:w="120" w:type="dxa"/>
            </w:tcMar>
            <w:vAlign w:val="center"/>
          </w:tcPr>
          <w:p>
            <w:pPr>
              <w:spacing w:after="0"/>
            </w:pPr>
            <w:r>
              <w:rPr>
                <w:rFonts w:ascii="Calibri" w:hAnsi="Calibri" w:eastAsia="Microsoft YaHei"/>
              </w:rPr>
              <w:t>核心后端和实验系统已相当深入：E01-E10 全部有证据结论，E05/E07/E08/E10 已有产品化能力，E02 外部人类实验仍未完成。</w:t>
            </w:r>
          </w:p>
        </w:tc>
      </w:tr>
      <w:tr>
        <w:tc>
          <w:tcPr>
            <w:tcW w:type="dxa" w:w="2592"/>
            <w:tcMar>
              <w:top w:w="80" w:type="dxa"/>
              <w:start w:w="120" w:type="dxa"/>
              <w:bottom w:w="80" w:type="dxa"/>
              <w:end w:w="120" w:type="dxa"/>
            </w:tcMar>
            <w:vAlign w:val="center"/>
          </w:tcPr>
          <w:p>
            <w:pPr>
              <w:spacing w:after="0"/>
              <w:jc w:val="center"/>
            </w:pPr>
            <w:r>
              <w:rPr>
                <w:rFonts w:ascii="Calibri" w:hAnsi="Calibri" w:eastAsia="Microsoft YaHei"/>
              </w:rPr>
              <w:t>有什么差异化？</w:t>
            </w:r>
          </w:p>
        </w:tc>
        <w:tc>
          <w:tcPr>
            <w:tcW w:type="dxa" w:w="6768"/>
            <w:tcMar>
              <w:top w:w="80" w:type="dxa"/>
              <w:start w:w="120" w:type="dxa"/>
              <w:bottom w:w="80" w:type="dxa"/>
              <w:end w:w="120" w:type="dxa"/>
            </w:tcMar>
            <w:vAlign w:val="center"/>
          </w:tcPr>
          <w:p>
            <w:pPr>
              <w:spacing w:after="0"/>
            </w:pPr>
            <w:r>
              <w:rPr>
                <w:rFonts w:ascii="Calibri" w:hAnsi="Calibri" w:eastAsia="Microsoft YaHei"/>
              </w:rPr>
              <w:t>不是只卖“多智能体”或“画布”，而是卖可验证工作流、模板飞轮、复杂度路由和不可绕过的 Platform Harness 安全/预算边界。</w:t>
            </w:r>
          </w:p>
        </w:tc>
      </w:tr>
      <w:tr>
        <w:tc>
          <w:tcPr>
            <w:tcW w:type="dxa" w:w="2592"/>
            <w:tcMar>
              <w:top w:w="80" w:type="dxa"/>
              <w:start w:w="120" w:type="dxa"/>
              <w:bottom w:w="80" w:type="dxa"/>
              <w:end w:w="120" w:type="dxa"/>
            </w:tcMar>
            <w:vAlign w:val="center"/>
          </w:tcPr>
          <w:p>
            <w:pPr>
              <w:spacing w:after="0"/>
              <w:jc w:val="center"/>
            </w:pPr>
            <w:r>
              <w:rPr>
                <w:rFonts w:ascii="Calibri" w:hAnsi="Calibri" w:eastAsia="Microsoft YaHei"/>
              </w:rPr>
              <w:t>还缺什么？</w:t>
            </w:r>
          </w:p>
        </w:tc>
        <w:tc>
          <w:tcPr>
            <w:tcW w:type="dxa" w:w="6768"/>
            <w:tcMar>
              <w:top w:w="80" w:type="dxa"/>
              <w:start w:w="120" w:type="dxa"/>
              <w:bottom w:w="80" w:type="dxa"/>
              <w:end w:w="120" w:type="dxa"/>
            </w:tcMar>
            <w:vAlign w:val="center"/>
          </w:tcPr>
          <w:p>
            <w:pPr>
              <w:spacing w:after="0"/>
            </w:pPr>
            <w:r>
              <w:rPr>
                <w:rFonts w:ascii="Calibri" w:hAnsi="Calibri" w:eastAsia="Microsoft YaHei"/>
              </w:rPr>
              <w:t>真实用户/客户试点、投资方友好 demo、E02 真实参与者实验、云部署与商业包装、行业场景聚焦。</w:t>
            </w:r>
          </w:p>
        </w:tc>
      </w:tr>
      <w:tr>
        <w:tc>
          <w:tcPr>
            <w:tcW w:type="dxa" w:w="2592"/>
            <w:tcMar>
              <w:top w:w="80" w:type="dxa"/>
              <w:start w:w="120" w:type="dxa"/>
              <w:bottom w:w="80" w:type="dxa"/>
              <w:end w:w="120" w:type="dxa"/>
            </w:tcMar>
            <w:vAlign w:val="center"/>
          </w:tcPr>
          <w:p>
            <w:pPr>
              <w:spacing w:after="0"/>
              <w:jc w:val="center"/>
            </w:pPr>
            <w:r>
              <w:rPr>
                <w:rFonts w:ascii="Calibri" w:hAnsi="Calibri" w:eastAsia="Microsoft YaHei"/>
              </w:rPr>
              <w:t>是否值得继续？</w:t>
            </w:r>
          </w:p>
        </w:tc>
        <w:tc>
          <w:tcPr>
            <w:tcW w:type="dxa" w:w="6768"/>
            <w:tcMar>
              <w:top w:w="80" w:type="dxa"/>
              <w:start w:w="120" w:type="dxa"/>
              <w:bottom w:w="80" w:type="dxa"/>
              <w:end w:w="120" w:type="dxa"/>
            </w:tcMar>
            <w:vAlign w:val="center"/>
          </w:tcPr>
          <w:p>
            <w:pPr>
              <w:spacing w:after="0"/>
            </w:pPr>
            <w:r>
              <w:rPr>
                <w:rFonts w:ascii="Calibri" w:hAnsi="Calibri" w:eastAsia="Microsoft YaHei"/>
              </w:rPr>
              <w:t>值得继续，但下一阶段应从纯研发转向“可演示产品 + 外部验证 + 行业场景试点”，否则技术资产会滞留在内部工程成果。</w:t>
            </w:r>
          </w:p>
        </w:tc>
      </w:tr>
    </w:tbl>
    <w:p>
      <w:pPr>
        <w:spacing w:after="40"/>
      </w:pPr>
    </w:p>
    <w:p>
      <w:pPr>
        <w:pStyle w:val="Heading1"/>
      </w:pPr>
      <w:r>
        <w:t>2. 项目定位：Lilies 不是普通 Agent 工具</w:t>
      </w:r>
    </w:p>
    <w:p>
      <w:r>
        <w:rPr>
          <w:rFonts w:ascii="Calibri" w:hAnsi="Calibri" w:eastAsia="Microsoft YaHei"/>
          <w:b w:val="0"/>
          <w:i w:val="0"/>
        </w:rPr>
        <w:t>面向非技术读者，可以把 Lilies 理解为“AI 工作流的工程化生产平台”。普通 Agent 产品往往强调模型能做什么，Lilies 更强调：当 AI 参与真实业务流程时，谁来保证它可测试、可复用、可审计、可停止、可控成本、可追责。这使它更接近面向企业生产环境的 AI workflow infrastructure，而不是单纯聊天机器人或演示型 Agent。</w:t>
      </w:r>
    </w:p>
    <w:tbl>
      <w:tblPr>
        <w:tblStyle w:val="TableGrid"/>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pPr>
              <w:spacing w:after="0"/>
            </w:pPr>
            <w:r>
              <w:rPr>
                <w:rFonts w:ascii="Calibri" w:hAnsi="Calibri" w:eastAsia="Microsoft YaHei"/>
                <w:b/>
                <w:color w:val="0B2545"/>
              </w:rPr>
              <w:t>层级</w:t>
            </w:r>
          </w:p>
        </w:tc>
        <w:tc>
          <w:tcPr>
            <w:tcW w:type="dxa" w:w="4032"/>
            <w:shd w:fill="E8EEF5"/>
            <w:tcMar>
              <w:top w:w="80" w:type="dxa"/>
              <w:start w:w="120" w:type="dxa"/>
              <w:bottom w:w="80" w:type="dxa"/>
              <w:end w:w="120" w:type="dxa"/>
            </w:tcMar>
            <w:vAlign w:val="center"/>
          </w:tcPr>
          <w:p>
            <w:pPr>
              <w:spacing w:after="0"/>
            </w:pPr>
            <w:r>
              <w:rPr>
                <w:rFonts w:ascii="Calibri" w:hAnsi="Calibri" w:eastAsia="Microsoft YaHei"/>
                <w:b/>
                <w:color w:val="0B2545"/>
              </w:rPr>
              <w:t>非技术解释</w:t>
            </w:r>
          </w:p>
        </w:tc>
        <w:tc>
          <w:tcPr>
            <w:tcW w:type="dxa" w:w="3384"/>
            <w:shd w:fill="E8EEF5"/>
            <w:tcMar>
              <w:top w:w="80" w:type="dxa"/>
              <w:start w:w="120" w:type="dxa"/>
              <w:bottom w:w="80" w:type="dxa"/>
              <w:end w:w="120" w:type="dxa"/>
            </w:tcMar>
            <w:vAlign w:val="center"/>
          </w:tcPr>
          <w:p>
            <w:pPr>
              <w:spacing w:after="0"/>
            </w:pPr>
            <w:r>
              <w:rPr>
                <w:rFonts w:ascii="Calibri" w:hAnsi="Calibri" w:eastAsia="Microsoft YaHei"/>
                <w:b/>
                <w:color w:val="0B2545"/>
              </w:rPr>
              <w:t>商业含义</w:t>
            </w:r>
          </w:p>
        </w:tc>
      </w:tr>
      <w:tr>
        <w:tc>
          <w:tcPr>
            <w:tcW w:type="dxa" w:w="1944"/>
            <w:tcMar>
              <w:top w:w="80" w:type="dxa"/>
              <w:start w:w="120" w:type="dxa"/>
              <w:bottom w:w="80" w:type="dxa"/>
              <w:end w:w="120" w:type="dxa"/>
            </w:tcMar>
            <w:vAlign w:val="center"/>
          </w:tcPr>
          <w:p>
            <w:pPr>
              <w:spacing w:after="0"/>
              <w:jc w:val="center"/>
            </w:pPr>
            <w:r>
              <w:rPr>
                <w:rFonts w:ascii="Calibri" w:hAnsi="Calibri" w:eastAsia="Microsoft YaHei"/>
              </w:rPr>
              <w:t>BlockFlow</w:t>
            </w:r>
          </w:p>
        </w:tc>
        <w:tc>
          <w:tcPr>
            <w:tcW w:type="dxa" w:w="4032"/>
            <w:tcMar>
              <w:top w:w="80" w:type="dxa"/>
              <w:start w:w="120" w:type="dxa"/>
              <w:bottom w:w="80" w:type="dxa"/>
              <w:end w:w="120" w:type="dxa"/>
            </w:tcMar>
            <w:vAlign w:val="center"/>
          </w:tcPr>
          <w:p>
            <w:pPr>
              <w:spacing w:after="0"/>
            </w:pPr>
            <w:r>
              <w:rPr>
                <w:rFonts w:ascii="Calibri" w:hAnsi="Calibri" w:eastAsia="Microsoft YaHei"/>
              </w:rPr>
              <w:t>把复杂任务拆成可见步骤和节点，而不是让一个黑箱 Agent 一口气做完。</w:t>
            </w:r>
          </w:p>
        </w:tc>
        <w:tc>
          <w:tcPr>
            <w:tcW w:type="dxa" w:w="3384"/>
            <w:tcMar>
              <w:top w:w="80" w:type="dxa"/>
              <w:start w:w="120" w:type="dxa"/>
              <w:bottom w:w="80" w:type="dxa"/>
              <w:end w:w="120" w:type="dxa"/>
            </w:tcMar>
            <w:vAlign w:val="center"/>
          </w:tcPr>
          <w:p>
            <w:pPr>
              <w:spacing w:after="0"/>
            </w:pPr>
            <w:r>
              <w:rPr>
                <w:rFonts w:ascii="Calibri" w:hAnsi="Calibri" w:eastAsia="Microsoft YaHei"/>
              </w:rPr>
              <w:t>便于审查、复用、定位失败和面向企业交付。</w:t>
            </w:r>
          </w:p>
        </w:tc>
      </w:tr>
      <w:tr>
        <w:tc>
          <w:tcPr>
            <w:tcW w:type="dxa" w:w="1944"/>
            <w:tcMar>
              <w:top w:w="80" w:type="dxa"/>
              <w:start w:w="120" w:type="dxa"/>
              <w:bottom w:w="80" w:type="dxa"/>
              <w:end w:w="120" w:type="dxa"/>
            </w:tcMar>
            <w:vAlign w:val="center"/>
          </w:tcPr>
          <w:p>
            <w:pPr>
              <w:spacing w:after="0"/>
              <w:jc w:val="center"/>
            </w:pPr>
            <w:r>
              <w:rPr>
                <w:rFonts w:ascii="Calibri" w:hAnsi="Calibri" w:eastAsia="Microsoft YaHei"/>
              </w:rPr>
              <w:t>Builder</w:t>
            </w:r>
          </w:p>
        </w:tc>
        <w:tc>
          <w:tcPr>
            <w:tcW w:type="dxa" w:w="4032"/>
            <w:tcMar>
              <w:top w:w="80" w:type="dxa"/>
              <w:start w:w="120" w:type="dxa"/>
              <w:bottom w:w="80" w:type="dxa"/>
              <w:end w:w="120" w:type="dxa"/>
            </w:tcMar>
            <w:vAlign w:val="center"/>
          </w:tcPr>
          <w:p>
            <w:pPr>
              <w:spacing w:after="0"/>
            </w:pPr>
            <w:r>
              <w:rPr>
                <w:rFonts w:ascii="Calibri" w:hAnsi="Calibri" w:eastAsia="Microsoft YaHei"/>
              </w:rPr>
              <w:t>让 AI 帮用户搭建工作流，但不是无约束生成；它要接受测试、修复和策略约束。</w:t>
            </w:r>
          </w:p>
        </w:tc>
        <w:tc>
          <w:tcPr>
            <w:tcW w:type="dxa" w:w="3384"/>
            <w:tcMar>
              <w:top w:w="80" w:type="dxa"/>
              <w:start w:w="120" w:type="dxa"/>
              <w:bottom w:w="80" w:type="dxa"/>
              <w:end w:w="120" w:type="dxa"/>
            </w:tcMar>
            <w:vAlign w:val="center"/>
          </w:tcPr>
          <w:p>
            <w:pPr>
              <w:spacing w:after="0"/>
            </w:pPr>
            <w:r>
              <w:rPr>
                <w:rFonts w:ascii="Calibri" w:hAnsi="Calibri" w:eastAsia="Microsoft YaHei"/>
              </w:rPr>
              <w:t>降低工作流创建门槛，形成自动化生产能力。</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Benchmark/TestFrame</w:t>
            </w:r>
          </w:p>
        </w:tc>
        <w:tc>
          <w:tcPr>
            <w:tcW w:type="dxa" w:w="4032"/>
            <w:tcMar>
              <w:top w:w="80" w:type="dxa"/>
              <w:start w:w="120" w:type="dxa"/>
              <w:bottom w:w="80" w:type="dxa"/>
              <w:end w:w="120" w:type="dxa"/>
            </w:tcMar>
            <w:vAlign w:val="center"/>
          </w:tcPr>
          <w:p>
            <w:pPr>
              <w:spacing w:after="0"/>
            </w:pPr>
            <w:r>
              <w:rPr>
                <w:rFonts w:ascii="Calibri" w:hAnsi="Calibri" w:eastAsia="Microsoft YaHei"/>
              </w:rPr>
              <w:t>像给 AI 工作流做验收测试和可读体检报告。</w:t>
            </w:r>
          </w:p>
        </w:tc>
        <w:tc>
          <w:tcPr>
            <w:tcW w:type="dxa" w:w="3384"/>
            <w:tcMar>
              <w:top w:w="80" w:type="dxa"/>
              <w:start w:w="120" w:type="dxa"/>
              <w:bottom w:w="80" w:type="dxa"/>
              <w:end w:w="120" w:type="dxa"/>
            </w:tcMar>
            <w:vAlign w:val="center"/>
          </w:tcPr>
          <w:p>
            <w:pPr>
              <w:spacing w:after="0"/>
            </w:pPr>
            <w:r>
              <w:rPr>
                <w:rFonts w:ascii="Calibri" w:hAnsi="Calibri" w:eastAsia="Microsoft YaHei"/>
              </w:rPr>
              <w:t>降低交付风险，让结果能被工程和业务人员复核。</w:t>
            </w:r>
          </w:p>
        </w:tc>
      </w:tr>
      <w:tr>
        <w:tc>
          <w:tcPr>
            <w:tcW w:type="dxa" w:w="1944"/>
            <w:tcMar>
              <w:top w:w="80" w:type="dxa"/>
              <w:start w:w="120" w:type="dxa"/>
              <w:bottom w:w="80" w:type="dxa"/>
              <w:end w:w="120" w:type="dxa"/>
            </w:tcMar>
            <w:vAlign w:val="center"/>
          </w:tcPr>
          <w:p>
            <w:pPr>
              <w:spacing w:after="0"/>
              <w:jc w:val="center"/>
            </w:pPr>
            <w:r>
              <w:rPr>
                <w:rFonts w:ascii="Calibri" w:hAnsi="Calibri" w:eastAsia="Microsoft YaHei"/>
              </w:rPr>
              <w:t>Template</w:t>
            </w:r>
          </w:p>
        </w:tc>
        <w:tc>
          <w:tcPr>
            <w:tcW w:type="dxa" w:w="4032"/>
            <w:tcMar>
              <w:top w:w="80" w:type="dxa"/>
              <w:start w:w="120" w:type="dxa"/>
              <w:bottom w:w="80" w:type="dxa"/>
              <w:end w:w="120" w:type="dxa"/>
            </w:tcMar>
            <w:vAlign w:val="center"/>
          </w:tcPr>
          <w:p>
            <w:pPr>
              <w:spacing w:after="0"/>
            </w:pPr>
            <w:r>
              <w:rPr>
                <w:rFonts w:ascii="Calibri" w:hAnsi="Calibri" w:eastAsia="Microsoft YaHei"/>
              </w:rPr>
              <w:t>把成功的工作流沉淀成可复用模板。</w:t>
            </w:r>
          </w:p>
        </w:tc>
        <w:tc>
          <w:tcPr>
            <w:tcW w:type="dxa" w:w="3384"/>
            <w:tcMar>
              <w:top w:w="80" w:type="dxa"/>
              <w:start w:w="120" w:type="dxa"/>
              <w:bottom w:w="80" w:type="dxa"/>
              <w:end w:w="120" w:type="dxa"/>
            </w:tcMar>
            <w:vAlign w:val="center"/>
          </w:tcPr>
          <w:p>
            <w:pPr>
              <w:spacing w:after="0"/>
            </w:pPr>
            <w:r>
              <w:rPr>
                <w:rFonts w:ascii="Calibri" w:hAnsi="Calibri" w:eastAsia="Microsoft YaHei"/>
              </w:rPr>
              <w:t>形成行业模板库、复用飞轮和潜在 marketplace。</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Platform Harness</w:t>
            </w:r>
          </w:p>
        </w:tc>
        <w:tc>
          <w:tcPr>
            <w:tcW w:type="dxa" w:w="4032"/>
            <w:tcMar>
              <w:top w:w="80" w:type="dxa"/>
              <w:start w:w="120" w:type="dxa"/>
              <w:bottom w:w="80" w:type="dxa"/>
              <w:end w:w="120" w:type="dxa"/>
            </w:tcMar>
            <w:vAlign w:val="center"/>
          </w:tcPr>
          <w:p>
            <w:pPr>
              <w:spacing w:after="0"/>
            </w:pPr>
            <w:r>
              <w:rPr>
                <w:rFonts w:ascii="Calibri" w:hAnsi="Calibri" w:eastAsia="Microsoft YaHei"/>
              </w:rPr>
              <w:t>平台外部的硬边界，负责权限、预算、外部调用、安全、取消和审计。</w:t>
            </w:r>
          </w:p>
        </w:tc>
        <w:tc>
          <w:tcPr>
            <w:tcW w:type="dxa" w:w="3384"/>
            <w:tcMar>
              <w:top w:w="80" w:type="dxa"/>
              <w:start w:w="120" w:type="dxa"/>
              <w:bottom w:w="80" w:type="dxa"/>
              <w:end w:w="120" w:type="dxa"/>
            </w:tcMar>
            <w:vAlign w:val="center"/>
          </w:tcPr>
          <w:p>
            <w:pPr>
              <w:spacing w:after="0"/>
            </w:pPr>
            <w:r>
              <w:rPr>
                <w:rFonts w:ascii="Calibri" w:hAnsi="Calibri" w:eastAsia="Microsoft YaHei"/>
              </w:rPr>
              <w:t>企业客户最关心的上线治理能力。</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Complexity Router</w:t>
            </w:r>
          </w:p>
        </w:tc>
        <w:tc>
          <w:tcPr>
            <w:tcW w:type="dxa" w:w="4032"/>
            <w:tcMar>
              <w:top w:w="80" w:type="dxa"/>
              <w:start w:w="120" w:type="dxa"/>
              <w:bottom w:w="80" w:type="dxa"/>
              <w:end w:w="120" w:type="dxa"/>
            </w:tcMar>
            <w:vAlign w:val="center"/>
          </w:tcPr>
          <w:p>
            <w:pPr>
              <w:spacing w:after="0"/>
            </w:pPr>
            <w:r>
              <w:rPr>
                <w:rFonts w:ascii="Calibri" w:hAnsi="Calibri" w:eastAsia="Microsoft YaHei"/>
              </w:rPr>
              <w:t>根据需求难度自动选择更省钱或更强的执行策略。</w:t>
            </w:r>
          </w:p>
        </w:tc>
        <w:tc>
          <w:tcPr>
            <w:tcW w:type="dxa" w:w="3384"/>
            <w:tcMar>
              <w:top w:w="80" w:type="dxa"/>
              <w:start w:w="120" w:type="dxa"/>
              <w:bottom w:w="80" w:type="dxa"/>
              <w:end w:w="120" w:type="dxa"/>
            </w:tcMar>
            <w:vAlign w:val="center"/>
          </w:tcPr>
          <w:p>
            <w:pPr>
              <w:spacing w:after="0"/>
            </w:pPr>
            <w:r>
              <w:rPr>
                <w:rFonts w:ascii="Calibri" w:hAnsi="Calibri" w:eastAsia="Microsoft YaHei"/>
              </w:rPr>
              <w:t>在成本和质量之间做动态优化。</w:t>
            </w:r>
          </w:p>
        </w:tc>
      </w:tr>
    </w:tbl>
    <w:p>
      <w:pPr>
        <w:spacing w:after="40"/>
      </w:pPr>
    </w:p>
    <w:p>
      <w:pPr>
        <w:pStyle w:val="Heading1"/>
      </w:pPr>
      <w:r>
        <w:t>3. 已经被验证的核心能力</w:t>
      </w:r>
    </w:p>
    <w:p>
      <w:r>
        <w:rPr>
          <w:rFonts w:ascii="Calibri" w:hAnsi="Calibri" w:eastAsia="Microsoft YaHei"/>
          <w:b w:val="0"/>
          <w:i w:val="0"/>
        </w:rPr>
        <w:t>v0.2.x 的价值在于它不是只写路线图，而是持续用实验、报告、测试和归档验证关键假设。当前仓库记录了 143 个 v0.2 stage reports，并形成 E01-E10 的实验台账。下面是对投资方最有意义的成果。</w:t>
      </w:r>
    </w:p>
    <w:tbl>
      <w:tblPr>
        <w:tblStyle w:val="TableGrid"/>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pPr>
              <w:spacing w:after="0"/>
            </w:pPr>
            <w:r>
              <w:rPr>
                <w:rFonts w:ascii="Calibri" w:hAnsi="Calibri" w:eastAsia="Microsoft YaHei"/>
                <w:b/>
                <w:color w:val="0B2545"/>
              </w:rPr>
              <w:t>能力</w:t>
            </w:r>
          </w:p>
        </w:tc>
        <w:tc>
          <w:tcPr>
            <w:tcW w:type="dxa" w:w="4392"/>
            <w:shd w:fill="E8EEF5"/>
            <w:tcMar>
              <w:top w:w="80" w:type="dxa"/>
              <w:start w:w="120" w:type="dxa"/>
              <w:bottom w:w="80" w:type="dxa"/>
              <w:end w:w="120" w:type="dxa"/>
            </w:tcMar>
            <w:vAlign w:val="center"/>
          </w:tcPr>
          <w:p>
            <w:pPr>
              <w:spacing w:after="0"/>
            </w:pPr>
            <w:r>
              <w:rPr>
                <w:rFonts w:ascii="Calibri" w:hAnsi="Calibri" w:eastAsia="Microsoft YaHei"/>
                <w:b/>
                <w:color w:val="0B2545"/>
              </w:rPr>
              <w:t>验证结果</w:t>
            </w:r>
          </w:p>
        </w:tc>
        <w:tc>
          <w:tcPr>
            <w:tcW w:type="dxa" w:w="3024"/>
            <w:shd w:fill="E8EEF5"/>
            <w:tcMar>
              <w:top w:w="80" w:type="dxa"/>
              <w:start w:w="120" w:type="dxa"/>
              <w:bottom w:w="80" w:type="dxa"/>
              <w:end w:w="120" w:type="dxa"/>
            </w:tcMar>
            <w:vAlign w:val="center"/>
          </w:tcPr>
          <w:p>
            <w:pPr>
              <w:spacing w:after="0"/>
            </w:pPr>
            <w:r>
              <w:rPr>
                <w:rFonts w:ascii="Calibri" w:hAnsi="Calibri" w:eastAsia="Microsoft YaHei"/>
                <w:b/>
                <w:color w:val="0B2545"/>
              </w:rPr>
              <w:t>投资方意义</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Builder 可验证性</w:t>
            </w:r>
          </w:p>
        </w:tc>
        <w:tc>
          <w:tcPr>
            <w:tcW w:type="dxa" w:w="4392"/>
            <w:tcMar>
              <w:top w:w="80" w:type="dxa"/>
              <w:start w:w="120" w:type="dxa"/>
              <w:bottom w:w="80" w:type="dxa"/>
              <w:end w:w="120" w:type="dxa"/>
            </w:tcMar>
            <w:vAlign w:val="center"/>
          </w:tcPr>
          <w:p>
            <w:pPr>
              <w:spacing w:after="0"/>
            </w:pPr>
            <w:r>
              <w:rPr>
                <w:rFonts w:ascii="Calibri" w:hAnsi="Calibri" w:eastAsia="Microsoft YaHei"/>
              </w:rPr>
              <w:t>Builder benchmark 修复了测试自洽、节点语义等价、terminal-node alias 等问题。</w:t>
            </w:r>
          </w:p>
        </w:tc>
        <w:tc>
          <w:tcPr>
            <w:tcW w:type="dxa" w:w="3024"/>
            <w:tcMar>
              <w:top w:w="80" w:type="dxa"/>
              <w:start w:w="120" w:type="dxa"/>
              <w:bottom w:w="80" w:type="dxa"/>
              <w:end w:w="120" w:type="dxa"/>
            </w:tcMar>
            <w:vAlign w:val="center"/>
          </w:tcPr>
          <w:p>
            <w:pPr>
              <w:spacing w:after="0"/>
            </w:pPr>
            <w:r>
              <w:rPr>
                <w:rFonts w:ascii="Calibri" w:hAnsi="Calibri" w:eastAsia="Microsoft YaHei"/>
              </w:rPr>
              <w:t>平台不是只生成 demo，而是建立了质量回归和验收体系。</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Plan-first 策略</w:t>
            </w:r>
          </w:p>
        </w:tc>
        <w:tc>
          <w:tcPr>
            <w:tcW w:type="dxa" w:w="4392"/>
            <w:tcMar>
              <w:top w:w="80" w:type="dxa"/>
              <w:start w:w="120" w:type="dxa"/>
              <w:bottom w:w="80" w:type="dxa"/>
              <w:end w:w="120" w:type="dxa"/>
            </w:tcMar>
            <w:vAlign w:val="center"/>
          </w:tcPr>
          <w:p>
            <w:pPr>
              <w:spacing w:after="0"/>
            </w:pPr>
            <w:r>
              <w:rPr>
                <w:rFonts w:ascii="Calibri" w:hAnsi="Calibri" w:eastAsia="Microsoft YaHei"/>
              </w:rPr>
              <w:t>简单任务不适合全局强制 plan-first；复杂任务在显式架构契约下有正向信号。</w:t>
            </w:r>
          </w:p>
        </w:tc>
        <w:tc>
          <w:tcPr>
            <w:tcW w:type="dxa" w:w="3024"/>
            <w:tcMar>
              <w:top w:w="80" w:type="dxa"/>
              <w:start w:w="120" w:type="dxa"/>
              <w:bottom w:w="80" w:type="dxa"/>
              <w:end w:w="120" w:type="dxa"/>
            </w:tcMar>
            <w:vAlign w:val="center"/>
          </w:tcPr>
          <w:p>
            <w:pPr>
              <w:spacing w:after="0"/>
            </w:pPr>
            <w:r>
              <w:rPr>
                <w:rFonts w:ascii="Calibri" w:hAnsi="Calibri" w:eastAsia="Microsoft YaHei"/>
              </w:rPr>
              <w:t>项目知道何时省成本、何时加规划，不是一刀切策略。</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Readable TestFrame</w:t>
            </w:r>
          </w:p>
        </w:tc>
        <w:tc>
          <w:tcPr>
            <w:tcW w:type="dxa" w:w="4392"/>
            <w:tcMar>
              <w:top w:w="80" w:type="dxa"/>
              <w:start w:w="120" w:type="dxa"/>
              <w:bottom w:w="80" w:type="dxa"/>
              <w:end w:w="120" w:type="dxa"/>
            </w:tcMar>
            <w:vAlign w:val="center"/>
          </w:tcPr>
          <w:p>
            <w:pPr>
              <w:spacing w:after="0"/>
            </w:pPr>
            <w:r>
              <w:rPr>
                <w:rFonts w:ascii="Calibri" w:hAnsi="Calibri" w:eastAsia="Microsoft YaHei"/>
              </w:rPr>
              <w:t>proxy 审阅中 readable report 得分 1.0，raw JSON 得分 0.375；但真实人类计时未完成。</w:t>
            </w:r>
          </w:p>
        </w:tc>
        <w:tc>
          <w:tcPr>
            <w:tcW w:type="dxa" w:w="3024"/>
            <w:tcMar>
              <w:top w:w="80" w:type="dxa"/>
              <w:start w:w="120" w:type="dxa"/>
              <w:bottom w:w="80" w:type="dxa"/>
              <w:end w:w="120" w:type="dxa"/>
            </w:tcMar>
            <w:vAlign w:val="center"/>
          </w:tcPr>
          <w:p>
            <w:pPr>
              <w:spacing w:after="0"/>
            </w:pPr>
            <w:r>
              <w:rPr>
                <w:rFonts w:ascii="Calibri" w:hAnsi="Calibri" w:eastAsia="Microsoft YaHei"/>
              </w:rPr>
              <w:t>面向业务/审核人员的可读报告有潜力，但仍需外部实验补证据。</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Local Repair</w:t>
            </w:r>
          </w:p>
        </w:tc>
        <w:tc>
          <w:tcPr>
            <w:tcW w:type="dxa" w:w="4392"/>
            <w:tcMar>
              <w:top w:w="80" w:type="dxa"/>
              <w:start w:w="120" w:type="dxa"/>
              <w:bottom w:w="80" w:type="dxa"/>
              <w:end w:w="120" w:type="dxa"/>
            </w:tcMar>
            <w:vAlign w:val="center"/>
          </w:tcPr>
          <w:p>
            <w:pPr>
              <w:spacing w:after="0"/>
            </w:pPr>
            <w:r>
              <w:rPr>
                <w:rFonts w:ascii="Calibri" w:hAnsi="Calibri" w:eastAsia="Microsoft YaHei"/>
              </w:rPr>
              <w:t>局部可定位失败中 local repair 约 0.015s，full rebuild 约 57.127s 且更耗调用。</w:t>
            </w:r>
          </w:p>
        </w:tc>
        <w:tc>
          <w:tcPr>
            <w:tcW w:type="dxa" w:w="3024"/>
            <w:tcMar>
              <w:top w:w="80" w:type="dxa"/>
              <w:start w:w="120" w:type="dxa"/>
              <w:bottom w:w="80" w:type="dxa"/>
              <w:end w:w="120" w:type="dxa"/>
            </w:tcMar>
            <w:vAlign w:val="center"/>
          </w:tcPr>
          <w:p>
            <w:pPr>
              <w:spacing w:after="0"/>
            </w:pPr>
            <w:r>
              <w:rPr>
                <w:rFonts w:ascii="Calibri" w:hAnsi="Calibri" w:eastAsia="Microsoft YaHei"/>
              </w:rPr>
              <w:t>有望显著降低修复成本，支持“测试驱动修工作流”。</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Template Reuse</w:t>
            </w:r>
          </w:p>
        </w:tc>
        <w:tc>
          <w:tcPr>
            <w:tcW w:type="dxa" w:w="4392"/>
            <w:tcMar>
              <w:top w:w="80" w:type="dxa"/>
              <w:start w:w="120" w:type="dxa"/>
              <w:bottom w:w="80" w:type="dxa"/>
              <w:end w:w="120" w:type="dxa"/>
            </w:tcMar>
            <w:vAlign w:val="center"/>
          </w:tcPr>
          <w:p>
            <w:pPr>
              <w:spacing w:after="0"/>
            </w:pPr>
            <w:r>
              <w:rPr>
                <w:rFonts w:ascii="Calibri" w:hAnsi="Calibri" w:eastAsia="Microsoft YaHei"/>
              </w:rPr>
              <w:t>固定 shallow 不稳定；adaptive 在不同任务族能解析为 shallow 或 deep，并完成 live validation。</w:t>
            </w:r>
          </w:p>
        </w:tc>
        <w:tc>
          <w:tcPr>
            <w:tcW w:type="dxa" w:w="3024"/>
            <w:tcMar>
              <w:top w:w="80" w:type="dxa"/>
              <w:start w:w="120" w:type="dxa"/>
              <w:bottom w:w="80" w:type="dxa"/>
              <w:end w:w="120" w:type="dxa"/>
            </w:tcMar>
            <w:vAlign w:val="center"/>
          </w:tcPr>
          <w:p>
            <w:pPr>
              <w:spacing w:after="0"/>
            </w:pPr>
            <w:r>
              <w:rPr>
                <w:rFonts w:ascii="Calibri" w:hAnsi="Calibri" w:eastAsia="Microsoft YaHei"/>
              </w:rPr>
              <w:t>平台可用数据驱动复用策略，而不是靠固定模板深度。</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Complexity Router</w:t>
            </w:r>
          </w:p>
        </w:tc>
        <w:tc>
          <w:tcPr>
            <w:tcW w:type="dxa" w:w="4392"/>
            <w:tcMar>
              <w:top w:w="80" w:type="dxa"/>
              <w:start w:w="120" w:type="dxa"/>
              <w:bottom w:w="80" w:type="dxa"/>
              <w:end w:w="120" w:type="dxa"/>
            </w:tcMar>
            <w:vAlign w:val="center"/>
          </w:tcPr>
          <w:p>
            <w:pPr>
              <w:spacing w:after="0"/>
            </w:pPr>
            <w:r>
              <w:rPr>
                <w:rFonts w:ascii="Calibri" w:hAnsi="Calibri" w:eastAsia="Microsoft YaHei"/>
              </w:rPr>
              <w:t>完成 shadow-only、operator opt-in、limited default、guarded default rollout；unexpected classification rate 0.0。</w:t>
            </w:r>
          </w:p>
        </w:tc>
        <w:tc>
          <w:tcPr>
            <w:tcW w:type="dxa" w:w="3024"/>
            <w:tcMar>
              <w:top w:w="80" w:type="dxa"/>
              <w:start w:w="120" w:type="dxa"/>
              <w:bottom w:w="80" w:type="dxa"/>
              <w:end w:w="120" w:type="dxa"/>
            </w:tcMar>
            <w:vAlign w:val="center"/>
          </w:tcPr>
          <w:p>
            <w:pPr>
              <w:spacing w:after="0"/>
            </w:pPr>
            <w:r>
              <w:rPr>
                <w:rFonts w:ascii="Calibri" w:hAnsi="Calibri" w:eastAsia="Microsoft YaHei"/>
              </w:rPr>
              <w:t>具备根据任务难度动态调度成本/能力的产品化基础。</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Platform Harness</w:t>
            </w:r>
          </w:p>
        </w:tc>
        <w:tc>
          <w:tcPr>
            <w:tcW w:type="dxa" w:w="4392"/>
            <w:tcMar>
              <w:top w:w="80" w:type="dxa"/>
              <w:start w:w="120" w:type="dxa"/>
              <w:bottom w:w="80" w:type="dxa"/>
              <w:end w:w="120" w:type="dxa"/>
            </w:tcMar>
            <w:vAlign w:val="center"/>
          </w:tcPr>
          <w:p>
            <w:pPr>
              <w:spacing w:after="0"/>
            </w:pPr>
            <w:r>
              <w:rPr>
                <w:rFonts w:ascii="Calibri" w:hAnsi="Calibri" w:eastAsia="Microsoft YaHei"/>
              </w:rPr>
              <w:t>E08 full-sidecar audit 显示 18 个 required surfaces 均有版本化证据，missing_required_gaps=0。</w:t>
            </w:r>
          </w:p>
        </w:tc>
        <w:tc>
          <w:tcPr>
            <w:tcW w:type="dxa" w:w="3024"/>
            <w:tcMar>
              <w:top w:w="80" w:type="dxa"/>
              <w:start w:w="120" w:type="dxa"/>
              <w:bottom w:w="80" w:type="dxa"/>
              <w:end w:w="120" w:type="dxa"/>
            </w:tcMar>
            <w:vAlign w:val="center"/>
          </w:tcPr>
          <w:p>
            <w:pPr>
              <w:spacing w:after="0"/>
            </w:pPr>
            <w:r>
              <w:rPr>
                <w:rFonts w:ascii="Calibri" w:hAnsi="Calibri" w:eastAsia="Microsoft YaHei"/>
              </w:rPr>
              <w:t>企业级治理、安全、预算和外部动作控制成为核心壁垒。</w:t>
            </w:r>
          </w:p>
        </w:tc>
      </w:tr>
      <w:tr>
        <w:tc>
          <w:tcPr>
            <w:tcW w:type="dxa" w:w="1944"/>
            <w:tcMar>
              <w:top w:w="80" w:type="dxa"/>
              <w:start w:w="120" w:type="dxa"/>
              <w:bottom w:w="80" w:type="dxa"/>
              <w:end w:w="120" w:type="dxa"/>
            </w:tcMar>
            <w:vAlign w:val="center"/>
          </w:tcPr>
          <w:p>
            <w:pPr>
              <w:spacing w:after="0"/>
            </w:pPr>
            <w:r>
              <w:rPr>
                <w:rFonts w:ascii="Calibri" w:hAnsi="Calibri" w:eastAsia="Microsoft YaHei"/>
              </w:rPr>
              <w:t>Governed Memory</w:t>
            </w:r>
          </w:p>
        </w:tc>
        <w:tc>
          <w:tcPr>
            <w:tcW w:type="dxa" w:w="4392"/>
            <w:tcMar>
              <w:top w:w="80" w:type="dxa"/>
              <w:start w:w="120" w:type="dxa"/>
              <w:bottom w:w="80" w:type="dxa"/>
              <w:end w:w="120" w:type="dxa"/>
            </w:tcMar>
            <w:vAlign w:val="center"/>
          </w:tcPr>
          <w:p>
            <w:pPr>
              <w:spacing w:after="0"/>
            </w:pPr>
            <w:r>
              <w:rPr>
                <w:rFonts w:ascii="Calibri" w:hAnsi="Calibri" w:eastAsia="Microsoft YaHei"/>
              </w:rPr>
              <w:t>实现 scoped memory API、runtime opt-in retrieval、Studio create/view/revoke/audit；unrestricted memory 禁止。</w:t>
            </w:r>
          </w:p>
        </w:tc>
        <w:tc>
          <w:tcPr>
            <w:tcW w:type="dxa" w:w="3024"/>
            <w:tcMar>
              <w:top w:w="80" w:type="dxa"/>
              <w:start w:w="120" w:type="dxa"/>
              <w:bottom w:w="80" w:type="dxa"/>
              <w:end w:w="120" w:type="dxa"/>
            </w:tcMar>
            <w:vAlign w:val="center"/>
          </w:tcPr>
          <w:p>
            <w:pPr>
              <w:spacing w:after="0"/>
            </w:pPr>
            <w:r>
              <w:rPr>
                <w:rFonts w:ascii="Calibri" w:hAnsi="Calibri" w:eastAsia="Microsoft YaHei"/>
              </w:rPr>
              <w:t>可做企业可控记忆，而不是高风险后台无限记忆。</w:t>
            </w:r>
          </w:p>
        </w:tc>
      </w:tr>
    </w:tbl>
    <w:p>
      <w:pPr>
        <w:spacing w:after="40"/>
      </w:pPr>
    </w:p>
    <w:p>
      <w:pPr>
        <w:pStyle w:val="Heading1"/>
      </w:pPr>
      <w:r>
        <w:t>4. 商业价值：为什么它可能有投资价值</w:t>
      </w:r>
    </w:p>
    <w:p>
      <w:r>
        <w:rPr>
          <w:rFonts w:ascii="Calibri" w:hAnsi="Calibri" w:eastAsia="Microsoft YaHei"/>
          <w:b w:val="0"/>
          <w:i w:val="0"/>
        </w:rPr>
        <w:t>AI Agent 市场的早期演示往往强调“模型能自动完成任务”。但真正进入企业场景后，客户更关心：失败如何定位、成本如何控制、外部系统调用谁负责、权限如何审计、模板如何复用、版本如何冻结。Lilies 的技术路线正好压在这些生产化问题上。</w:t>
      </w:r>
    </w:p>
    <w:tbl>
      <w:tblPr>
        <w:tblStyle w:val="TableGrid"/>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2160"/>
            <w:shd w:fill="E8EEF5"/>
            <w:tcMar>
              <w:top w:w="80" w:type="dxa"/>
              <w:start w:w="120" w:type="dxa"/>
              <w:bottom w:w="80" w:type="dxa"/>
              <w:end w:w="120" w:type="dxa"/>
            </w:tcMar>
            <w:vAlign w:val="center"/>
          </w:tcPr>
          <w:p>
            <w:pPr>
              <w:spacing w:after="0"/>
            </w:pPr>
            <w:r>
              <w:rPr>
                <w:rFonts w:ascii="Calibri" w:hAnsi="Calibri" w:eastAsia="Microsoft YaHei"/>
                <w:b/>
                <w:color w:val="0B2545"/>
              </w:rPr>
              <w:t>价值主张</w:t>
            </w:r>
          </w:p>
        </w:tc>
        <w:tc>
          <w:tcPr>
            <w:tcW w:type="dxa" w:w="3384"/>
            <w:shd w:fill="E8EEF5"/>
            <w:tcMar>
              <w:top w:w="80" w:type="dxa"/>
              <w:start w:w="120" w:type="dxa"/>
              <w:bottom w:w="80" w:type="dxa"/>
              <w:end w:w="120" w:type="dxa"/>
            </w:tcMar>
            <w:vAlign w:val="center"/>
          </w:tcPr>
          <w:p>
            <w:pPr>
              <w:spacing w:after="0"/>
            </w:pPr>
            <w:r>
              <w:rPr>
                <w:rFonts w:ascii="Calibri" w:hAnsi="Calibri" w:eastAsia="Microsoft YaHei"/>
                <w:b/>
                <w:color w:val="0B2545"/>
              </w:rPr>
              <w:t>为什么重要</w:t>
            </w:r>
          </w:p>
        </w:tc>
        <w:tc>
          <w:tcPr>
            <w:tcW w:type="dxa" w:w="3816"/>
            <w:shd w:fill="E8EEF5"/>
            <w:tcMar>
              <w:top w:w="80" w:type="dxa"/>
              <w:start w:w="120" w:type="dxa"/>
              <w:bottom w:w="80" w:type="dxa"/>
              <w:end w:w="120" w:type="dxa"/>
            </w:tcMar>
            <w:vAlign w:val="center"/>
          </w:tcPr>
          <w:p>
            <w:pPr>
              <w:spacing w:after="0"/>
            </w:pPr>
            <w:r>
              <w:rPr>
                <w:rFonts w:ascii="Calibri" w:hAnsi="Calibri" w:eastAsia="Microsoft YaHei"/>
                <w:b/>
                <w:color w:val="0B2545"/>
              </w:rPr>
              <w:t>Lilies 当前支撑</w:t>
            </w:r>
          </w:p>
        </w:tc>
      </w:tr>
      <w:tr>
        <w:tc>
          <w:tcPr>
            <w:tcW w:type="dxa" w:w="2160"/>
            <w:tcMar>
              <w:top w:w="80" w:type="dxa"/>
              <w:start w:w="120" w:type="dxa"/>
              <w:bottom w:w="80" w:type="dxa"/>
              <w:end w:w="120" w:type="dxa"/>
            </w:tcMar>
            <w:vAlign w:val="center"/>
          </w:tcPr>
          <w:p>
            <w:pPr>
              <w:spacing w:after="0"/>
              <w:jc w:val="center"/>
            </w:pPr>
            <w:r>
              <w:rPr>
                <w:rFonts w:ascii="Calibri" w:hAnsi="Calibri" w:eastAsia="Microsoft YaHei"/>
              </w:rPr>
              <w:t>企业 AI 工作流治理</w:t>
            </w:r>
          </w:p>
        </w:tc>
        <w:tc>
          <w:tcPr>
            <w:tcW w:type="dxa" w:w="3384"/>
            <w:tcMar>
              <w:top w:w="80" w:type="dxa"/>
              <w:start w:w="120" w:type="dxa"/>
              <w:bottom w:w="80" w:type="dxa"/>
              <w:end w:w="120" w:type="dxa"/>
            </w:tcMar>
            <w:vAlign w:val="center"/>
          </w:tcPr>
          <w:p>
            <w:pPr>
              <w:spacing w:after="0"/>
            </w:pPr>
            <w:r>
              <w:rPr>
                <w:rFonts w:ascii="Calibri" w:hAnsi="Calibri" w:eastAsia="Microsoft YaHei"/>
              </w:rPr>
              <w:t>企业不会允许 Agent 任意调用工具、网络、文件、预算和外部系统。</w:t>
            </w:r>
          </w:p>
        </w:tc>
        <w:tc>
          <w:tcPr>
            <w:tcW w:type="dxa" w:w="3816"/>
            <w:tcMar>
              <w:top w:w="80" w:type="dxa"/>
              <w:start w:w="120" w:type="dxa"/>
              <w:bottom w:w="80" w:type="dxa"/>
              <w:end w:w="120" w:type="dxa"/>
            </w:tcMar>
            <w:vAlign w:val="center"/>
          </w:tcPr>
          <w:p>
            <w:pPr>
              <w:spacing w:after="0"/>
            </w:pPr>
            <w:r>
              <w:rPr>
                <w:rFonts w:ascii="Calibri" w:hAnsi="Calibri" w:eastAsia="Microsoft YaHei"/>
              </w:rPr>
              <w:t>Platform Harness、policy controls、egress allowlist、secret envelope、audit/runbook。</w:t>
            </w:r>
          </w:p>
        </w:tc>
      </w:tr>
      <w:tr>
        <w:tc>
          <w:tcPr>
            <w:tcW w:type="dxa" w:w="2160"/>
            <w:tcMar>
              <w:top w:w="80" w:type="dxa"/>
              <w:start w:w="120" w:type="dxa"/>
              <w:bottom w:w="80" w:type="dxa"/>
              <w:end w:w="120" w:type="dxa"/>
            </w:tcMar>
            <w:vAlign w:val="center"/>
          </w:tcPr>
          <w:p>
            <w:pPr>
              <w:spacing w:after="0"/>
              <w:jc w:val="center"/>
            </w:pPr>
            <w:r>
              <w:rPr>
                <w:rFonts w:ascii="Calibri" w:hAnsi="Calibri" w:eastAsia="Microsoft YaHei"/>
              </w:rPr>
              <w:t>可验证交付</w:t>
            </w:r>
          </w:p>
        </w:tc>
        <w:tc>
          <w:tcPr>
            <w:tcW w:type="dxa" w:w="3384"/>
            <w:tcMar>
              <w:top w:w="80" w:type="dxa"/>
              <w:start w:w="120" w:type="dxa"/>
              <w:bottom w:w="80" w:type="dxa"/>
              <w:end w:w="120" w:type="dxa"/>
            </w:tcMar>
            <w:vAlign w:val="center"/>
          </w:tcPr>
          <w:p>
            <w:pPr>
              <w:spacing w:after="0"/>
            </w:pPr>
            <w:r>
              <w:rPr>
                <w:rFonts w:ascii="Calibri" w:hAnsi="Calibri" w:eastAsia="Microsoft YaHei"/>
              </w:rPr>
              <w:t>AI 生成的工作流必须能验收，否则无法规模化服务客户。</w:t>
            </w:r>
          </w:p>
        </w:tc>
        <w:tc>
          <w:tcPr>
            <w:tcW w:type="dxa" w:w="3816"/>
            <w:tcMar>
              <w:top w:w="80" w:type="dxa"/>
              <w:start w:w="120" w:type="dxa"/>
              <w:bottom w:w="80" w:type="dxa"/>
              <w:end w:w="120" w:type="dxa"/>
            </w:tcMar>
            <w:vAlign w:val="center"/>
          </w:tcPr>
          <w:p>
            <w:pPr>
              <w:spacing w:after="0"/>
            </w:pPr>
            <w:r>
              <w:rPr>
                <w:rFonts w:ascii="Calibri" w:hAnsi="Calibri" w:eastAsia="Microsoft YaHei"/>
              </w:rPr>
              <w:t>Benchmark、mandatory tests、Readable TestFrame、repair confirmation。</w:t>
            </w:r>
          </w:p>
        </w:tc>
      </w:tr>
      <w:tr>
        <w:tc>
          <w:tcPr>
            <w:tcW w:type="dxa" w:w="2160"/>
            <w:tcMar>
              <w:top w:w="80" w:type="dxa"/>
              <w:start w:w="120" w:type="dxa"/>
              <w:bottom w:w="80" w:type="dxa"/>
              <w:end w:w="120" w:type="dxa"/>
            </w:tcMar>
            <w:vAlign w:val="center"/>
          </w:tcPr>
          <w:p>
            <w:pPr>
              <w:spacing w:after="0"/>
              <w:jc w:val="center"/>
            </w:pPr>
            <w:r>
              <w:rPr>
                <w:rFonts w:ascii="Calibri" w:hAnsi="Calibri" w:eastAsia="Microsoft YaHei"/>
              </w:rPr>
              <w:t>复用飞轮</w:t>
            </w:r>
          </w:p>
        </w:tc>
        <w:tc>
          <w:tcPr>
            <w:tcW w:type="dxa" w:w="3384"/>
            <w:tcMar>
              <w:top w:w="80" w:type="dxa"/>
              <w:start w:w="120" w:type="dxa"/>
              <w:bottom w:w="80" w:type="dxa"/>
              <w:end w:w="120" w:type="dxa"/>
            </w:tcMar>
            <w:vAlign w:val="center"/>
          </w:tcPr>
          <w:p>
            <w:pPr>
              <w:spacing w:after="0"/>
            </w:pPr>
            <w:r>
              <w:rPr>
                <w:rFonts w:ascii="Calibri" w:hAnsi="Calibri" w:eastAsia="Microsoft YaHei"/>
              </w:rPr>
              <w:t>每次交付如果能沉淀成模板，下次交付成本会下降。</w:t>
            </w:r>
          </w:p>
        </w:tc>
        <w:tc>
          <w:tcPr>
            <w:tcW w:type="dxa" w:w="3816"/>
            <w:tcMar>
              <w:top w:w="80" w:type="dxa"/>
              <w:start w:w="120" w:type="dxa"/>
              <w:bottom w:w="80" w:type="dxa"/>
              <w:end w:w="120" w:type="dxa"/>
            </w:tcMar>
            <w:vAlign w:val="center"/>
          </w:tcPr>
          <w:p>
            <w:pPr>
              <w:spacing w:after="0"/>
            </w:pPr>
            <w:r>
              <w:rPr>
                <w:rFonts w:ascii="Calibri" w:hAnsi="Calibri" w:eastAsia="Microsoft YaHei"/>
              </w:rPr>
              <w:t>Template reuse depth、adaptive policy、monitoring surface、template_expand contract。</w:t>
            </w:r>
          </w:p>
        </w:tc>
      </w:tr>
      <w:tr>
        <w:tc>
          <w:tcPr>
            <w:tcW w:type="dxa" w:w="2160"/>
            <w:tcMar>
              <w:top w:w="80" w:type="dxa"/>
              <w:start w:w="120" w:type="dxa"/>
              <w:bottom w:w="80" w:type="dxa"/>
              <w:end w:w="120" w:type="dxa"/>
            </w:tcMar>
            <w:vAlign w:val="center"/>
          </w:tcPr>
          <w:p>
            <w:pPr>
              <w:spacing w:after="0"/>
              <w:jc w:val="center"/>
            </w:pPr>
            <w:r>
              <w:rPr>
                <w:rFonts w:ascii="Calibri" w:hAnsi="Calibri" w:eastAsia="Microsoft YaHei"/>
              </w:rPr>
              <w:t>成本质量路由</w:t>
            </w:r>
          </w:p>
        </w:tc>
        <w:tc>
          <w:tcPr>
            <w:tcW w:type="dxa" w:w="3384"/>
            <w:tcMar>
              <w:top w:w="80" w:type="dxa"/>
              <w:start w:w="120" w:type="dxa"/>
              <w:bottom w:w="80" w:type="dxa"/>
              <w:end w:w="120" w:type="dxa"/>
            </w:tcMar>
            <w:vAlign w:val="center"/>
          </w:tcPr>
          <w:p>
            <w:pPr>
              <w:spacing w:after="0"/>
            </w:pPr>
            <w:r>
              <w:rPr>
                <w:rFonts w:ascii="Calibri" w:hAnsi="Calibri" w:eastAsia="Microsoft YaHei"/>
              </w:rPr>
              <w:t>简单任务应低成本完成，复杂任务才值得更强规划和更多调用。</w:t>
            </w:r>
          </w:p>
        </w:tc>
        <w:tc>
          <w:tcPr>
            <w:tcW w:type="dxa" w:w="3816"/>
            <w:tcMar>
              <w:top w:w="80" w:type="dxa"/>
              <w:start w:w="120" w:type="dxa"/>
              <w:bottom w:w="80" w:type="dxa"/>
              <w:end w:w="120" w:type="dxa"/>
            </w:tcMar>
            <w:vAlign w:val="center"/>
          </w:tcPr>
          <w:p>
            <w:pPr>
              <w:spacing w:after="0"/>
            </w:pPr>
            <w:r>
              <w:rPr>
                <w:rFonts w:ascii="Calibri" w:hAnsi="Calibri" w:eastAsia="Microsoft YaHei"/>
              </w:rPr>
              <w:t>E01 conditional plan-first、E07 complexity router guarded default。</w:t>
            </w:r>
          </w:p>
        </w:tc>
      </w:tr>
      <w:tr>
        <w:tc>
          <w:tcPr>
            <w:tcW w:type="dxa" w:w="2160"/>
            <w:tcMar>
              <w:top w:w="80" w:type="dxa"/>
              <w:start w:w="120" w:type="dxa"/>
              <w:bottom w:w="80" w:type="dxa"/>
              <w:end w:w="120" w:type="dxa"/>
            </w:tcMar>
            <w:vAlign w:val="center"/>
          </w:tcPr>
          <w:p>
            <w:pPr>
              <w:spacing w:after="0"/>
              <w:jc w:val="center"/>
            </w:pPr>
            <w:r>
              <w:rPr>
                <w:rFonts w:ascii="Calibri" w:hAnsi="Calibri" w:eastAsia="Microsoft YaHei"/>
              </w:rPr>
              <w:t>受治理记忆</w:t>
            </w:r>
          </w:p>
        </w:tc>
        <w:tc>
          <w:tcPr>
            <w:tcW w:type="dxa" w:w="3384"/>
            <w:tcMar>
              <w:top w:w="80" w:type="dxa"/>
              <w:start w:w="120" w:type="dxa"/>
              <w:bottom w:w="80" w:type="dxa"/>
              <w:end w:w="120" w:type="dxa"/>
            </w:tcMar>
            <w:vAlign w:val="center"/>
          </w:tcPr>
          <w:p>
            <w:pPr>
              <w:spacing w:after="0"/>
            </w:pPr>
            <w:r>
              <w:rPr>
                <w:rFonts w:ascii="Calibri" w:hAnsi="Calibri" w:eastAsia="Microsoft YaHei"/>
              </w:rPr>
              <w:t>企业需要可撤销、可审计、有来源的记忆，而不是黑箱长期记忆。</w:t>
            </w:r>
          </w:p>
        </w:tc>
        <w:tc>
          <w:tcPr>
            <w:tcW w:type="dxa" w:w="3816"/>
            <w:tcMar>
              <w:top w:w="80" w:type="dxa"/>
              <w:start w:w="120" w:type="dxa"/>
              <w:bottom w:w="80" w:type="dxa"/>
              <w:end w:w="120" w:type="dxa"/>
            </w:tcMar>
            <w:vAlign w:val="center"/>
          </w:tcPr>
          <w:p>
            <w:pPr>
              <w:spacing w:after="0"/>
            </w:pPr>
            <w:r>
              <w:rPr>
                <w:rFonts w:ascii="Calibri" w:hAnsi="Calibri" w:eastAsia="Microsoft YaHei"/>
              </w:rPr>
              <w:t>Governed memory surface/API/runtime/Studio，明确禁止 unrestricted memory。</w:t>
            </w:r>
          </w:p>
        </w:tc>
      </w:tr>
    </w:tbl>
    <w:p>
      <w:pPr>
        <w:spacing w:after="40"/>
      </w:pPr>
    </w:p>
    <w:tbl>
      <w:tblPr>
        <w:tblStyle w:val="TableGrid"/>
        <w:tblW w:type="dxa" w:w="9360"/>
        <w:jc w:val="left"/>
        <w:tblLook w:firstColumn="1" w:firstRow="1" w:lastColumn="0" w:lastRow="0" w:noHBand="0" w:noVBand="1" w:val="04A0"/>
        <w:tblInd w:w="120" w:type="dxa"/>
      </w:tblPr>
      <w:tblGrid>
        <w:gridCol w:w="9360"/>
      </w:tblGrid>
      <w:tr>
        <w:tc>
          <w:tcPr>
            <w:tcW w:type="dxa" w:w="9360"/>
            <w:shd w:fill="F4F6F9"/>
            <w:tcMar>
              <w:top w:w="130" w:type="dxa"/>
              <w:start w:w="180" w:type="dxa"/>
              <w:bottom w:w="130" w:type="dxa"/>
              <w:end w:w="180" w:type="dxa"/>
            </w:tcMar>
          </w:tcPr>
          <w:p>
            <w:pPr>
              <w:spacing w:after="60"/>
            </w:pPr>
            <w:r>
              <w:rPr>
                <w:rFonts w:ascii="Calibri" w:hAnsi="Calibri" w:eastAsia="Microsoft YaHei"/>
                <w:b/>
                <w:color w:val="1F4D78"/>
              </w:rPr>
              <w:t>投资叙事的核心</w:t>
            </w:r>
          </w:p>
          <w:p>
            <w:pPr>
              <w:spacing w:after="0"/>
            </w:pPr>
            <w:r>
              <w:rPr>
                <w:rFonts w:ascii="Calibri" w:hAnsi="Calibri" w:eastAsia="Microsoft YaHei"/>
              </w:rPr>
              <w:t>Lilies 的卖点不应是“我们也能做 Agent”，而应是“我们把 Agent 工作流做成可验证、可治理、可复用的工程资产”。如果下一阶段能补上真实用户试点和可演示业务场景，它会比纯技术 demo 更容易被非技术投资人理解。</w:t>
            </w:r>
          </w:p>
        </w:tc>
      </w:tr>
    </w:tbl>
    <w:p>
      <w:pPr>
        <w:spacing w:after="40"/>
      </w:pPr>
    </w:p>
    <w:p>
      <w:pPr>
        <w:pStyle w:val="Heading1"/>
      </w:pPr>
      <w:r>
        <w:t>5. 竞争位置：它站在哪个赛道交叉点</w:t>
      </w:r>
    </w:p>
    <w:p>
      <w:r>
        <w:rPr>
          <w:rFonts w:ascii="Calibri" w:hAnsi="Calibri" w:eastAsia="Microsoft YaHei"/>
          <w:b w:val="0"/>
          <w:i w:val="0"/>
        </w:rPr>
        <w:t>现有资产把 Lilies 的竞品空间分成四类：可视化 Agent 工作流平台、code-first Agent 编排框架、durable execution / 平台 Harness 基础设施、垂直智能体与编码智能体。Lilies 的定位不是复制其中某一类，而是在“可视化/可生成工作流”和“企业级治理/验证”之间建立桥梁。</w:t>
      </w:r>
    </w:p>
    <w:tbl>
      <w:tblPr>
        <w:tblStyle w:val="TableGrid"/>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2232"/>
            <w:shd w:fill="E8EEF5"/>
            <w:tcMar>
              <w:top w:w="80" w:type="dxa"/>
              <w:start w:w="120" w:type="dxa"/>
              <w:bottom w:w="80" w:type="dxa"/>
              <w:end w:w="120" w:type="dxa"/>
            </w:tcMar>
            <w:vAlign w:val="center"/>
          </w:tcPr>
          <w:p>
            <w:pPr>
              <w:spacing w:after="0"/>
            </w:pPr>
            <w:r>
              <w:rPr>
                <w:rFonts w:ascii="Calibri" w:hAnsi="Calibri" w:eastAsia="Microsoft YaHei"/>
                <w:b/>
                <w:color w:val="0B2545"/>
              </w:rPr>
              <w:t>竞品类型</w:t>
            </w:r>
          </w:p>
        </w:tc>
        <w:tc>
          <w:tcPr>
            <w:tcW w:type="dxa" w:w="3240"/>
            <w:shd w:fill="E8EEF5"/>
            <w:tcMar>
              <w:top w:w="80" w:type="dxa"/>
              <w:start w:w="120" w:type="dxa"/>
              <w:bottom w:w="80" w:type="dxa"/>
              <w:end w:w="120" w:type="dxa"/>
            </w:tcMar>
            <w:vAlign w:val="center"/>
          </w:tcPr>
          <w:p>
            <w:pPr>
              <w:spacing w:after="0"/>
            </w:pPr>
            <w:r>
              <w:rPr>
                <w:rFonts w:ascii="Calibri" w:hAnsi="Calibri" w:eastAsia="Microsoft YaHei"/>
                <w:b/>
                <w:color w:val="0B2545"/>
              </w:rPr>
              <w:t>典型优势</w:t>
            </w:r>
          </w:p>
        </w:tc>
        <w:tc>
          <w:tcPr>
            <w:tcW w:type="dxa" w:w="3888"/>
            <w:shd w:fill="E8EEF5"/>
            <w:tcMar>
              <w:top w:w="80" w:type="dxa"/>
              <w:start w:w="120" w:type="dxa"/>
              <w:bottom w:w="80" w:type="dxa"/>
              <w:end w:w="120" w:type="dxa"/>
            </w:tcMar>
            <w:vAlign w:val="center"/>
          </w:tcPr>
          <w:p>
            <w:pPr>
              <w:spacing w:after="0"/>
            </w:pPr>
            <w:r>
              <w:rPr>
                <w:rFonts w:ascii="Calibri" w:hAnsi="Calibri" w:eastAsia="Microsoft YaHei"/>
                <w:b/>
                <w:color w:val="0B2545"/>
              </w:rPr>
              <w:t>Lilies 的差异化角度</w:t>
            </w:r>
          </w:p>
        </w:tc>
      </w:tr>
      <w:tr>
        <w:tc>
          <w:tcPr>
            <w:tcW w:type="dxa" w:w="2232"/>
            <w:tcMar>
              <w:top w:w="80" w:type="dxa"/>
              <w:start w:w="120" w:type="dxa"/>
              <w:bottom w:w="80" w:type="dxa"/>
              <w:end w:w="120" w:type="dxa"/>
            </w:tcMar>
            <w:vAlign w:val="center"/>
          </w:tcPr>
          <w:p>
            <w:pPr>
              <w:spacing w:after="0"/>
              <w:jc w:val="center"/>
            </w:pPr>
            <w:r>
              <w:rPr>
                <w:rFonts w:ascii="Calibri" w:hAnsi="Calibri" w:eastAsia="Microsoft YaHei"/>
              </w:rPr>
              <w:t>可视化工作流平台</w:t>
            </w:r>
          </w:p>
        </w:tc>
        <w:tc>
          <w:tcPr>
            <w:tcW w:type="dxa" w:w="3240"/>
            <w:tcMar>
              <w:top w:w="80" w:type="dxa"/>
              <w:start w:w="120" w:type="dxa"/>
              <w:bottom w:w="80" w:type="dxa"/>
              <w:end w:w="120" w:type="dxa"/>
            </w:tcMar>
            <w:vAlign w:val="center"/>
          </w:tcPr>
          <w:p>
            <w:pPr>
              <w:spacing w:after="0"/>
            </w:pPr>
            <w:r>
              <w:rPr>
                <w:rFonts w:ascii="Calibri" w:hAnsi="Calibri" w:eastAsia="Microsoft YaHei"/>
              </w:rPr>
              <w:t>易用、适合业务人员搭流程。</w:t>
            </w:r>
          </w:p>
        </w:tc>
        <w:tc>
          <w:tcPr>
            <w:tcW w:type="dxa" w:w="3888"/>
            <w:tcMar>
              <w:top w:w="80" w:type="dxa"/>
              <w:start w:w="120" w:type="dxa"/>
              <w:bottom w:w="80" w:type="dxa"/>
              <w:end w:w="120" w:type="dxa"/>
            </w:tcMar>
            <w:vAlign w:val="center"/>
          </w:tcPr>
          <w:p>
            <w:pPr>
              <w:spacing w:after="0"/>
            </w:pPr>
            <w:r>
              <w:rPr>
                <w:rFonts w:ascii="Calibri" w:hAnsi="Calibri" w:eastAsia="Microsoft YaHei"/>
              </w:rPr>
              <w:t>不仅有画布，还强调测试门禁、Benchmark、Template 质量和 Harness 硬边界。</w:t>
            </w:r>
          </w:p>
        </w:tc>
      </w:tr>
      <w:tr>
        <w:tc>
          <w:tcPr>
            <w:tcW w:type="dxa" w:w="2232"/>
            <w:tcMar>
              <w:top w:w="80" w:type="dxa"/>
              <w:start w:w="120" w:type="dxa"/>
              <w:bottom w:w="80" w:type="dxa"/>
              <w:end w:w="120" w:type="dxa"/>
            </w:tcMar>
            <w:vAlign w:val="center"/>
          </w:tcPr>
          <w:p>
            <w:pPr>
              <w:spacing w:after="0"/>
              <w:jc w:val="center"/>
            </w:pPr>
            <w:r>
              <w:rPr>
                <w:rFonts w:ascii="Calibri" w:hAnsi="Calibri" w:eastAsia="Microsoft YaHei"/>
              </w:rPr>
              <w:t>Agent 编排框架</w:t>
            </w:r>
          </w:p>
        </w:tc>
        <w:tc>
          <w:tcPr>
            <w:tcW w:type="dxa" w:w="3240"/>
            <w:tcMar>
              <w:top w:w="80" w:type="dxa"/>
              <w:start w:w="120" w:type="dxa"/>
              <w:bottom w:w="80" w:type="dxa"/>
              <w:end w:w="120" w:type="dxa"/>
            </w:tcMar>
            <w:vAlign w:val="center"/>
          </w:tcPr>
          <w:p>
            <w:pPr>
              <w:spacing w:after="0"/>
            </w:pPr>
            <w:r>
              <w:rPr>
                <w:rFonts w:ascii="Calibri" w:hAnsi="Calibri" w:eastAsia="Microsoft YaHei"/>
              </w:rPr>
              <w:t>代码灵活、适合工程团队深度定制。</w:t>
            </w:r>
          </w:p>
        </w:tc>
        <w:tc>
          <w:tcPr>
            <w:tcW w:type="dxa" w:w="3888"/>
            <w:tcMar>
              <w:top w:w="80" w:type="dxa"/>
              <w:start w:w="120" w:type="dxa"/>
              <w:bottom w:w="80" w:type="dxa"/>
              <w:end w:w="120" w:type="dxa"/>
            </w:tcMar>
            <w:vAlign w:val="center"/>
          </w:tcPr>
          <w:p>
            <w:pPr>
              <w:spacing w:after="0"/>
            </w:pPr>
            <w:r>
              <w:rPr>
                <w:rFonts w:ascii="Calibri" w:hAnsi="Calibri" w:eastAsia="Microsoft YaHei"/>
              </w:rPr>
              <w:t>希望把工程级能力包装成可视化、可复用、可验收的平台资产。</w:t>
            </w:r>
          </w:p>
        </w:tc>
      </w:tr>
      <w:tr>
        <w:tc>
          <w:tcPr>
            <w:tcW w:type="dxa" w:w="2232"/>
            <w:tcMar>
              <w:top w:w="80" w:type="dxa"/>
              <w:start w:w="120" w:type="dxa"/>
              <w:bottom w:w="80" w:type="dxa"/>
              <w:end w:w="120" w:type="dxa"/>
            </w:tcMar>
            <w:vAlign w:val="center"/>
          </w:tcPr>
          <w:p>
            <w:pPr>
              <w:spacing w:after="0"/>
            </w:pPr>
            <w:r>
              <w:rPr>
                <w:rFonts w:ascii="Calibri" w:hAnsi="Calibri" w:eastAsia="Microsoft YaHei"/>
              </w:rPr>
              <w:t>Durable execution 基础设施</w:t>
            </w:r>
          </w:p>
        </w:tc>
        <w:tc>
          <w:tcPr>
            <w:tcW w:type="dxa" w:w="3240"/>
            <w:tcMar>
              <w:top w:w="80" w:type="dxa"/>
              <w:start w:w="120" w:type="dxa"/>
              <w:bottom w:w="80" w:type="dxa"/>
              <w:end w:w="120" w:type="dxa"/>
            </w:tcMar>
            <w:vAlign w:val="center"/>
          </w:tcPr>
          <w:p>
            <w:pPr>
              <w:spacing w:after="0"/>
            </w:pPr>
            <w:r>
              <w:rPr>
                <w:rFonts w:ascii="Calibri" w:hAnsi="Calibri" w:eastAsia="Microsoft YaHei"/>
              </w:rPr>
              <w:t>可靠执行、重试、队列、状态机。</w:t>
            </w:r>
          </w:p>
        </w:tc>
        <w:tc>
          <w:tcPr>
            <w:tcW w:type="dxa" w:w="3888"/>
            <w:tcMar>
              <w:top w:w="80" w:type="dxa"/>
              <w:start w:w="120" w:type="dxa"/>
              <w:bottom w:w="80" w:type="dxa"/>
              <w:end w:w="120" w:type="dxa"/>
            </w:tcMar>
            <w:vAlign w:val="center"/>
          </w:tcPr>
          <w:p>
            <w:pPr>
              <w:spacing w:after="0"/>
            </w:pPr>
            <w:r>
              <w:rPr>
                <w:rFonts w:ascii="Calibri" w:hAnsi="Calibri" w:eastAsia="Microsoft YaHei"/>
              </w:rPr>
              <w:t>吸收 durable/harness 思想，但服务于 AI 工作流的权限、预算和外部动作治理。</w:t>
            </w:r>
          </w:p>
        </w:tc>
      </w:tr>
      <w:tr>
        <w:tc>
          <w:tcPr>
            <w:tcW w:type="dxa" w:w="2232"/>
            <w:tcMar>
              <w:top w:w="80" w:type="dxa"/>
              <w:start w:w="120" w:type="dxa"/>
              <w:bottom w:w="80" w:type="dxa"/>
              <w:end w:w="120" w:type="dxa"/>
            </w:tcMar>
            <w:vAlign w:val="center"/>
          </w:tcPr>
          <w:p>
            <w:pPr>
              <w:spacing w:after="0"/>
              <w:jc w:val="center"/>
            </w:pPr>
            <w:r>
              <w:rPr>
                <w:rFonts w:ascii="Calibri" w:hAnsi="Calibri" w:eastAsia="Microsoft YaHei"/>
              </w:rPr>
              <w:t>编码/垂直智能体</w:t>
            </w:r>
          </w:p>
        </w:tc>
        <w:tc>
          <w:tcPr>
            <w:tcW w:type="dxa" w:w="3240"/>
            <w:tcMar>
              <w:top w:w="80" w:type="dxa"/>
              <w:start w:w="120" w:type="dxa"/>
              <w:bottom w:w="80" w:type="dxa"/>
              <w:end w:w="120" w:type="dxa"/>
            </w:tcMar>
            <w:vAlign w:val="center"/>
          </w:tcPr>
          <w:p>
            <w:pPr>
              <w:spacing w:after="0"/>
            </w:pPr>
            <w:r>
              <w:rPr>
                <w:rFonts w:ascii="Calibri" w:hAnsi="Calibri" w:eastAsia="Microsoft YaHei"/>
              </w:rPr>
              <w:t>在单一任务上能力强、体验尖锐。</w:t>
            </w:r>
          </w:p>
        </w:tc>
        <w:tc>
          <w:tcPr>
            <w:tcW w:type="dxa" w:w="3888"/>
            <w:tcMar>
              <w:top w:w="80" w:type="dxa"/>
              <w:start w:w="120" w:type="dxa"/>
              <w:bottom w:w="80" w:type="dxa"/>
              <w:end w:w="120" w:type="dxa"/>
            </w:tcMar>
            <w:vAlign w:val="center"/>
          </w:tcPr>
          <w:p>
            <w:pPr>
              <w:spacing w:after="0"/>
            </w:pPr>
            <w:r>
              <w:rPr>
                <w:rFonts w:ascii="Calibri" w:hAnsi="Calibri" w:eastAsia="Microsoft YaHei"/>
              </w:rPr>
              <w:t>不是做单点智能体，而是沉淀可验证工作流和模板市场。</w:t>
            </w:r>
          </w:p>
        </w:tc>
      </w:tr>
    </w:tbl>
    <w:p>
      <w:pPr>
        <w:spacing w:after="40"/>
      </w:pPr>
    </w:p>
    <w:p>
      <w:pPr>
        <w:pStyle w:val="Heading1"/>
      </w:pPr>
      <w:r>
        <w:t>6. 当前成熟度判断</w:t>
      </w:r>
    </w:p>
    <w:p>
      <w:r>
        <w:rPr>
          <w:rFonts w:ascii="Calibri" w:hAnsi="Calibri" w:eastAsia="Microsoft YaHei"/>
          <w:b w:val="0"/>
          <w:i w:val="0"/>
        </w:rPr>
        <w:t>从投资方视角，Lilies 现在更像“技术验证扎实、产品化内核成形、商业验证不足”的早期技术型项目。它不适合包装成已经 PMF 的商业公司，但适合包装成有清晰工程壁垒、下一阶段需要产品化和试点验证的 AI infrastructure 项目。</w:t>
      </w:r>
    </w:p>
    <w:tbl>
      <w:tblPr>
        <w:tblStyle w:val="TableGrid"/>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eastAsia="Microsoft YaHei"/>
                <w:b/>
                <w:color w:val="0B2545"/>
              </w:rPr>
              <w:t>维度</w:t>
            </w:r>
          </w:p>
        </w:tc>
        <w:tc>
          <w:tcPr>
            <w:tcW w:type="dxa" w:w="1584"/>
            <w:shd w:fill="E8EEF5"/>
            <w:tcMar>
              <w:top w:w="80" w:type="dxa"/>
              <w:start w:w="120" w:type="dxa"/>
              <w:bottom w:w="80" w:type="dxa"/>
              <w:end w:w="120" w:type="dxa"/>
            </w:tcMar>
            <w:vAlign w:val="center"/>
          </w:tcPr>
          <w:p>
            <w:pPr>
              <w:spacing w:after="0"/>
            </w:pPr>
            <w:r>
              <w:rPr>
                <w:rFonts w:ascii="Calibri" w:hAnsi="Calibri" w:eastAsia="Microsoft YaHei"/>
                <w:b/>
                <w:color w:val="0B2545"/>
              </w:rPr>
              <w:t>成熟度</w:t>
            </w:r>
          </w:p>
        </w:tc>
        <w:tc>
          <w:tcPr>
            <w:tcW w:type="dxa" w:w="5976"/>
            <w:shd w:fill="E8EEF5"/>
            <w:tcMar>
              <w:top w:w="80" w:type="dxa"/>
              <w:start w:w="120" w:type="dxa"/>
              <w:bottom w:w="80" w:type="dxa"/>
              <w:end w:w="120" w:type="dxa"/>
            </w:tcMar>
            <w:vAlign w:val="center"/>
          </w:tcPr>
          <w:p>
            <w:pPr>
              <w:spacing w:after="0"/>
            </w:pPr>
            <w:r>
              <w:rPr>
                <w:rFonts w:ascii="Calibri" w:hAnsi="Calibri" w:eastAsia="Microsoft YaHei"/>
                <w:b/>
                <w:color w:val="0B2545"/>
              </w:rPr>
              <w:t>依据</w:t>
            </w:r>
          </w:p>
        </w:tc>
      </w:tr>
      <w:tr>
        <w:tc>
          <w:tcPr>
            <w:tcW w:type="dxa" w:w="1800"/>
            <w:tcMar>
              <w:top w:w="80" w:type="dxa"/>
              <w:start w:w="120" w:type="dxa"/>
              <w:bottom w:w="80" w:type="dxa"/>
              <w:end w:w="120" w:type="dxa"/>
            </w:tcMar>
            <w:vAlign w:val="center"/>
          </w:tcPr>
          <w:p>
            <w:pPr>
              <w:spacing w:after="0"/>
              <w:jc w:val="center"/>
            </w:pPr>
            <w:r>
              <w:rPr>
                <w:rFonts w:ascii="Calibri" w:hAnsi="Calibri" w:eastAsia="Microsoft YaHei"/>
              </w:rPr>
              <w:t>技术内核</w:t>
            </w:r>
          </w:p>
        </w:tc>
        <w:tc>
          <w:tcPr>
            <w:tcW w:type="dxa" w:w="1584"/>
            <w:tcMar>
              <w:top w:w="80" w:type="dxa"/>
              <w:start w:w="120" w:type="dxa"/>
              <w:bottom w:w="80" w:type="dxa"/>
              <w:end w:w="120" w:type="dxa"/>
            </w:tcMar>
            <w:vAlign w:val="center"/>
          </w:tcPr>
          <w:p>
            <w:pPr>
              <w:spacing w:after="0"/>
            </w:pPr>
            <w:r>
              <w:rPr>
                <w:rFonts w:ascii="Calibri" w:hAnsi="Calibri" w:eastAsia="Microsoft YaHei"/>
              </w:rPr>
              <w:t>高</w:t>
            </w:r>
          </w:p>
        </w:tc>
        <w:tc>
          <w:tcPr>
            <w:tcW w:type="dxa" w:w="5976"/>
            <w:tcMar>
              <w:top w:w="80" w:type="dxa"/>
              <w:start w:w="120" w:type="dxa"/>
              <w:bottom w:w="80" w:type="dxa"/>
              <w:end w:w="120" w:type="dxa"/>
            </w:tcMar>
            <w:vAlign w:val="center"/>
          </w:tcPr>
          <w:p>
            <w:pPr>
              <w:spacing w:after="0"/>
            </w:pPr>
            <w:r>
              <w:rPr>
                <w:rFonts w:ascii="Calibri" w:hAnsi="Calibri" w:eastAsia="Microsoft YaHei"/>
              </w:rPr>
              <w:t>143 个 v0.2 stage reports；E01-E10 有 disposition；核心后端能力和测试/证据体系持续演进。</w:t>
            </w:r>
          </w:p>
        </w:tc>
      </w:tr>
      <w:tr>
        <w:tc>
          <w:tcPr>
            <w:tcW w:type="dxa" w:w="1800"/>
            <w:tcMar>
              <w:top w:w="80" w:type="dxa"/>
              <w:start w:w="120" w:type="dxa"/>
              <w:bottom w:w="80" w:type="dxa"/>
              <w:end w:w="120" w:type="dxa"/>
            </w:tcMar>
            <w:vAlign w:val="center"/>
          </w:tcPr>
          <w:p>
            <w:pPr>
              <w:spacing w:after="0"/>
              <w:jc w:val="center"/>
            </w:pPr>
            <w:r>
              <w:rPr>
                <w:rFonts w:ascii="Calibri" w:hAnsi="Calibri" w:eastAsia="Microsoft YaHei"/>
              </w:rPr>
              <w:t>实验可信度</w:t>
            </w:r>
          </w:p>
        </w:tc>
        <w:tc>
          <w:tcPr>
            <w:tcW w:type="dxa" w:w="1584"/>
            <w:tcMar>
              <w:top w:w="80" w:type="dxa"/>
              <w:start w:w="120" w:type="dxa"/>
              <w:bottom w:w="80" w:type="dxa"/>
              <w:end w:w="120" w:type="dxa"/>
            </w:tcMar>
            <w:vAlign w:val="center"/>
          </w:tcPr>
          <w:p>
            <w:pPr>
              <w:spacing w:after="0"/>
            </w:pPr>
            <w:r>
              <w:rPr>
                <w:rFonts w:ascii="Calibri" w:hAnsi="Calibri" w:eastAsia="Microsoft YaHei"/>
              </w:rPr>
              <w:t>中高</w:t>
            </w:r>
          </w:p>
        </w:tc>
        <w:tc>
          <w:tcPr>
            <w:tcW w:type="dxa" w:w="5976"/>
            <w:tcMar>
              <w:top w:w="80" w:type="dxa"/>
              <w:start w:w="120" w:type="dxa"/>
              <w:bottom w:w="80" w:type="dxa"/>
              <w:end w:w="120" w:type="dxa"/>
            </w:tcMar>
            <w:vAlign w:val="center"/>
          </w:tcPr>
          <w:p>
            <w:pPr>
              <w:spacing w:after="0"/>
            </w:pPr>
            <w:r>
              <w:rPr>
                <w:rFonts w:ascii="Calibri" w:hAnsi="Calibri" w:eastAsia="Microsoft YaHei"/>
              </w:rPr>
              <w:t>多条 paid/live 和 deterministic evidence；但 E02 true human panel 仍缺真实参与者数据。</w:t>
            </w:r>
          </w:p>
        </w:tc>
      </w:tr>
      <w:tr>
        <w:tc>
          <w:tcPr>
            <w:tcW w:type="dxa" w:w="1800"/>
            <w:tcMar>
              <w:top w:w="80" w:type="dxa"/>
              <w:start w:w="120" w:type="dxa"/>
              <w:bottom w:w="80" w:type="dxa"/>
              <w:end w:w="120" w:type="dxa"/>
            </w:tcMar>
            <w:vAlign w:val="center"/>
          </w:tcPr>
          <w:p>
            <w:pPr>
              <w:spacing w:after="0"/>
              <w:jc w:val="center"/>
            </w:pPr>
            <w:r>
              <w:rPr>
                <w:rFonts w:ascii="Calibri" w:hAnsi="Calibri" w:eastAsia="Microsoft YaHei"/>
              </w:rPr>
              <w:t>产品化程度</w:t>
            </w:r>
          </w:p>
        </w:tc>
        <w:tc>
          <w:tcPr>
            <w:tcW w:type="dxa" w:w="1584"/>
            <w:tcMar>
              <w:top w:w="80" w:type="dxa"/>
              <w:start w:w="120" w:type="dxa"/>
              <w:bottom w:w="80" w:type="dxa"/>
              <w:end w:w="120" w:type="dxa"/>
            </w:tcMar>
            <w:vAlign w:val="center"/>
          </w:tcPr>
          <w:p>
            <w:pPr>
              <w:spacing w:after="0"/>
            </w:pPr>
            <w:r>
              <w:rPr>
                <w:rFonts w:ascii="Calibri" w:hAnsi="Calibri" w:eastAsia="Microsoft YaHei"/>
              </w:rPr>
              <w:t>中</w:t>
            </w:r>
          </w:p>
        </w:tc>
        <w:tc>
          <w:tcPr>
            <w:tcW w:type="dxa" w:w="5976"/>
            <w:tcMar>
              <w:top w:w="80" w:type="dxa"/>
              <w:start w:w="120" w:type="dxa"/>
              <w:bottom w:w="80" w:type="dxa"/>
              <w:end w:w="120" w:type="dxa"/>
            </w:tcMar>
            <w:vAlign w:val="center"/>
          </w:tcPr>
          <w:p>
            <w:pPr>
              <w:spacing w:after="0"/>
            </w:pPr>
            <w:r>
              <w:rPr>
                <w:rFonts w:ascii="Calibri" w:hAnsi="Calibri" w:eastAsia="Microsoft YaHei"/>
              </w:rPr>
              <w:t>E05/E07/E08/E10 已产品化到 API/Runtime/Studio/Runbook/Monitor；但整体对外 demo 和客户包装仍不足。</w:t>
            </w:r>
          </w:p>
        </w:tc>
      </w:tr>
      <w:tr>
        <w:tc>
          <w:tcPr>
            <w:tcW w:type="dxa" w:w="1800"/>
            <w:tcMar>
              <w:top w:w="80" w:type="dxa"/>
              <w:start w:w="120" w:type="dxa"/>
              <w:bottom w:w="80" w:type="dxa"/>
              <w:end w:w="120" w:type="dxa"/>
            </w:tcMar>
            <w:vAlign w:val="center"/>
          </w:tcPr>
          <w:p>
            <w:pPr>
              <w:spacing w:after="0"/>
              <w:jc w:val="center"/>
            </w:pPr>
            <w:r>
              <w:rPr>
                <w:rFonts w:ascii="Calibri" w:hAnsi="Calibri" w:eastAsia="Microsoft YaHei"/>
              </w:rPr>
              <w:t>商业验证</w:t>
            </w:r>
          </w:p>
        </w:tc>
        <w:tc>
          <w:tcPr>
            <w:tcW w:type="dxa" w:w="1584"/>
            <w:tcMar>
              <w:top w:w="80" w:type="dxa"/>
              <w:start w:w="120" w:type="dxa"/>
              <w:bottom w:w="80" w:type="dxa"/>
              <w:end w:w="120" w:type="dxa"/>
            </w:tcMar>
            <w:vAlign w:val="center"/>
          </w:tcPr>
          <w:p>
            <w:pPr>
              <w:spacing w:after="0"/>
            </w:pPr>
            <w:r>
              <w:rPr>
                <w:rFonts w:ascii="Calibri" w:hAnsi="Calibri" w:eastAsia="Microsoft YaHei"/>
              </w:rPr>
              <w:t>低到中</w:t>
            </w:r>
          </w:p>
        </w:tc>
        <w:tc>
          <w:tcPr>
            <w:tcW w:type="dxa" w:w="5976"/>
            <w:tcMar>
              <w:top w:w="80" w:type="dxa"/>
              <w:start w:w="120" w:type="dxa"/>
              <w:bottom w:w="80" w:type="dxa"/>
              <w:end w:w="120" w:type="dxa"/>
            </w:tcMar>
            <w:vAlign w:val="center"/>
          </w:tcPr>
          <w:p>
            <w:pPr>
              <w:spacing w:after="0"/>
            </w:pPr>
            <w:r>
              <w:rPr>
                <w:rFonts w:ascii="Calibri" w:hAnsi="Calibri" w:eastAsia="Microsoft YaHei"/>
              </w:rPr>
              <w:t>已有竞品定位和技术价值叙事，但缺真实客户、行业试点、付费意向、使用指标。</w:t>
            </w:r>
          </w:p>
        </w:tc>
      </w:tr>
      <w:tr>
        <w:tc>
          <w:tcPr>
            <w:tcW w:type="dxa" w:w="1800"/>
            <w:tcMar>
              <w:top w:w="80" w:type="dxa"/>
              <w:start w:w="120" w:type="dxa"/>
              <w:bottom w:w="80" w:type="dxa"/>
              <w:end w:w="120" w:type="dxa"/>
            </w:tcMar>
            <w:vAlign w:val="center"/>
          </w:tcPr>
          <w:p>
            <w:pPr>
              <w:spacing w:after="0"/>
              <w:jc w:val="center"/>
            </w:pPr>
            <w:r>
              <w:rPr>
                <w:rFonts w:ascii="Calibri" w:hAnsi="Calibri" w:eastAsia="Microsoft YaHei"/>
              </w:rPr>
              <w:t>融资叙事</w:t>
            </w:r>
          </w:p>
        </w:tc>
        <w:tc>
          <w:tcPr>
            <w:tcW w:type="dxa" w:w="1584"/>
            <w:tcMar>
              <w:top w:w="80" w:type="dxa"/>
              <w:start w:w="120" w:type="dxa"/>
              <w:bottom w:w="80" w:type="dxa"/>
              <w:end w:w="120" w:type="dxa"/>
            </w:tcMar>
            <w:vAlign w:val="center"/>
          </w:tcPr>
          <w:p>
            <w:pPr>
              <w:spacing w:after="0"/>
            </w:pPr>
            <w:r>
              <w:rPr>
                <w:rFonts w:ascii="Calibri" w:hAnsi="Calibri" w:eastAsia="Microsoft YaHei"/>
              </w:rPr>
              <w:t>中</w:t>
            </w:r>
          </w:p>
        </w:tc>
        <w:tc>
          <w:tcPr>
            <w:tcW w:type="dxa" w:w="5976"/>
            <w:tcMar>
              <w:top w:w="80" w:type="dxa"/>
              <w:start w:w="120" w:type="dxa"/>
              <w:bottom w:w="80" w:type="dxa"/>
              <w:end w:w="120" w:type="dxa"/>
            </w:tcMar>
            <w:vAlign w:val="center"/>
          </w:tcPr>
          <w:p>
            <w:pPr>
              <w:spacing w:after="0"/>
            </w:pPr>
            <w:r>
              <w:rPr>
                <w:rFonts w:ascii="Calibri" w:hAnsi="Calibri" w:eastAsia="Microsoft YaHei"/>
              </w:rPr>
              <w:t>技术壁垒强，但需要非技术化材料、demo、场景和短期里程碑来降低理解成本。</w:t>
            </w:r>
          </w:p>
        </w:tc>
      </w:tr>
    </w:tbl>
    <w:p>
      <w:pPr>
        <w:spacing w:after="40"/>
      </w:pPr>
    </w:p>
    <w:p>
      <w:pPr>
        <w:pStyle w:val="Heading1"/>
      </w:pPr>
      <w:r>
        <w:t>7. 主要风险与不能夸大的点</w:t>
      </w:r>
    </w:p>
    <w:p>
      <w:r>
        <w:rPr>
          <w:rFonts w:ascii="Calibri" w:hAnsi="Calibri" w:eastAsia="Microsoft YaHei"/>
          <w:b w:val="0"/>
          <w:i w:val="0"/>
        </w:rPr>
        <w:t>这份报告故意保留风险，因为投资方材料如果只讲亮点，后续尽调会迅速失去信任。Lilies 当前最重要的不是掩盖短板，而是把短板变成下一阶段可执行里程碑。</w:t>
      </w:r>
    </w:p>
    <w:tbl>
      <w:tblPr>
        <w:tblStyle w:val="TableGrid"/>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pPr>
              <w:spacing w:after="0"/>
            </w:pPr>
            <w:r>
              <w:rPr>
                <w:rFonts w:ascii="Calibri" w:hAnsi="Calibri" w:eastAsia="Microsoft YaHei"/>
                <w:b/>
                <w:color w:val="0B2545"/>
              </w:rPr>
              <w:t>风险</w:t>
            </w:r>
          </w:p>
        </w:tc>
        <w:tc>
          <w:tcPr>
            <w:tcW w:type="dxa" w:w="4320"/>
            <w:shd w:fill="E8EEF5"/>
            <w:tcMar>
              <w:top w:w="80" w:type="dxa"/>
              <w:start w:w="120" w:type="dxa"/>
              <w:bottom w:w="80" w:type="dxa"/>
              <w:end w:w="120" w:type="dxa"/>
            </w:tcMar>
            <w:vAlign w:val="center"/>
          </w:tcPr>
          <w:p>
            <w:pPr>
              <w:spacing w:after="0"/>
            </w:pPr>
            <w:r>
              <w:rPr>
                <w:rFonts w:ascii="Calibri" w:hAnsi="Calibri" w:eastAsia="Microsoft YaHei"/>
                <w:b/>
                <w:color w:val="0B2545"/>
              </w:rPr>
              <w:t>说明</w:t>
            </w:r>
          </w:p>
        </w:tc>
        <w:tc>
          <w:tcPr>
            <w:tcW w:type="dxa" w:w="3096"/>
            <w:shd w:fill="E8EEF5"/>
            <w:tcMar>
              <w:top w:w="80" w:type="dxa"/>
              <w:start w:w="120" w:type="dxa"/>
              <w:bottom w:w="80" w:type="dxa"/>
              <w:end w:w="120" w:type="dxa"/>
            </w:tcMar>
            <w:vAlign w:val="center"/>
          </w:tcPr>
          <w:p>
            <w:pPr>
              <w:spacing w:after="0"/>
            </w:pPr>
            <w:r>
              <w:rPr>
                <w:rFonts w:ascii="Calibri" w:hAnsi="Calibri" w:eastAsia="Microsoft YaHei"/>
                <w:b/>
                <w:color w:val="0B2545"/>
              </w:rPr>
              <w:t>建议动作</w:t>
            </w:r>
          </w:p>
        </w:tc>
      </w:tr>
      <w:tr>
        <w:tc>
          <w:tcPr>
            <w:tcW w:type="dxa" w:w="1944"/>
            <w:tcMar>
              <w:top w:w="80" w:type="dxa"/>
              <w:start w:w="120" w:type="dxa"/>
              <w:bottom w:w="80" w:type="dxa"/>
              <w:end w:w="120" w:type="dxa"/>
            </w:tcMar>
            <w:vAlign w:val="center"/>
          </w:tcPr>
          <w:p>
            <w:pPr>
              <w:spacing w:after="0"/>
              <w:jc w:val="center"/>
            </w:pPr>
            <w:r>
              <w:rPr>
                <w:rFonts w:ascii="Calibri" w:hAnsi="Calibri" w:eastAsia="Microsoft YaHei"/>
              </w:rPr>
              <w:t>E02 未完成</w:t>
            </w:r>
          </w:p>
        </w:tc>
        <w:tc>
          <w:tcPr>
            <w:tcW w:type="dxa" w:w="4320"/>
            <w:tcMar>
              <w:top w:w="80" w:type="dxa"/>
              <w:start w:w="120" w:type="dxa"/>
              <w:bottom w:w="80" w:type="dxa"/>
              <w:end w:w="120" w:type="dxa"/>
            </w:tcMar>
            <w:vAlign w:val="center"/>
          </w:tcPr>
          <w:p>
            <w:pPr>
              <w:spacing w:after="0"/>
            </w:pPr>
            <w:r>
              <w:rPr>
                <w:rFonts w:ascii="Calibri" w:hAnsi="Calibri" w:eastAsia="Microsoft YaHei"/>
              </w:rPr>
              <w:t>Readable TestFrame 有 proxy 证据，但没有真实人类 timing panel；当前 participant rows 为 0。</w:t>
            </w:r>
          </w:p>
        </w:tc>
        <w:tc>
          <w:tcPr>
            <w:tcW w:type="dxa" w:w="3096"/>
            <w:tcMar>
              <w:top w:w="80" w:type="dxa"/>
              <w:start w:w="120" w:type="dxa"/>
              <w:bottom w:w="80" w:type="dxa"/>
              <w:end w:w="120" w:type="dxa"/>
            </w:tcMar>
            <w:vAlign w:val="center"/>
          </w:tcPr>
          <w:p>
            <w:pPr>
              <w:spacing w:after="0"/>
            </w:pPr>
            <w:r>
              <w:rPr>
                <w:rFonts w:ascii="Calibri" w:hAnsi="Calibri" w:eastAsia="Microsoft YaHei"/>
              </w:rPr>
              <w:t>招募至少 5 名参与者，完成 paired raw/readable rows 和 analyzer summary。</w:t>
            </w:r>
          </w:p>
        </w:tc>
      </w:tr>
      <w:tr>
        <w:tc>
          <w:tcPr>
            <w:tcW w:type="dxa" w:w="1944"/>
            <w:tcMar>
              <w:top w:w="80" w:type="dxa"/>
              <w:start w:w="120" w:type="dxa"/>
              <w:bottom w:w="80" w:type="dxa"/>
              <w:end w:w="120" w:type="dxa"/>
            </w:tcMar>
            <w:vAlign w:val="center"/>
          </w:tcPr>
          <w:p>
            <w:pPr>
              <w:spacing w:after="0"/>
              <w:jc w:val="center"/>
            </w:pPr>
            <w:r>
              <w:rPr>
                <w:rFonts w:ascii="Calibri" w:hAnsi="Calibri" w:eastAsia="Microsoft YaHei"/>
              </w:rPr>
              <w:t>商业验证不足</w:t>
            </w:r>
          </w:p>
        </w:tc>
        <w:tc>
          <w:tcPr>
            <w:tcW w:type="dxa" w:w="4320"/>
            <w:tcMar>
              <w:top w:w="80" w:type="dxa"/>
              <w:start w:w="120" w:type="dxa"/>
              <w:bottom w:w="80" w:type="dxa"/>
              <w:end w:w="120" w:type="dxa"/>
            </w:tcMar>
            <w:vAlign w:val="center"/>
          </w:tcPr>
          <w:p>
            <w:pPr>
              <w:spacing w:after="0"/>
            </w:pPr>
            <w:r>
              <w:rPr>
                <w:rFonts w:ascii="Calibri" w:hAnsi="Calibri" w:eastAsia="Microsoft YaHei"/>
              </w:rPr>
              <w:t>没有客户试点、付费意向、行业场景 ROI 或用户留存数据。</w:t>
            </w:r>
          </w:p>
        </w:tc>
        <w:tc>
          <w:tcPr>
            <w:tcW w:type="dxa" w:w="3096"/>
            <w:tcMar>
              <w:top w:w="80" w:type="dxa"/>
              <w:start w:w="120" w:type="dxa"/>
              <w:bottom w:w="80" w:type="dxa"/>
              <w:end w:w="120" w:type="dxa"/>
            </w:tcMar>
            <w:vAlign w:val="center"/>
          </w:tcPr>
          <w:p>
            <w:pPr>
              <w:spacing w:after="0"/>
            </w:pPr>
            <w:r>
              <w:rPr>
                <w:rFonts w:ascii="Calibri" w:hAnsi="Calibri" w:eastAsia="Microsoft YaHei"/>
              </w:rPr>
              <w:t>选择 1-2 个垂直场景做可演示 pilot，例如企业报告生成、合规流程、数据分析工作流。</w:t>
            </w:r>
          </w:p>
        </w:tc>
      </w:tr>
      <w:tr>
        <w:tc>
          <w:tcPr>
            <w:tcW w:type="dxa" w:w="1944"/>
            <w:tcMar>
              <w:top w:w="80" w:type="dxa"/>
              <w:start w:w="120" w:type="dxa"/>
              <w:bottom w:w="80" w:type="dxa"/>
              <w:end w:w="120" w:type="dxa"/>
            </w:tcMar>
            <w:vAlign w:val="center"/>
          </w:tcPr>
          <w:p>
            <w:pPr>
              <w:spacing w:after="0"/>
              <w:jc w:val="center"/>
            </w:pPr>
            <w:r>
              <w:rPr>
                <w:rFonts w:ascii="Calibri" w:hAnsi="Calibri" w:eastAsia="Microsoft YaHei"/>
              </w:rPr>
              <w:t>产品包装不足</w:t>
            </w:r>
          </w:p>
        </w:tc>
        <w:tc>
          <w:tcPr>
            <w:tcW w:type="dxa" w:w="4320"/>
            <w:tcMar>
              <w:top w:w="80" w:type="dxa"/>
              <w:start w:w="120" w:type="dxa"/>
              <w:bottom w:w="80" w:type="dxa"/>
              <w:end w:w="120" w:type="dxa"/>
            </w:tcMar>
            <w:vAlign w:val="center"/>
          </w:tcPr>
          <w:p>
            <w:pPr>
              <w:spacing w:after="0"/>
            </w:pPr>
            <w:r>
              <w:rPr>
                <w:rFonts w:ascii="Calibri" w:hAnsi="Calibri" w:eastAsia="Microsoft YaHei"/>
              </w:rPr>
              <w:t>技术能力强，但非技术投资人难以直接理解。</w:t>
            </w:r>
          </w:p>
        </w:tc>
        <w:tc>
          <w:tcPr>
            <w:tcW w:type="dxa" w:w="3096"/>
            <w:tcMar>
              <w:top w:w="80" w:type="dxa"/>
              <w:start w:w="120" w:type="dxa"/>
              <w:bottom w:w="80" w:type="dxa"/>
              <w:end w:w="120" w:type="dxa"/>
            </w:tcMar>
            <w:vAlign w:val="center"/>
          </w:tcPr>
          <w:p>
            <w:pPr>
              <w:spacing w:after="0"/>
            </w:pPr>
            <w:r>
              <w:rPr>
                <w:rFonts w:ascii="Calibri" w:hAnsi="Calibri" w:eastAsia="Microsoft YaHei"/>
              </w:rPr>
              <w:t>做 5 分钟 demo、10 页 pitch deck、投资方 FAQ、商业版产品截图。</w:t>
            </w:r>
          </w:p>
        </w:tc>
      </w:tr>
      <w:tr>
        <w:tc>
          <w:tcPr>
            <w:tcW w:type="dxa" w:w="1944"/>
            <w:tcMar>
              <w:top w:w="80" w:type="dxa"/>
              <w:start w:w="120" w:type="dxa"/>
              <w:bottom w:w="80" w:type="dxa"/>
              <w:end w:w="120" w:type="dxa"/>
            </w:tcMar>
            <w:vAlign w:val="center"/>
          </w:tcPr>
          <w:p>
            <w:pPr>
              <w:spacing w:after="0"/>
              <w:jc w:val="center"/>
            </w:pPr>
            <w:r>
              <w:rPr>
                <w:rFonts w:ascii="Calibri" w:hAnsi="Calibri" w:eastAsia="Microsoft YaHei"/>
              </w:rPr>
              <w:t>部署边界</w:t>
            </w:r>
          </w:p>
        </w:tc>
        <w:tc>
          <w:tcPr>
            <w:tcW w:type="dxa" w:w="4320"/>
            <w:tcMar>
              <w:top w:w="80" w:type="dxa"/>
              <w:start w:w="120" w:type="dxa"/>
              <w:bottom w:w="80" w:type="dxa"/>
              <w:end w:w="120" w:type="dxa"/>
            </w:tcMar>
            <w:vAlign w:val="center"/>
          </w:tcPr>
          <w:p>
            <w:pPr>
              <w:spacing w:after="0"/>
            </w:pPr>
            <w:r>
              <w:rPr>
                <w:rFonts w:ascii="Calibri" w:hAnsi="Calibri" w:eastAsia="Microsoft YaHei"/>
              </w:rPr>
              <w:t>E08 full sidecar 已审计关闭，但不等于 cloud-specific KMS deployment 或生产运维全部完成。</w:t>
            </w:r>
          </w:p>
        </w:tc>
        <w:tc>
          <w:tcPr>
            <w:tcW w:type="dxa" w:w="3096"/>
            <w:tcMar>
              <w:top w:w="80" w:type="dxa"/>
              <w:start w:w="120" w:type="dxa"/>
              <w:bottom w:w="80" w:type="dxa"/>
              <w:end w:w="120" w:type="dxa"/>
            </w:tcMar>
            <w:vAlign w:val="center"/>
          </w:tcPr>
          <w:p>
            <w:pPr>
              <w:spacing w:after="0"/>
            </w:pPr>
            <w:r>
              <w:rPr>
                <w:rFonts w:ascii="Calibri" w:hAnsi="Calibri" w:eastAsia="Microsoft YaHei"/>
              </w:rPr>
              <w:t>补云部署故事、operator runbook、监控指标、事故恢复演示。</w:t>
            </w:r>
          </w:p>
        </w:tc>
      </w:tr>
      <w:tr>
        <w:tc>
          <w:tcPr>
            <w:tcW w:type="dxa" w:w="1944"/>
            <w:tcMar>
              <w:top w:w="80" w:type="dxa"/>
              <w:start w:w="120" w:type="dxa"/>
              <w:bottom w:w="80" w:type="dxa"/>
              <w:end w:w="120" w:type="dxa"/>
            </w:tcMar>
            <w:vAlign w:val="center"/>
          </w:tcPr>
          <w:p>
            <w:pPr>
              <w:spacing w:after="0"/>
              <w:jc w:val="center"/>
            </w:pPr>
            <w:r>
              <w:rPr>
                <w:rFonts w:ascii="Calibri" w:hAnsi="Calibri" w:eastAsia="Microsoft YaHei"/>
              </w:rPr>
              <w:t>市场叙事风险</w:t>
            </w:r>
          </w:p>
        </w:tc>
        <w:tc>
          <w:tcPr>
            <w:tcW w:type="dxa" w:w="4320"/>
            <w:tcMar>
              <w:top w:w="80" w:type="dxa"/>
              <w:start w:w="120" w:type="dxa"/>
              <w:bottom w:w="80" w:type="dxa"/>
              <w:end w:w="120" w:type="dxa"/>
            </w:tcMar>
            <w:vAlign w:val="center"/>
          </w:tcPr>
          <w:p>
            <w:pPr>
              <w:spacing w:after="0"/>
            </w:pPr>
            <w:r>
              <w:rPr>
                <w:rFonts w:ascii="Calibri" w:hAnsi="Calibri" w:eastAsia="Microsoft YaHei"/>
              </w:rPr>
              <w:t>“Agent 平台”赛道拥挤，若只说多智能体/画布会被认为同质化。</w:t>
            </w:r>
          </w:p>
        </w:tc>
        <w:tc>
          <w:tcPr>
            <w:tcW w:type="dxa" w:w="3096"/>
            <w:tcMar>
              <w:top w:w="80" w:type="dxa"/>
              <w:start w:w="120" w:type="dxa"/>
              <w:bottom w:w="80" w:type="dxa"/>
              <w:end w:w="120" w:type="dxa"/>
            </w:tcMar>
            <w:vAlign w:val="center"/>
          </w:tcPr>
          <w:p>
            <w:pPr>
              <w:spacing w:after="0"/>
            </w:pPr>
            <w:r>
              <w:rPr>
                <w:rFonts w:ascii="Calibri" w:hAnsi="Calibri" w:eastAsia="Microsoft YaHei"/>
              </w:rPr>
              <w:t>坚持“可验证、可复用、可治理的 AI 工作流工程平台”定位。</w:t>
            </w:r>
          </w:p>
        </w:tc>
      </w:tr>
    </w:tbl>
    <w:p>
      <w:pPr>
        <w:spacing w:after="40"/>
      </w:pPr>
    </w:p>
    <w:p>
      <w:pPr>
        <w:pStyle w:val="Heading1"/>
      </w:pPr>
      <w:r>
        <w:t>8. 建议的下一阶段路线图</w:t>
      </w:r>
    </w:p>
    <w:p>
      <w:r>
        <w:rPr>
          <w:rFonts w:ascii="Calibri" w:hAnsi="Calibri" w:eastAsia="Microsoft YaHei"/>
          <w:b w:val="0"/>
          <w:i w:val="0"/>
        </w:rPr>
        <w:t>下一阶段不建议继续无限增加内部技术切片。更好的路线是把现有技术资产打包成投资方和试点客户能理解的外部证据：demo、真实人类实验、垂直场景、部署故事和指标面板。</w:t>
      </w:r>
    </w:p>
    <w:tbl>
      <w:tblPr>
        <w:tblStyle w:val="TableGrid"/>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1440"/>
            <w:shd w:fill="E8EEF5"/>
            <w:tcMar>
              <w:top w:w="80" w:type="dxa"/>
              <w:start w:w="120" w:type="dxa"/>
              <w:bottom w:w="80" w:type="dxa"/>
              <w:end w:w="120" w:type="dxa"/>
            </w:tcMar>
            <w:vAlign w:val="center"/>
          </w:tcPr>
          <w:p>
            <w:pPr>
              <w:spacing w:after="0"/>
            </w:pPr>
            <w:r>
              <w:rPr>
                <w:rFonts w:ascii="Calibri" w:hAnsi="Calibri" w:eastAsia="Microsoft YaHei"/>
                <w:b/>
                <w:color w:val="0B2545"/>
              </w:rPr>
              <w:t>时间</w:t>
            </w:r>
          </w:p>
        </w:tc>
        <w:tc>
          <w:tcPr>
            <w:tcW w:type="dxa" w:w="2736"/>
            <w:shd w:fill="E8EEF5"/>
            <w:tcMar>
              <w:top w:w="80" w:type="dxa"/>
              <w:start w:w="120" w:type="dxa"/>
              <w:bottom w:w="80" w:type="dxa"/>
              <w:end w:w="120" w:type="dxa"/>
            </w:tcMar>
            <w:vAlign w:val="center"/>
          </w:tcPr>
          <w:p>
            <w:pPr>
              <w:spacing w:after="0"/>
            </w:pPr>
            <w:r>
              <w:rPr>
                <w:rFonts w:ascii="Calibri" w:hAnsi="Calibri" w:eastAsia="Microsoft YaHei"/>
                <w:b/>
                <w:color w:val="0B2545"/>
              </w:rPr>
              <w:t>目标</w:t>
            </w:r>
          </w:p>
        </w:tc>
        <w:tc>
          <w:tcPr>
            <w:tcW w:type="dxa" w:w="5184"/>
            <w:shd w:fill="E8EEF5"/>
            <w:tcMar>
              <w:top w:w="80" w:type="dxa"/>
              <w:start w:w="120" w:type="dxa"/>
              <w:bottom w:w="80" w:type="dxa"/>
              <w:end w:w="120" w:type="dxa"/>
            </w:tcMar>
            <w:vAlign w:val="center"/>
          </w:tcPr>
          <w:p>
            <w:pPr>
              <w:spacing w:after="0"/>
            </w:pPr>
            <w:r>
              <w:rPr>
                <w:rFonts w:ascii="Calibri" w:hAnsi="Calibri" w:eastAsia="Microsoft YaHei"/>
                <w:b/>
                <w:color w:val="0B2545"/>
              </w:rPr>
              <w:t>交付物</w:t>
            </w:r>
          </w:p>
        </w:tc>
      </w:tr>
      <w:tr>
        <w:tc>
          <w:tcPr>
            <w:tcW w:type="dxa" w:w="1440"/>
            <w:tcMar>
              <w:top w:w="80" w:type="dxa"/>
              <w:start w:w="120" w:type="dxa"/>
              <w:bottom w:w="80" w:type="dxa"/>
              <w:end w:w="120" w:type="dxa"/>
            </w:tcMar>
            <w:vAlign w:val="center"/>
          </w:tcPr>
          <w:p>
            <w:pPr>
              <w:spacing w:after="0"/>
              <w:jc w:val="center"/>
            </w:pPr>
            <w:r>
              <w:rPr>
                <w:rFonts w:ascii="Calibri" w:hAnsi="Calibri" w:eastAsia="Microsoft YaHei"/>
              </w:rPr>
              <w:t>0-2 周</w:t>
            </w:r>
          </w:p>
        </w:tc>
        <w:tc>
          <w:tcPr>
            <w:tcW w:type="dxa" w:w="2736"/>
            <w:tcMar>
              <w:top w:w="80" w:type="dxa"/>
              <w:start w:w="120" w:type="dxa"/>
              <w:bottom w:w="80" w:type="dxa"/>
              <w:end w:w="120" w:type="dxa"/>
            </w:tcMar>
            <w:vAlign w:val="center"/>
          </w:tcPr>
          <w:p>
            <w:pPr>
              <w:spacing w:after="0"/>
            </w:pPr>
            <w:r>
              <w:rPr>
                <w:rFonts w:ascii="Calibri" w:hAnsi="Calibri" w:eastAsia="Microsoft YaHei"/>
              </w:rPr>
              <w:t>把项目讲清楚</w:t>
            </w:r>
          </w:p>
        </w:tc>
        <w:tc>
          <w:tcPr>
            <w:tcW w:type="dxa" w:w="5184"/>
            <w:tcMar>
              <w:top w:w="80" w:type="dxa"/>
              <w:start w:w="120" w:type="dxa"/>
              <w:bottom w:w="80" w:type="dxa"/>
              <w:end w:w="120" w:type="dxa"/>
            </w:tcMar>
            <w:vAlign w:val="center"/>
          </w:tcPr>
          <w:p>
            <w:pPr>
              <w:spacing w:after="0"/>
            </w:pPr>
            <w:r>
              <w:rPr>
                <w:rFonts w:ascii="Calibri" w:hAnsi="Calibri" w:eastAsia="Microsoft YaHei"/>
              </w:rPr>
              <w:t>投资方 pitch deck、5 分钟 demo 脚本、非技术 FAQ、核心概念图。</w:t>
            </w:r>
          </w:p>
        </w:tc>
      </w:tr>
      <w:tr>
        <w:tc>
          <w:tcPr>
            <w:tcW w:type="dxa" w:w="1440"/>
            <w:tcMar>
              <w:top w:w="80" w:type="dxa"/>
              <w:start w:w="120" w:type="dxa"/>
              <w:bottom w:w="80" w:type="dxa"/>
              <w:end w:w="120" w:type="dxa"/>
            </w:tcMar>
            <w:vAlign w:val="center"/>
          </w:tcPr>
          <w:p>
            <w:pPr>
              <w:spacing w:after="0"/>
              <w:jc w:val="center"/>
            </w:pPr>
            <w:r>
              <w:rPr>
                <w:rFonts w:ascii="Calibri" w:hAnsi="Calibri" w:eastAsia="Microsoft YaHei"/>
              </w:rPr>
              <w:t>2-4 周</w:t>
            </w:r>
          </w:p>
        </w:tc>
        <w:tc>
          <w:tcPr>
            <w:tcW w:type="dxa" w:w="2736"/>
            <w:tcMar>
              <w:top w:w="80" w:type="dxa"/>
              <w:start w:w="120" w:type="dxa"/>
              <w:bottom w:w="80" w:type="dxa"/>
              <w:end w:w="120" w:type="dxa"/>
            </w:tcMar>
            <w:vAlign w:val="center"/>
          </w:tcPr>
          <w:p>
            <w:pPr>
              <w:spacing w:after="0"/>
            </w:pPr>
            <w:r>
              <w:rPr>
                <w:rFonts w:ascii="Calibri" w:hAnsi="Calibri" w:eastAsia="Microsoft YaHei"/>
              </w:rPr>
              <w:t>补 E02 真实外部证据</w:t>
            </w:r>
          </w:p>
        </w:tc>
        <w:tc>
          <w:tcPr>
            <w:tcW w:type="dxa" w:w="5184"/>
            <w:tcMar>
              <w:top w:w="80" w:type="dxa"/>
              <w:start w:w="120" w:type="dxa"/>
              <w:bottom w:w="80" w:type="dxa"/>
              <w:end w:w="120" w:type="dxa"/>
            </w:tcMar>
            <w:vAlign w:val="center"/>
          </w:tcPr>
          <w:p>
            <w:pPr>
              <w:spacing w:after="0"/>
            </w:pPr>
            <w:r>
              <w:rPr>
                <w:rFonts w:ascii="Calibri" w:hAnsi="Calibri" w:eastAsia="Microsoft YaHei"/>
              </w:rPr>
              <w:t>至少 5 名参与者的 human panel CSV、analyzer output、analysis summary、更新后的 ledger。</w:t>
            </w:r>
          </w:p>
        </w:tc>
      </w:tr>
      <w:tr>
        <w:tc>
          <w:tcPr>
            <w:tcW w:type="dxa" w:w="1440"/>
            <w:tcMar>
              <w:top w:w="80" w:type="dxa"/>
              <w:start w:w="120" w:type="dxa"/>
              <w:bottom w:w="80" w:type="dxa"/>
              <w:end w:w="120" w:type="dxa"/>
            </w:tcMar>
            <w:vAlign w:val="center"/>
          </w:tcPr>
          <w:p>
            <w:pPr>
              <w:spacing w:after="0"/>
              <w:jc w:val="center"/>
            </w:pPr>
            <w:r>
              <w:rPr>
                <w:rFonts w:ascii="Calibri" w:hAnsi="Calibri" w:eastAsia="Microsoft YaHei"/>
              </w:rPr>
              <w:t>1-2 月</w:t>
            </w:r>
          </w:p>
        </w:tc>
        <w:tc>
          <w:tcPr>
            <w:tcW w:type="dxa" w:w="2736"/>
            <w:tcMar>
              <w:top w:w="80" w:type="dxa"/>
              <w:start w:w="120" w:type="dxa"/>
              <w:bottom w:w="80" w:type="dxa"/>
              <w:end w:w="120" w:type="dxa"/>
            </w:tcMar>
            <w:vAlign w:val="center"/>
          </w:tcPr>
          <w:p>
            <w:pPr>
              <w:spacing w:after="0"/>
            </w:pPr>
            <w:r>
              <w:rPr>
                <w:rFonts w:ascii="Calibri" w:hAnsi="Calibri" w:eastAsia="Microsoft YaHei"/>
              </w:rPr>
              <w:t>做一个行业试点</w:t>
            </w:r>
          </w:p>
        </w:tc>
        <w:tc>
          <w:tcPr>
            <w:tcW w:type="dxa" w:w="5184"/>
            <w:tcMar>
              <w:top w:w="80" w:type="dxa"/>
              <w:start w:w="120" w:type="dxa"/>
              <w:bottom w:w="80" w:type="dxa"/>
              <w:end w:w="120" w:type="dxa"/>
            </w:tcMar>
            <w:vAlign w:val="center"/>
          </w:tcPr>
          <w:p>
            <w:pPr>
              <w:spacing w:after="0"/>
            </w:pPr>
            <w:r>
              <w:rPr>
                <w:rFonts w:ascii="Calibri" w:hAnsi="Calibri" w:eastAsia="Microsoft YaHei"/>
              </w:rPr>
              <w:t>选择一个业务场景，交付可运行 workflow、测试报告、成本/时间/质量对比。</w:t>
            </w:r>
          </w:p>
        </w:tc>
      </w:tr>
      <w:tr>
        <w:tc>
          <w:tcPr>
            <w:tcW w:type="dxa" w:w="1440"/>
            <w:tcMar>
              <w:top w:w="80" w:type="dxa"/>
              <w:start w:w="120" w:type="dxa"/>
              <w:bottom w:w="80" w:type="dxa"/>
              <w:end w:w="120" w:type="dxa"/>
            </w:tcMar>
            <w:vAlign w:val="center"/>
          </w:tcPr>
          <w:p>
            <w:pPr>
              <w:spacing w:after="0"/>
              <w:jc w:val="center"/>
            </w:pPr>
            <w:r>
              <w:rPr>
                <w:rFonts w:ascii="Calibri" w:hAnsi="Calibri" w:eastAsia="Microsoft YaHei"/>
              </w:rPr>
              <w:t>2-3 月</w:t>
            </w:r>
          </w:p>
        </w:tc>
        <w:tc>
          <w:tcPr>
            <w:tcW w:type="dxa" w:w="2736"/>
            <w:tcMar>
              <w:top w:w="80" w:type="dxa"/>
              <w:start w:w="120" w:type="dxa"/>
              <w:bottom w:w="80" w:type="dxa"/>
              <w:end w:w="120" w:type="dxa"/>
            </w:tcMar>
            <w:vAlign w:val="center"/>
          </w:tcPr>
          <w:p>
            <w:pPr>
              <w:spacing w:after="0"/>
            </w:pPr>
            <w:r>
              <w:rPr>
                <w:rFonts w:ascii="Calibri" w:hAnsi="Calibri" w:eastAsia="Microsoft YaHei"/>
              </w:rPr>
              <w:t>产品化外部体验</w:t>
            </w:r>
          </w:p>
        </w:tc>
        <w:tc>
          <w:tcPr>
            <w:tcW w:type="dxa" w:w="5184"/>
            <w:tcMar>
              <w:top w:w="80" w:type="dxa"/>
              <w:start w:w="120" w:type="dxa"/>
              <w:bottom w:w="80" w:type="dxa"/>
              <w:end w:w="120" w:type="dxa"/>
            </w:tcMar>
            <w:vAlign w:val="center"/>
          </w:tcPr>
          <w:p>
            <w:pPr>
              <w:spacing w:after="0"/>
            </w:pPr>
            <w:r>
              <w:rPr>
                <w:rFonts w:ascii="Calibri" w:hAnsi="Calibri" w:eastAsia="Microsoft YaHei"/>
              </w:rPr>
              <w:t>Studio demo、模板库展示、监控面板、权限/预算/审计演示、部署说明。</w:t>
            </w:r>
          </w:p>
        </w:tc>
      </w:tr>
      <w:tr>
        <w:tc>
          <w:tcPr>
            <w:tcW w:type="dxa" w:w="1440"/>
            <w:tcMar>
              <w:top w:w="80" w:type="dxa"/>
              <w:start w:w="120" w:type="dxa"/>
              <w:bottom w:w="80" w:type="dxa"/>
              <w:end w:w="120" w:type="dxa"/>
            </w:tcMar>
            <w:vAlign w:val="center"/>
          </w:tcPr>
          <w:p>
            <w:pPr>
              <w:spacing w:after="0"/>
              <w:jc w:val="center"/>
            </w:pPr>
            <w:r>
              <w:rPr>
                <w:rFonts w:ascii="Calibri" w:hAnsi="Calibri" w:eastAsia="Microsoft YaHei"/>
              </w:rPr>
              <w:t>3-6 月</w:t>
            </w:r>
          </w:p>
        </w:tc>
        <w:tc>
          <w:tcPr>
            <w:tcW w:type="dxa" w:w="2736"/>
            <w:tcMar>
              <w:top w:w="80" w:type="dxa"/>
              <w:start w:w="120" w:type="dxa"/>
              <w:bottom w:w="80" w:type="dxa"/>
              <w:end w:w="120" w:type="dxa"/>
            </w:tcMar>
            <w:vAlign w:val="center"/>
          </w:tcPr>
          <w:p>
            <w:pPr>
              <w:spacing w:after="0"/>
            </w:pPr>
            <w:r>
              <w:rPr>
                <w:rFonts w:ascii="Calibri" w:hAnsi="Calibri" w:eastAsia="Microsoft YaHei"/>
              </w:rPr>
              <w:t>形成商业验证</w:t>
            </w:r>
          </w:p>
        </w:tc>
        <w:tc>
          <w:tcPr>
            <w:tcW w:type="dxa" w:w="5184"/>
            <w:tcMar>
              <w:top w:w="80" w:type="dxa"/>
              <w:start w:w="120" w:type="dxa"/>
              <w:bottom w:w="80" w:type="dxa"/>
              <w:end w:w="120" w:type="dxa"/>
            </w:tcMar>
            <w:vAlign w:val="center"/>
          </w:tcPr>
          <w:p>
            <w:pPr>
              <w:spacing w:after="0"/>
            </w:pPr>
            <w:r>
              <w:rPr>
                <w:rFonts w:ascii="Calibri" w:hAnsi="Calibri" w:eastAsia="Microsoft YaHei"/>
              </w:rPr>
              <w:t>试点反馈、使用指标、复用模板数、失败修复率、潜在付费客户名单。</w:t>
            </w:r>
          </w:p>
        </w:tc>
      </w:tr>
    </w:tbl>
    <w:p>
      <w:pPr>
        <w:spacing w:after="40"/>
      </w:pPr>
    </w:p>
    <w:p>
      <w:pPr>
        <w:pStyle w:val="ListNumber"/>
      </w:pPr>
      <w:r>
        <w:rPr>
          <w:rFonts w:ascii="Calibri" w:hAnsi="Calibri" w:eastAsia="Microsoft YaHei"/>
        </w:rPr>
        <w:t>先把技术资产转译成一个投资人能看懂的 demo：从自然语言需求，到生成 BlockFlow，到测试失败，到局部修复，到 Harness 审计。</w:t>
      </w:r>
    </w:p>
    <w:p>
      <w:pPr>
        <w:pStyle w:val="ListNumber"/>
      </w:pPr>
      <w:r>
        <w:rPr>
          <w:rFonts w:ascii="Calibri" w:hAnsi="Calibri" w:eastAsia="Microsoft YaHei"/>
        </w:rPr>
        <w:t>把 E02 补成真实人类实验，否则“可读测试降低审阅成本”只能作为 proxy 结论。</w:t>
      </w:r>
    </w:p>
    <w:p>
      <w:pPr>
        <w:pStyle w:val="ListNumber"/>
      </w:pPr>
      <w:r>
        <w:rPr>
          <w:rFonts w:ascii="Calibri" w:hAnsi="Calibri" w:eastAsia="Microsoft YaHei"/>
        </w:rPr>
        <w:t>选择一个足够具体的行业场景，而不是泛泛说企业自动化；投资人需要看到用户和任务。</w:t>
      </w:r>
    </w:p>
    <w:p>
      <w:pPr>
        <w:pStyle w:val="ListNumber"/>
      </w:pPr>
      <w:r>
        <w:rPr>
          <w:rFonts w:ascii="Calibri" w:hAnsi="Calibri" w:eastAsia="Microsoft YaHei"/>
        </w:rPr>
        <w:t>保留技术诚实：不要说已经完成云生产部署、不要说所有实验完成、不要说已有 PMF。</w:t>
      </w:r>
    </w:p>
    <w:p>
      <w:pPr>
        <w:pStyle w:val="Heading1"/>
      </w:pPr>
      <w:r>
        <w:t>9. 投资方尽调时应展示的材料</w:t>
      </w:r>
    </w:p>
    <w:tbl>
      <w:tblPr>
        <w:tblStyle w:val="TableGrid"/>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2376"/>
            <w:shd w:fill="E8EEF5"/>
            <w:tcMar>
              <w:top w:w="80" w:type="dxa"/>
              <w:start w:w="120" w:type="dxa"/>
              <w:bottom w:w="80" w:type="dxa"/>
              <w:end w:w="120" w:type="dxa"/>
            </w:tcMar>
            <w:vAlign w:val="center"/>
          </w:tcPr>
          <w:p>
            <w:pPr>
              <w:spacing w:after="0"/>
            </w:pPr>
            <w:r>
              <w:rPr>
                <w:rFonts w:ascii="Calibri" w:hAnsi="Calibri" w:eastAsia="Microsoft YaHei"/>
                <w:b/>
                <w:color w:val="0B2545"/>
              </w:rPr>
              <w:t>材料</w:t>
            </w:r>
          </w:p>
        </w:tc>
        <w:tc>
          <w:tcPr>
            <w:tcW w:type="dxa" w:w="3600"/>
            <w:shd w:fill="E8EEF5"/>
            <w:tcMar>
              <w:top w:w="80" w:type="dxa"/>
              <w:start w:w="120" w:type="dxa"/>
              <w:bottom w:w="80" w:type="dxa"/>
              <w:end w:w="120" w:type="dxa"/>
            </w:tcMar>
            <w:vAlign w:val="center"/>
          </w:tcPr>
          <w:p>
            <w:pPr>
              <w:spacing w:after="0"/>
            </w:pPr>
            <w:r>
              <w:rPr>
                <w:rFonts w:ascii="Calibri" w:hAnsi="Calibri" w:eastAsia="Microsoft YaHei"/>
                <w:b/>
                <w:color w:val="0B2545"/>
              </w:rPr>
              <w:t>用途</w:t>
            </w:r>
          </w:p>
        </w:tc>
        <w:tc>
          <w:tcPr>
            <w:tcW w:type="dxa" w:w="3384"/>
            <w:shd w:fill="E8EEF5"/>
            <w:tcMar>
              <w:top w:w="80" w:type="dxa"/>
              <w:start w:w="120" w:type="dxa"/>
              <w:bottom w:w="80" w:type="dxa"/>
              <w:end w:w="120" w:type="dxa"/>
            </w:tcMar>
            <w:vAlign w:val="center"/>
          </w:tcPr>
          <w:p>
            <w:pPr>
              <w:spacing w:after="0"/>
            </w:pPr>
            <w:r>
              <w:rPr>
                <w:rFonts w:ascii="Calibri" w:hAnsi="Calibri" w:eastAsia="Microsoft YaHei"/>
                <w:b/>
                <w:color w:val="0B2545"/>
              </w:rPr>
              <w:t>当前状态</w:t>
            </w:r>
          </w:p>
        </w:tc>
      </w:tr>
      <w:tr>
        <w:tc>
          <w:tcPr>
            <w:tcW w:type="dxa" w:w="2376"/>
            <w:tcMar>
              <w:top w:w="80" w:type="dxa"/>
              <w:start w:w="120" w:type="dxa"/>
              <w:bottom w:w="80" w:type="dxa"/>
              <w:end w:w="120" w:type="dxa"/>
            </w:tcMar>
            <w:vAlign w:val="center"/>
          </w:tcPr>
          <w:p>
            <w:pPr>
              <w:spacing w:after="0"/>
              <w:jc w:val="center"/>
            </w:pPr>
            <w:r>
              <w:rPr>
                <w:rFonts w:ascii="Calibri" w:hAnsi="Calibri" w:eastAsia="Microsoft YaHei"/>
              </w:rPr>
              <w:t>非技术项目报告</w:t>
            </w:r>
          </w:p>
        </w:tc>
        <w:tc>
          <w:tcPr>
            <w:tcW w:type="dxa" w:w="3600"/>
            <w:tcMar>
              <w:top w:w="80" w:type="dxa"/>
              <w:start w:w="120" w:type="dxa"/>
              <w:bottom w:w="80" w:type="dxa"/>
              <w:end w:w="120" w:type="dxa"/>
            </w:tcMar>
            <w:vAlign w:val="center"/>
          </w:tcPr>
          <w:p>
            <w:pPr>
              <w:spacing w:after="0"/>
            </w:pPr>
            <w:r>
              <w:rPr>
                <w:rFonts w:ascii="Calibri" w:hAnsi="Calibri" w:eastAsia="Microsoft YaHei"/>
              </w:rPr>
              <w:t>让投资人理解项目价值和阶段。</w:t>
            </w:r>
          </w:p>
        </w:tc>
        <w:tc>
          <w:tcPr>
            <w:tcW w:type="dxa" w:w="3384"/>
            <w:tcMar>
              <w:top w:w="80" w:type="dxa"/>
              <w:start w:w="120" w:type="dxa"/>
              <w:bottom w:w="80" w:type="dxa"/>
              <w:end w:w="120" w:type="dxa"/>
            </w:tcMar>
            <w:vAlign w:val="center"/>
          </w:tcPr>
          <w:p>
            <w:pPr>
              <w:spacing w:after="0"/>
            </w:pPr>
            <w:r>
              <w:rPr>
                <w:rFonts w:ascii="Calibri" w:hAnsi="Calibri" w:eastAsia="Microsoft YaHei"/>
              </w:rPr>
              <w:t>本报告。</w:t>
            </w:r>
          </w:p>
        </w:tc>
      </w:tr>
      <w:tr>
        <w:tc>
          <w:tcPr>
            <w:tcW w:type="dxa" w:w="2376"/>
            <w:tcMar>
              <w:top w:w="80" w:type="dxa"/>
              <w:start w:w="120" w:type="dxa"/>
              <w:bottom w:w="80" w:type="dxa"/>
              <w:end w:w="120" w:type="dxa"/>
            </w:tcMar>
            <w:vAlign w:val="center"/>
          </w:tcPr>
          <w:p>
            <w:pPr>
              <w:spacing w:after="0"/>
              <w:jc w:val="center"/>
            </w:pPr>
            <w:r>
              <w:rPr>
                <w:rFonts w:ascii="Calibri" w:hAnsi="Calibri" w:eastAsia="Microsoft YaHei"/>
              </w:rPr>
              <w:t>技术/实验详报</w:t>
            </w:r>
          </w:p>
        </w:tc>
        <w:tc>
          <w:tcPr>
            <w:tcW w:type="dxa" w:w="3600"/>
            <w:tcMar>
              <w:top w:w="80" w:type="dxa"/>
              <w:start w:w="120" w:type="dxa"/>
              <w:bottom w:w="80" w:type="dxa"/>
              <w:end w:w="120" w:type="dxa"/>
            </w:tcMar>
            <w:vAlign w:val="center"/>
          </w:tcPr>
          <w:p>
            <w:pPr>
              <w:spacing w:after="0"/>
            </w:pPr>
            <w:r>
              <w:rPr>
                <w:rFonts w:ascii="Calibri" w:hAnsi="Calibri" w:eastAsia="Microsoft YaHei"/>
              </w:rPr>
              <w:t>给技术顾问和 CTO 尽调。</w:t>
            </w:r>
          </w:p>
        </w:tc>
        <w:tc>
          <w:tcPr>
            <w:tcW w:type="dxa" w:w="3384"/>
            <w:tcMar>
              <w:top w:w="80" w:type="dxa"/>
              <w:start w:w="120" w:type="dxa"/>
              <w:bottom w:w="80" w:type="dxa"/>
              <w:end w:w="120" w:type="dxa"/>
            </w:tcMar>
            <w:vAlign w:val="center"/>
          </w:tcPr>
          <w:p>
            <w:pPr>
              <w:spacing w:after="0"/>
            </w:pPr>
            <w:r>
              <w:rPr>
                <w:rFonts w:ascii="Calibri" w:hAnsi="Calibri" w:eastAsia="Microsoft YaHei"/>
              </w:rPr>
              <w:t>docs/v0.2.x_development_experiment_report.docx 已存在。</w:t>
            </w:r>
          </w:p>
        </w:tc>
      </w:tr>
      <w:tr>
        <w:tc>
          <w:tcPr>
            <w:tcW w:type="dxa" w:w="2376"/>
            <w:tcMar>
              <w:top w:w="80" w:type="dxa"/>
              <w:start w:w="120" w:type="dxa"/>
              <w:bottom w:w="80" w:type="dxa"/>
              <w:end w:w="120" w:type="dxa"/>
            </w:tcMar>
            <w:vAlign w:val="center"/>
          </w:tcPr>
          <w:p>
            <w:pPr>
              <w:spacing w:after="0"/>
            </w:pPr>
            <w:r>
              <w:rPr>
                <w:rFonts w:ascii="Calibri" w:hAnsi="Calibri" w:eastAsia="Microsoft YaHei"/>
              </w:rPr>
              <w:t>Demo 视频或现场演示</w:t>
            </w:r>
          </w:p>
        </w:tc>
        <w:tc>
          <w:tcPr>
            <w:tcW w:type="dxa" w:w="3600"/>
            <w:tcMar>
              <w:top w:w="80" w:type="dxa"/>
              <w:start w:w="120" w:type="dxa"/>
              <w:bottom w:w="80" w:type="dxa"/>
              <w:end w:w="120" w:type="dxa"/>
            </w:tcMar>
            <w:vAlign w:val="center"/>
          </w:tcPr>
          <w:p>
            <w:pPr>
              <w:spacing w:after="0"/>
            </w:pPr>
            <w:r>
              <w:rPr>
                <w:rFonts w:ascii="Calibri" w:hAnsi="Calibri" w:eastAsia="Microsoft YaHei"/>
              </w:rPr>
              <w:t>降低理解成本，证明不是纸面系统。</w:t>
            </w:r>
          </w:p>
        </w:tc>
        <w:tc>
          <w:tcPr>
            <w:tcW w:type="dxa" w:w="3384"/>
            <w:tcMar>
              <w:top w:w="80" w:type="dxa"/>
              <w:start w:w="120" w:type="dxa"/>
              <w:bottom w:w="80" w:type="dxa"/>
              <w:end w:w="120" w:type="dxa"/>
            </w:tcMar>
            <w:vAlign w:val="center"/>
          </w:tcPr>
          <w:p>
            <w:pPr>
              <w:spacing w:after="0"/>
            </w:pPr>
            <w:r>
              <w:rPr>
                <w:rFonts w:ascii="Calibri" w:hAnsi="Calibri" w:eastAsia="Microsoft YaHei"/>
              </w:rPr>
              <w:t>建议补。</w:t>
            </w:r>
          </w:p>
        </w:tc>
      </w:tr>
      <w:tr>
        <w:tc>
          <w:tcPr>
            <w:tcW w:type="dxa" w:w="2376"/>
            <w:tcMar>
              <w:top w:w="80" w:type="dxa"/>
              <w:start w:w="120" w:type="dxa"/>
              <w:bottom w:w="80" w:type="dxa"/>
              <w:end w:w="120" w:type="dxa"/>
            </w:tcMar>
            <w:vAlign w:val="center"/>
          </w:tcPr>
          <w:p>
            <w:pPr>
              <w:spacing w:after="0"/>
            </w:pPr>
            <w:r>
              <w:rPr>
                <w:rFonts w:ascii="Calibri" w:hAnsi="Calibri" w:eastAsia="Microsoft YaHei"/>
              </w:rPr>
              <w:t>E02 human panel</w:t>
            </w:r>
          </w:p>
        </w:tc>
        <w:tc>
          <w:tcPr>
            <w:tcW w:type="dxa" w:w="3600"/>
            <w:tcMar>
              <w:top w:w="80" w:type="dxa"/>
              <w:start w:w="120" w:type="dxa"/>
              <w:bottom w:w="80" w:type="dxa"/>
              <w:end w:w="120" w:type="dxa"/>
            </w:tcMar>
            <w:vAlign w:val="center"/>
          </w:tcPr>
          <w:p>
            <w:pPr>
              <w:spacing w:after="0"/>
            </w:pPr>
            <w:r>
              <w:rPr>
                <w:rFonts w:ascii="Calibri" w:hAnsi="Calibri" w:eastAsia="Microsoft YaHei"/>
              </w:rPr>
              <w:t>证明 readable TestFrame 对真实人类有效。</w:t>
            </w:r>
          </w:p>
        </w:tc>
        <w:tc>
          <w:tcPr>
            <w:tcW w:type="dxa" w:w="3384"/>
            <w:tcMar>
              <w:top w:w="80" w:type="dxa"/>
              <w:start w:w="120" w:type="dxa"/>
              <w:bottom w:w="80" w:type="dxa"/>
              <w:end w:w="120" w:type="dxa"/>
            </w:tcMar>
            <w:vAlign w:val="center"/>
          </w:tcPr>
          <w:p>
            <w:pPr>
              <w:spacing w:after="0"/>
            </w:pPr>
            <w:r>
              <w:rPr>
                <w:rFonts w:ascii="Calibri" w:hAnsi="Calibri" w:eastAsia="Microsoft YaHei"/>
              </w:rPr>
              <w:t>准备包完成，真实数据未完成。</w:t>
            </w:r>
          </w:p>
        </w:tc>
      </w:tr>
      <w:tr>
        <w:tc>
          <w:tcPr>
            <w:tcW w:type="dxa" w:w="2376"/>
            <w:tcMar>
              <w:top w:w="80" w:type="dxa"/>
              <w:start w:w="120" w:type="dxa"/>
              <w:bottom w:w="80" w:type="dxa"/>
              <w:end w:w="120" w:type="dxa"/>
            </w:tcMar>
            <w:vAlign w:val="center"/>
          </w:tcPr>
          <w:p>
            <w:pPr>
              <w:spacing w:after="0"/>
              <w:jc w:val="center"/>
            </w:pPr>
            <w:r>
              <w:rPr>
                <w:rFonts w:ascii="Calibri" w:hAnsi="Calibri" w:eastAsia="Microsoft YaHei"/>
              </w:rPr>
              <w:t>行业试点材料</w:t>
            </w:r>
          </w:p>
        </w:tc>
        <w:tc>
          <w:tcPr>
            <w:tcW w:type="dxa" w:w="3600"/>
            <w:tcMar>
              <w:top w:w="80" w:type="dxa"/>
              <w:start w:w="120" w:type="dxa"/>
              <w:bottom w:w="80" w:type="dxa"/>
              <w:end w:w="120" w:type="dxa"/>
            </w:tcMar>
            <w:vAlign w:val="center"/>
          </w:tcPr>
          <w:p>
            <w:pPr>
              <w:spacing w:after="0"/>
            </w:pPr>
            <w:r>
              <w:rPr>
                <w:rFonts w:ascii="Calibri" w:hAnsi="Calibri" w:eastAsia="Microsoft YaHei"/>
              </w:rPr>
              <w:t>证明有真实客户问题。</w:t>
            </w:r>
          </w:p>
        </w:tc>
        <w:tc>
          <w:tcPr>
            <w:tcW w:type="dxa" w:w="3384"/>
            <w:tcMar>
              <w:top w:w="80" w:type="dxa"/>
              <w:start w:w="120" w:type="dxa"/>
              <w:bottom w:w="80" w:type="dxa"/>
              <w:end w:w="120" w:type="dxa"/>
            </w:tcMar>
            <w:vAlign w:val="center"/>
          </w:tcPr>
          <w:p>
            <w:pPr>
              <w:spacing w:after="0"/>
            </w:pPr>
            <w:r>
              <w:rPr>
                <w:rFonts w:ascii="Calibri" w:hAnsi="Calibri" w:eastAsia="Microsoft YaHei"/>
              </w:rPr>
              <w:t>建议下一阶段优先做。</w:t>
            </w:r>
          </w:p>
        </w:tc>
      </w:tr>
      <w:tr>
        <w:tc>
          <w:tcPr>
            <w:tcW w:type="dxa" w:w="2376"/>
            <w:tcMar>
              <w:top w:w="80" w:type="dxa"/>
              <w:start w:w="120" w:type="dxa"/>
              <w:bottom w:w="80" w:type="dxa"/>
              <w:end w:w="120" w:type="dxa"/>
            </w:tcMar>
            <w:vAlign w:val="center"/>
          </w:tcPr>
          <w:p>
            <w:pPr>
              <w:spacing w:after="0"/>
              <w:jc w:val="center"/>
            </w:pPr>
            <w:r>
              <w:rPr>
                <w:rFonts w:ascii="Calibri" w:hAnsi="Calibri" w:eastAsia="Microsoft YaHei"/>
              </w:rPr>
              <w:t>代码与证据索引</w:t>
            </w:r>
          </w:p>
        </w:tc>
        <w:tc>
          <w:tcPr>
            <w:tcW w:type="dxa" w:w="3600"/>
            <w:tcMar>
              <w:top w:w="80" w:type="dxa"/>
              <w:start w:w="120" w:type="dxa"/>
              <w:bottom w:w="80" w:type="dxa"/>
              <w:end w:w="120" w:type="dxa"/>
            </w:tcMar>
            <w:vAlign w:val="center"/>
          </w:tcPr>
          <w:p>
            <w:pPr>
              <w:spacing w:after="0"/>
            </w:pPr>
            <w:r>
              <w:rPr>
                <w:rFonts w:ascii="Calibri" w:hAnsi="Calibri" w:eastAsia="Microsoft YaHei"/>
              </w:rPr>
              <w:t>支持技术尽调。</w:t>
            </w:r>
          </w:p>
        </w:tc>
        <w:tc>
          <w:tcPr>
            <w:tcW w:type="dxa" w:w="3384"/>
            <w:tcMar>
              <w:top w:w="80" w:type="dxa"/>
              <w:start w:w="120" w:type="dxa"/>
              <w:bottom w:w="80" w:type="dxa"/>
              <w:end w:w="120" w:type="dxa"/>
            </w:tcMar>
            <w:vAlign w:val="center"/>
          </w:tcPr>
          <w:p>
            <w:pPr>
              <w:spacing w:after="0"/>
            </w:pPr>
            <w:r>
              <w:rPr>
                <w:rFonts w:ascii="Calibri" w:hAnsi="Calibri" w:eastAsia="Microsoft YaHei"/>
              </w:rPr>
              <w:t>stage reports、ledgers、evidence summaries 已存在。</w:t>
            </w:r>
          </w:p>
        </w:tc>
      </w:tr>
    </w:tbl>
    <w:p>
      <w:pPr>
        <w:spacing w:after="40"/>
      </w:pPr>
    </w:p>
    <w:p>
      <w:pPr>
        <w:pStyle w:val="Heading1"/>
      </w:pPr>
      <w:r>
        <w:t>10. 最终判断</w:t>
      </w:r>
    </w:p>
    <w:tbl>
      <w:tblPr>
        <w:tblStyle w:val="TableGrid"/>
        <w:tblW w:type="dxa" w:w="9360"/>
        <w:jc w:val="left"/>
        <w:tblLook w:firstColumn="1" w:firstRow="1" w:lastColumn="0" w:lastRow="0" w:noHBand="0" w:noVBand="1" w:val="04A0"/>
        <w:tblInd w:w="120" w:type="dxa"/>
      </w:tblPr>
      <w:tblGrid>
        <w:gridCol w:w="9360"/>
      </w:tblGrid>
      <w:tr>
        <w:tc>
          <w:tcPr>
            <w:tcW w:type="dxa" w:w="9360"/>
            <w:shd w:fill="F4F6F9"/>
            <w:tcMar>
              <w:top w:w="130" w:type="dxa"/>
              <w:start w:w="180" w:type="dxa"/>
              <w:bottom w:w="130" w:type="dxa"/>
              <w:end w:w="180" w:type="dxa"/>
            </w:tcMar>
          </w:tcPr>
          <w:p>
            <w:pPr>
              <w:spacing w:after="60"/>
            </w:pPr>
            <w:r>
              <w:rPr>
                <w:rFonts w:ascii="Calibri" w:hAnsi="Calibri" w:eastAsia="Microsoft YaHei"/>
                <w:b/>
                <w:color w:val="1F4D78"/>
              </w:rPr>
              <w:t>建议口径</w:t>
            </w:r>
          </w:p>
          <w:p>
            <w:pPr>
              <w:spacing w:after="0"/>
            </w:pPr>
            <w:r>
              <w:rPr>
                <w:rFonts w:ascii="Calibri" w:hAnsi="Calibri" w:eastAsia="Microsoft YaHei"/>
              </w:rPr>
              <w:t>Lilies 当前应被描述为“技术验证和平台内核已经显著推进、具备企业级 AI 工作流治理潜力的早期项目”。它还不应被描述为“商业闭环完成”或“所有实验完成”。投资方沟通的重点应是：已有技术壁垒真实、下一阶段验证路径清晰、所需补强项明确且可在短周期内交付。</w:t>
            </w:r>
          </w:p>
        </w:tc>
      </w:tr>
    </w:tbl>
    <w:p>
      <w:pPr>
        <w:spacing w:after="40"/>
      </w:pPr>
    </w:p>
    <w:p>
      <w:pPr>
        <w:pStyle w:val="Heading1"/>
      </w:pPr>
      <w:r>
        <w:t>附录：事实边界与关键证据</w:t>
      </w:r>
    </w:p>
    <w:p>
      <w:pPr>
        <w:pStyle w:val="ListBullet"/>
      </w:pPr>
      <w:r>
        <w:rPr>
          <w:rFonts w:ascii="Calibri" w:hAnsi="Calibri" w:eastAsia="Microsoft YaHei"/>
        </w:rPr>
        <w:t>v0.2.x 技术/实验详报：docs/v0.2.x_development_experiment_report.docx。</w:t>
      </w:r>
    </w:p>
    <w:p>
      <w:pPr>
        <w:pStyle w:val="ListBullet"/>
      </w:pPr>
      <w:r>
        <w:rPr>
          <w:rFonts w:ascii="Calibri" w:hAnsi="Calibri" w:eastAsia="Microsoft YaHei"/>
        </w:rPr>
        <w:t>实验总索引：docs/experiment-status/v0.2_experiment_status.md。</w:t>
      </w:r>
    </w:p>
    <w:p>
      <w:pPr>
        <w:pStyle w:val="ListBullet"/>
      </w:pPr>
      <w:r>
        <w:rPr>
          <w:rFonts w:ascii="Calibri" w:hAnsi="Calibri" w:eastAsia="Microsoft YaHei"/>
        </w:rPr>
        <w:t>竞争定位资产：docs/intellectual-assets/asset_lilies_competitive_strategy.md。</w:t>
      </w:r>
    </w:p>
    <w:p>
      <w:pPr>
        <w:pStyle w:val="ListBullet"/>
      </w:pPr>
      <w:r>
        <w:rPr>
          <w:rFonts w:ascii="Calibri" w:hAnsi="Calibri" w:eastAsia="Microsoft YaHei"/>
        </w:rPr>
        <w:t>Harness+LLM 抽象资产：docs/intellectual-assets/asset_harness_llm_composite.md。</w:t>
      </w:r>
    </w:p>
    <w:p>
      <w:pPr>
        <w:pStyle w:val="ListBullet"/>
      </w:pPr>
      <w:r>
        <w:rPr>
          <w:rFonts w:ascii="Calibri" w:hAnsi="Calibri" w:eastAsia="Microsoft YaHei"/>
        </w:rPr>
        <w:t>E02 当前状态：human panel protocol、schema、analyzer、participant packets 已准备；participant rows 仍为 0。</w:t>
      </w:r>
    </w:p>
    <w:p>
      <w:pPr>
        <w:pStyle w:val="ListBullet"/>
      </w:pPr>
      <w:r>
        <w:rPr>
          <w:rFonts w:ascii="Calibri" w:hAnsi="Calibri" w:eastAsia="Microsoft YaHei"/>
        </w:rPr>
        <w:t>E10 当前边界：governed memory productized；unrestricted/background/filesystem memory forbidden。</w:t>
      </w:r>
    </w:p>
    <w:p>
      <w:pPr>
        <w:pStyle w:val="ListBullet"/>
      </w:pPr>
      <w:r>
        <w:rPr>
          <w:rFonts w:ascii="Calibri" w:hAnsi="Calibri" w:eastAsia="Microsoft YaHei"/>
        </w:rPr>
        <w:t>E08 当前边界：full sidecar required surfaces closed；cloud-specific deployment hardening 仍是 optional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95959"/>
        <w:sz w:val="17"/>
      </w:rPr>
      <w:t>Confidential draft - evidence-backed, not a financing prospectus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Microsoft YaHei"/>
        <w:b/>
        <w:color w:val="595959"/>
        <w:sz w:val="18"/>
      </w:rPr>
      <w:t>Lilies investor brief - evidence-based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