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44"/>
        </w:rPr>
        <w:t>E05 Template Reuse-depth Success Condition Validation</w:t>
      </w:r>
    </w:p>
    <w:p>
      <w:pPr>
        <w:spacing w:after="200"/>
      </w:pPr>
      <w:r>
        <w:rPr>
          <w:rFonts w:ascii="Calibri" w:hAnsi="Calibri" w:eastAsia="Calibri"/>
          <w:color w:val="555555"/>
          <w:sz w:val="26"/>
        </w:rPr>
        <w:t>After v0.2.40 Builder/provider timeout boundary</w:t>
      </w:r>
    </w:p>
    <w:p>
      <w:pPr>
        <w:spacing w:after="40"/>
      </w:pPr>
      <w:r>
        <w:rPr>
          <w:rFonts w:ascii="Calibri" w:hAnsi="Calibri" w:eastAsia="Calibri"/>
          <w:b/>
          <w:color w:val="000000"/>
          <w:sz w:val="21"/>
        </w:rPr>
        <w:t xml:space="preserve">Stage: </w:t>
      </w:r>
      <w:r>
        <w:rPr>
          <w:rFonts w:ascii="Calibri" w:hAnsi="Calibri" w:eastAsia="Calibri"/>
          <w:color w:val="000000"/>
          <w:sz w:val="21"/>
        </w:rPr>
        <w:t>v0.2.41_e05_success_condition_after_timeout_boundary</w:t>
      </w:r>
    </w:p>
    <w:p>
      <w:pPr>
        <w:spacing w:after="40"/>
      </w:pPr>
      <w:r>
        <w:rPr>
          <w:rFonts w:ascii="Calibri" w:hAnsi="Calibri" w:eastAsia="Calibri"/>
          <w:b/>
          <w:color w:val="000000"/>
          <w:sz w:val="21"/>
        </w:rPr>
        <w:t xml:space="preserve">Date: </w:t>
      </w:r>
      <w:r>
        <w:rPr>
          <w:rFonts w:ascii="Calibri" w:hAnsi="Calibri" w:eastAsia="Calibri"/>
          <w:color w:val="000000"/>
          <w:sz w:val="21"/>
        </w:rPr>
        <w:t>2026-07-09</w:t>
      </w:r>
    </w:p>
    <w:p>
      <w:pPr>
        <w:spacing w:after="40"/>
      </w:pPr>
      <w:r>
        <w:rPr>
          <w:rFonts w:ascii="Calibri" w:hAnsi="Calibri" w:eastAsia="Calibri"/>
          <w:b/>
          <w:color w:val="000000"/>
          <w:sz w:val="21"/>
        </w:rPr>
        <w:t xml:space="preserve">Provider / model: </w:t>
      </w:r>
      <w:r>
        <w:rPr>
          <w:rFonts w:ascii="Calibri" w:hAnsi="Calibri" w:eastAsia="Calibri"/>
          <w:color w:val="000000"/>
          <w:sz w:val="21"/>
        </w:rPr>
        <w:t>multi / deepseek-v4-pro</w:t>
      </w:r>
    </w:p>
    <w:p>
      <w:pPr>
        <w:spacing w:after="40"/>
      </w:pPr>
      <w:r>
        <w:rPr>
          <w:rFonts w:ascii="Calibri" w:hAnsi="Calibri" w:eastAsia="Calibri"/>
          <w:b/>
          <w:color w:val="000000"/>
          <w:sz w:val="21"/>
        </w:rPr>
        <w:t xml:space="preserve">Raw evidence: </w:t>
      </w:r>
      <w:r>
        <w:rPr>
          <w:rFonts w:ascii="Calibri" w:hAnsi="Calibri" w:eastAsia="Calibri"/>
          <w:color w:val="000000"/>
          <w:sz w:val="21"/>
        </w:rPr>
        <w:t>docs/experiment-status/evidence/experiment_v0.2.41_e05_success_condition_2026_07_09.json</w:t>
      </w:r>
    </w:p>
    <w:p>
      <w:pPr>
        <w:pStyle w:val="Heading1"/>
      </w:pPr>
      <w:r>
        <w:t>1. Background</w:t>
      </w:r>
    </w:p>
    <w:p>
      <w:pPr>
        <w:spacing w:after="120" w:line="300" w:lineRule="auto"/>
      </w:pPr>
      <w:r>
        <w:rPr>
          <w:rFonts w:ascii="Calibri" w:hAnsi="Calibri" w:eastAsia="Calibri"/>
          <w:color w:val="000000"/>
          <w:sz w:val="22"/>
        </w:rPr>
        <w:t>E05 asks whether Template reuse depth improves Builder-generated BlockFlow quality and cost. v0.2.38 showed that template reuse could be more expensive and unstable; v0.2.39 fixed the marketplace template expansion contract; v0.2.40 added a deterministic provider-timeout boundary and Harness metadata. This run returns to E05 with those fixes in place.</w:t>
      </w:r>
    </w:p>
    <w:p>
      <w:pPr>
        <w:pStyle w:val="Heading1"/>
      </w:pPr>
      <w:r>
        <w:t>2. Experiment Design</w:t>
      </w:r>
    </w:p>
    <w:p>
      <w:pPr>
        <w:spacing w:after="120" w:line="300" w:lineRule="auto"/>
      </w:pPr>
      <w:r>
        <w:rPr>
          <w:rFonts w:ascii="Calibri" w:hAnsi="Calibri" w:eastAsia="Calibri"/>
          <w:color w:val="000000"/>
          <w:sz w:val="22"/>
        </w:rPr>
        <w:t>The experiment used the same code-review and repair BlockFlow requirement across three reuse-depth arms. All arms used the configured paid model and the same build budget: max_turns=42, max_repair_cycles=2, per-arm timeout=900s, provider stream timeout=180s.</w:t>
      </w:r>
    </w:p>
    <w:p>
      <w:pPr>
        <w:pStyle w:val="ListBullet"/>
        <w:spacing w:after="80" w:line="300" w:lineRule="auto"/>
      </w:pPr>
      <w:r>
        <w:rPr>
          <w:rFonts w:ascii="Calibri" w:hAnsi="Calibri" w:eastAsia="Calibri"/>
          <w:color w:val="000000"/>
          <w:sz w:val="22"/>
        </w:rPr>
        <w:t>none: templates intentionally disabled, then build from scratch.</w:t>
      </w:r>
    </w:p>
    <w:p>
      <w:pPr>
        <w:pStyle w:val="ListBullet"/>
        <w:spacing w:after="80" w:line="300" w:lineRule="auto"/>
      </w:pPr>
      <w:r>
        <w:rPr>
          <w:rFonts w:ascii="Calibri" w:hAnsi="Calibri" w:eastAsia="Calibri"/>
          <w:color w:val="000000"/>
          <w:sz w:val="22"/>
        </w:rPr>
        <w:t>shallow: call template suggestions and lightly expand a suggested template when useful.</w:t>
      </w:r>
    </w:p>
    <w:p>
      <w:pPr>
        <w:pStyle w:val="ListBullet"/>
        <w:spacing w:after="80" w:line="300" w:lineRule="auto"/>
      </w:pPr>
      <w:r>
        <w:rPr>
          <w:rFonts w:ascii="Calibri" w:hAnsi="Calibri" w:eastAsia="Calibri"/>
          <w:color w:val="000000"/>
          <w:sz w:val="22"/>
        </w:rPr>
        <w:t>deep: compose around reusable template modules where possible.</w:t>
      </w:r>
    </w:p>
    <w:p>
      <w:pPr>
        <w:pStyle w:val="Heading1"/>
      </w:pPr>
      <w:r>
        <w:t>3. Result Summary</w:t>
      </w:r>
    </w:p>
    <w:tbl>
      <w:tblPr>
        <w:tblStyle w:val="TableGrid"/>
        <w:tblW w:type="auto" w:w="0"/>
        <w:tblLook w:firstColumn="1" w:firstRow="1" w:lastColumn="0" w:lastRow="0" w:noHBand="0" w:noVBand="1" w:val="04A0"/>
        <w:jc w:val="left"/>
        <w:tblLayout w:type="fixed"/>
        <w:tblCellMar>
          <w:top w:w="80" w:type="dxa"/>
          <w:start w:w="120" w:type="dxa"/>
          <w:bottom w:w="80" w:type="dxa"/>
          <w:end w:w="120" w:type="dxa"/>
        </w:tblCellMar>
      </w:tblPr>
      <w:tblGrid>
        <w:gridCol w:w="1337"/>
        <w:gridCol w:w="1337"/>
        <w:gridCol w:w="1337"/>
        <w:gridCol w:w="1337"/>
        <w:gridCol w:w="1337"/>
        <w:gridCol w:w="1337"/>
        <w:gridCol w:w="1337"/>
      </w:tblGrid>
      <w:tr>
        <w:tc>
          <w:tcPr>
            <w:tcW w:type="dxa" w:w="1080"/>
            <w:shd w:fill="E8EEF5"/>
            <w:vAlign w:val="center"/>
          </w:tcPr>
          <w:p>
            <w:pPr>
              <w:spacing w:after="0" w:line="276" w:lineRule="auto"/>
            </w:pPr>
            <w:r>
              <w:rPr>
                <w:rFonts w:ascii="Calibri" w:hAnsi="Calibri" w:eastAsia="Calibri"/>
                <w:b/>
                <w:color w:val="0B2545"/>
                <w:sz w:val="20"/>
              </w:rPr>
              <w:t>Depth</w:t>
            </w:r>
          </w:p>
        </w:tc>
        <w:tc>
          <w:tcPr>
            <w:tcW w:type="dxa" w:w="1512"/>
            <w:shd w:fill="E8EEF5"/>
            <w:vAlign w:val="center"/>
          </w:tcPr>
          <w:p>
            <w:pPr>
              <w:spacing w:after="0" w:line="276" w:lineRule="auto"/>
            </w:pPr>
            <w:r>
              <w:rPr>
                <w:rFonts w:ascii="Calibri" w:hAnsi="Calibri" w:eastAsia="Calibri"/>
                <w:b/>
                <w:color w:val="0B2545"/>
                <w:sz w:val="20"/>
              </w:rPr>
              <w:t>Build status</w:t>
            </w:r>
          </w:p>
        </w:tc>
        <w:tc>
          <w:tcPr>
            <w:tcW w:type="dxa" w:w="1152"/>
            <w:shd w:fill="E8EEF5"/>
            <w:vAlign w:val="center"/>
          </w:tcPr>
          <w:p>
            <w:pPr>
              <w:spacing w:after="0" w:line="276" w:lineRule="auto"/>
            </w:pPr>
            <w:r>
              <w:rPr>
                <w:rFonts w:ascii="Calibri" w:hAnsi="Calibri" w:eastAsia="Calibri"/>
                <w:b/>
                <w:color w:val="0B2545"/>
                <w:sz w:val="20"/>
              </w:rPr>
              <w:t>Elapsed</w:t>
            </w:r>
          </w:p>
        </w:tc>
        <w:tc>
          <w:tcPr>
            <w:tcW w:type="dxa" w:w="1296"/>
            <w:shd w:fill="E8EEF5"/>
            <w:vAlign w:val="center"/>
          </w:tcPr>
          <w:p>
            <w:pPr>
              <w:spacing w:after="0" w:line="276" w:lineRule="auto"/>
            </w:pPr>
            <w:r>
              <w:rPr>
                <w:rFonts w:ascii="Calibri" w:hAnsi="Calibri" w:eastAsia="Calibri"/>
                <w:b/>
                <w:color w:val="0B2545"/>
                <w:sz w:val="20"/>
              </w:rPr>
              <w:t>Model/tool</w:t>
            </w:r>
          </w:p>
        </w:tc>
        <w:tc>
          <w:tcPr>
            <w:tcW w:type="dxa" w:w="1512"/>
            <w:shd w:fill="E8EEF5"/>
            <w:vAlign w:val="center"/>
          </w:tcPr>
          <w:p>
            <w:pPr>
              <w:spacing w:after="0" w:line="276" w:lineRule="auto"/>
            </w:pPr>
            <w:r>
              <w:rPr>
                <w:rFonts w:ascii="Calibri" w:hAnsi="Calibri" w:eastAsia="Calibri"/>
                <w:b/>
                <w:color w:val="0B2545"/>
                <w:sz w:val="20"/>
              </w:rPr>
              <w:t>Suggest/expand</w:t>
            </w:r>
          </w:p>
        </w:tc>
        <w:tc>
          <w:tcPr>
            <w:tcW w:type="dxa" w:w="1296"/>
            <w:shd w:fill="E8EEF5"/>
            <w:vAlign w:val="center"/>
          </w:tcPr>
          <w:p>
            <w:pPr>
              <w:spacing w:after="0" w:line="276" w:lineRule="auto"/>
            </w:pPr>
            <w:r>
              <w:rPr>
                <w:rFonts w:ascii="Calibri" w:hAnsi="Calibri" w:eastAsia="Calibri"/>
                <w:b/>
                <w:color w:val="0B2545"/>
                <w:sz w:val="20"/>
              </w:rPr>
              <w:t>Score/pass</w:t>
            </w:r>
          </w:p>
        </w:tc>
        <w:tc>
          <w:tcPr>
            <w:tcW w:type="dxa" w:w="1080"/>
            <w:shd w:fill="E8EEF5"/>
            <w:vAlign w:val="center"/>
          </w:tcPr>
          <w:p>
            <w:pPr>
              <w:spacing w:after="0" w:line="276" w:lineRule="auto"/>
            </w:pPr>
            <w:r>
              <w:rPr>
                <w:rFonts w:ascii="Calibri" w:hAnsi="Calibri" w:eastAsia="Calibri"/>
                <w:b/>
                <w:color w:val="0B2545"/>
                <w:sz w:val="20"/>
              </w:rPr>
              <w:t>Timeout</w:t>
            </w:r>
          </w:p>
        </w:tc>
      </w:tr>
      <w:tr>
        <w:tc>
          <w:tcPr>
            <w:tcW w:type="dxa" w:w="1337"/>
            <w:vAlign w:val="center"/>
          </w:tcPr>
          <w:p>
            <w:pPr>
              <w:spacing w:after="0" w:line="276" w:lineRule="auto"/>
            </w:pPr>
            <w:r>
              <w:rPr>
                <w:rFonts w:ascii="Calibri" w:hAnsi="Calibri" w:eastAsia="Calibri"/>
                <w:b w:val="0"/>
                <w:color w:val="000000"/>
                <w:sz w:val="19"/>
              </w:rPr>
              <w:t>none</w:t>
            </w:r>
          </w:p>
        </w:tc>
        <w:tc>
          <w:tcPr>
            <w:tcW w:type="dxa" w:w="1337"/>
            <w:vAlign w:val="center"/>
          </w:tcPr>
          <w:p>
            <w:pPr>
              <w:spacing w:after="0" w:line="276" w:lineRule="auto"/>
            </w:pPr>
            <w:r>
              <w:rPr>
                <w:rFonts w:ascii="Calibri" w:hAnsi="Calibri" w:eastAsia="Calibri"/>
                <w:b w:val="0"/>
                <w:color w:val="000000"/>
                <w:sz w:val="19"/>
              </w:rPr>
              <w:t>needs_attention</w:t>
            </w:r>
          </w:p>
        </w:tc>
        <w:tc>
          <w:tcPr>
            <w:tcW w:type="dxa" w:w="1337"/>
            <w:vAlign w:val="center"/>
          </w:tcPr>
          <w:p>
            <w:pPr>
              <w:spacing w:after="0" w:line="276" w:lineRule="auto"/>
            </w:pPr>
            <w:r>
              <w:rPr>
                <w:rFonts w:ascii="Calibri" w:hAnsi="Calibri" w:eastAsia="Calibri"/>
                <w:b w:val="0"/>
                <w:color w:val="000000"/>
                <w:sz w:val="19"/>
              </w:rPr>
              <w:t>437.1s</w:t>
            </w:r>
          </w:p>
        </w:tc>
        <w:tc>
          <w:tcPr>
            <w:tcW w:type="dxa" w:w="1337"/>
            <w:vAlign w:val="center"/>
          </w:tcPr>
          <w:p>
            <w:pPr>
              <w:spacing w:after="0" w:line="276" w:lineRule="auto"/>
            </w:pPr>
            <w:r>
              <w:rPr>
                <w:rFonts w:ascii="Calibri" w:hAnsi="Calibri" w:eastAsia="Calibri"/>
                <w:b w:val="0"/>
                <w:color w:val="000000"/>
                <w:sz w:val="19"/>
              </w:rPr>
              <w:t>27 / 45</w:t>
            </w:r>
          </w:p>
        </w:tc>
        <w:tc>
          <w:tcPr>
            <w:tcW w:type="dxa" w:w="1337"/>
            <w:vAlign w:val="center"/>
          </w:tcPr>
          <w:p>
            <w:pPr>
              <w:spacing w:after="0" w:line="276" w:lineRule="auto"/>
            </w:pPr>
            <w:r>
              <w:rPr>
                <w:rFonts w:ascii="Calibri" w:hAnsi="Calibri" w:eastAsia="Calibri"/>
                <w:b w:val="0"/>
                <w:color w:val="000000"/>
                <w:sz w:val="19"/>
              </w:rPr>
              <w:t>1 / 0</w:t>
            </w:r>
          </w:p>
        </w:tc>
        <w:tc>
          <w:tcPr>
            <w:tcW w:type="dxa" w:w="1337"/>
            <w:vAlign w:val="center"/>
          </w:tcPr>
          <w:p>
            <w:pPr>
              <w:spacing w:after="0" w:line="276" w:lineRule="auto"/>
            </w:pPr>
            <w:r>
              <w:rPr>
                <w:rFonts w:ascii="Calibri" w:hAnsi="Calibri" w:eastAsia="Calibri"/>
                <w:b w:val="0"/>
                <w:color w:val="000000"/>
                <w:sz w:val="19"/>
              </w:rPr>
              <w:t>0.85 / 1.0</w:t>
            </w:r>
          </w:p>
        </w:tc>
        <w:tc>
          <w:tcPr>
            <w:tcW w:type="dxa" w:w="1337"/>
            <w:vAlign w:val="center"/>
          </w:tcPr>
          <w:p>
            <w:pPr>
              <w:spacing w:after="0" w:line="276" w:lineRule="auto"/>
            </w:pPr>
            <w:r>
              <w:rPr>
                <w:rFonts w:ascii="Calibri" w:hAnsi="Calibri" w:eastAsia="Calibri"/>
                <w:b w:val="0"/>
                <w:color w:val="000000"/>
                <w:sz w:val="19"/>
              </w:rPr>
              <w:t>yes</w:t>
            </w:r>
          </w:p>
        </w:tc>
      </w:tr>
      <w:tr>
        <w:tc>
          <w:tcPr>
            <w:tcW w:type="dxa" w:w="1337"/>
            <w:vAlign w:val="center"/>
          </w:tcPr>
          <w:p>
            <w:pPr>
              <w:spacing w:after="0" w:line="276" w:lineRule="auto"/>
            </w:pPr>
            <w:r>
              <w:rPr>
                <w:rFonts w:ascii="Calibri" w:hAnsi="Calibri" w:eastAsia="Calibri"/>
                <w:b w:val="0"/>
                <w:color w:val="000000"/>
                <w:sz w:val="19"/>
              </w:rPr>
              <w:t>shallow</w:t>
            </w:r>
          </w:p>
        </w:tc>
        <w:tc>
          <w:tcPr>
            <w:tcW w:type="dxa" w:w="1337"/>
            <w:vAlign w:val="center"/>
          </w:tcPr>
          <w:p>
            <w:pPr>
              <w:spacing w:after="0" w:line="276" w:lineRule="auto"/>
            </w:pPr>
            <w:r>
              <w:rPr>
                <w:rFonts w:ascii="Calibri" w:hAnsi="Calibri" w:eastAsia="Calibri"/>
                <w:b w:val="0"/>
                <w:color w:val="000000"/>
                <w:sz w:val="19"/>
              </w:rPr>
              <w:t>published</w:t>
            </w:r>
          </w:p>
        </w:tc>
        <w:tc>
          <w:tcPr>
            <w:tcW w:type="dxa" w:w="1337"/>
            <w:vAlign w:val="center"/>
          </w:tcPr>
          <w:p>
            <w:pPr>
              <w:spacing w:after="0" w:line="276" w:lineRule="auto"/>
            </w:pPr>
            <w:r>
              <w:rPr>
                <w:rFonts w:ascii="Calibri" w:hAnsi="Calibri" w:eastAsia="Calibri"/>
                <w:b w:val="0"/>
                <w:color w:val="000000"/>
                <w:sz w:val="19"/>
              </w:rPr>
              <w:t>123.3s</w:t>
            </w:r>
          </w:p>
        </w:tc>
        <w:tc>
          <w:tcPr>
            <w:tcW w:type="dxa" w:w="1337"/>
            <w:vAlign w:val="center"/>
          </w:tcPr>
          <w:p>
            <w:pPr>
              <w:spacing w:after="0" w:line="276" w:lineRule="auto"/>
            </w:pPr>
            <w:r>
              <w:rPr>
                <w:rFonts w:ascii="Calibri" w:hAnsi="Calibri" w:eastAsia="Calibri"/>
                <w:b w:val="0"/>
                <w:color w:val="000000"/>
                <w:sz w:val="19"/>
              </w:rPr>
              <w:t>20 / 30</w:t>
            </w:r>
          </w:p>
        </w:tc>
        <w:tc>
          <w:tcPr>
            <w:tcW w:type="dxa" w:w="1337"/>
            <w:vAlign w:val="center"/>
          </w:tcPr>
          <w:p>
            <w:pPr>
              <w:spacing w:after="0" w:line="276" w:lineRule="auto"/>
            </w:pPr>
            <w:r>
              <w:rPr>
                <w:rFonts w:ascii="Calibri" w:hAnsi="Calibri" w:eastAsia="Calibri"/>
                <w:b w:val="0"/>
                <w:color w:val="000000"/>
                <w:sz w:val="19"/>
              </w:rPr>
              <w:t>1 / 1</w:t>
            </w:r>
          </w:p>
        </w:tc>
        <w:tc>
          <w:tcPr>
            <w:tcW w:type="dxa" w:w="1337"/>
            <w:vAlign w:val="center"/>
          </w:tcPr>
          <w:p>
            <w:pPr>
              <w:spacing w:after="0" w:line="276" w:lineRule="auto"/>
            </w:pPr>
            <w:r>
              <w:rPr>
                <w:rFonts w:ascii="Calibri" w:hAnsi="Calibri" w:eastAsia="Calibri"/>
                <w:b w:val="0"/>
                <w:color w:val="000000"/>
                <w:sz w:val="19"/>
              </w:rPr>
              <w:t>0.85 / 1.0</w:t>
            </w:r>
          </w:p>
        </w:tc>
        <w:tc>
          <w:tcPr>
            <w:tcW w:type="dxa" w:w="1337"/>
            <w:vAlign w:val="center"/>
          </w:tcPr>
          <w:p>
            <w:pPr>
              <w:spacing w:after="0" w:line="276" w:lineRule="auto"/>
            </w:pPr>
            <w:r>
              <w:rPr>
                <w:rFonts w:ascii="Calibri" w:hAnsi="Calibri" w:eastAsia="Calibri"/>
                <w:b w:val="0"/>
                <w:color w:val="000000"/>
                <w:sz w:val="19"/>
              </w:rPr>
              <w:t>no</w:t>
            </w:r>
          </w:p>
        </w:tc>
      </w:tr>
      <w:tr>
        <w:tc>
          <w:tcPr>
            <w:tcW w:type="dxa" w:w="1337"/>
            <w:vAlign w:val="center"/>
          </w:tcPr>
          <w:p>
            <w:pPr>
              <w:spacing w:after="0" w:line="276" w:lineRule="auto"/>
            </w:pPr>
            <w:r>
              <w:rPr>
                <w:rFonts w:ascii="Calibri" w:hAnsi="Calibri" w:eastAsia="Calibri"/>
                <w:b w:val="0"/>
                <w:color w:val="000000"/>
                <w:sz w:val="19"/>
              </w:rPr>
              <w:t>deep</w:t>
            </w:r>
          </w:p>
        </w:tc>
        <w:tc>
          <w:tcPr>
            <w:tcW w:type="dxa" w:w="1337"/>
            <w:vAlign w:val="center"/>
          </w:tcPr>
          <w:p>
            <w:pPr>
              <w:spacing w:after="0" w:line="276" w:lineRule="auto"/>
            </w:pPr>
            <w:r>
              <w:rPr>
                <w:rFonts w:ascii="Calibri" w:hAnsi="Calibri" w:eastAsia="Calibri"/>
                <w:b w:val="0"/>
                <w:color w:val="000000"/>
                <w:sz w:val="19"/>
              </w:rPr>
              <w:t>ready</w:t>
            </w:r>
          </w:p>
        </w:tc>
        <w:tc>
          <w:tcPr>
            <w:tcW w:type="dxa" w:w="1337"/>
            <w:vAlign w:val="center"/>
          </w:tcPr>
          <w:p>
            <w:pPr>
              <w:spacing w:after="0" w:line="276" w:lineRule="auto"/>
            </w:pPr>
            <w:r>
              <w:rPr>
                <w:rFonts w:ascii="Calibri" w:hAnsi="Calibri" w:eastAsia="Calibri"/>
                <w:b w:val="0"/>
                <w:color w:val="000000"/>
                <w:sz w:val="19"/>
              </w:rPr>
              <w:t>331.2s</w:t>
            </w:r>
          </w:p>
        </w:tc>
        <w:tc>
          <w:tcPr>
            <w:tcW w:type="dxa" w:w="1337"/>
            <w:vAlign w:val="center"/>
          </w:tcPr>
          <w:p>
            <w:pPr>
              <w:spacing w:after="0" w:line="276" w:lineRule="auto"/>
            </w:pPr>
            <w:r>
              <w:rPr>
                <w:rFonts w:ascii="Calibri" w:hAnsi="Calibri" w:eastAsia="Calibri"/>
                <w:b w:val="0"/>
                <w:color w:val="000000"/>
                <w:sz w:val="19"/>
              </w:rPr>
              <w:t>47 / 57</w:t>
            </w:r>
          </w:p>
        </w:tc>
        <w:tc>
          <w:tcPr>
            <w:tcW w:type="dxa" w:w="1337"/>
            <w:vAlign w:val="center"/>
          </w:tcPr>
          <w:p>
            <w:pPr>
              <w:spacing w:after="0" w:line="276" w:lineRule="auto"/>
            </w:pPr>
            <w:r>
              <w:rPr>
                <w:rFonts w:ascii="Calibri" w:hAnsi="Calibri" w:eastAsia="Calibri"/>
                <w:b w:val="0"/>
                <w:color w:val="000000"/>
                <w:sz w:val="19"/>
              </w:rPr>
              <w:t>1 / 1</w:t>
            </w:r>
          </w:p>
        </w:tc>
        <w:tc>
          <w:tcPr>
            <w:tcW w:type="dxa" w:w="1337"/>
            <w:vAlign w:val="center"/>
          </w:tcPr>
          <w:p>
            <w:pPr>
              <w:spacing w:after="0" w:line="276" w:lineRule="auto"/>
            </w:pPr>
            <w:r>
              <w:rPr>
                <w:rFonts w:ascii="Calibri" w:hAnsi="Calibri" w:eastAsia="Calibri"/>
                <w:b w:val="0"/>
                <w:color w:val="000000"/>
                <w:sz w:val="19"/>
              </w:rPr>
              <w:t>0.85 / 1.0</w:t>
            </w:r>
          </w:p>
        </w:tc>
        <w:tc>
          <w:tcPr>
            <w:tcW w:type="dxa" w:w="1337"/>
            <w:vAlign w:val="center"/>
          </w:tcPr>
          <w:p>
            <w:pPr>
              <w:spacing w:after="0" w:line="276" w:lineRule="auto"/>
            </w:pPr>
            <w:r>
              <w:rPr>
                <w:rFonts w:ascii="Calibri" w:hAnsi="Calibri" w:eastAsia="Calibri"/>
                <w:b w:val="0"/>
                <w:color w:val="000000"/>
                <w:sz w:val="19"/>
              </w:rPr>
              <w:t>no</w:t>
            </w:r>
          </w:p>
        </w:tc>
      </w:tr>
    </w:tbl>
    <w:p>
      <w:pPr>
        <w:spacing w:after="80"/>
      </w:pPr>
    </w:p>
    <w:p>
      <w:pPr>
        <w:spacing w:after="120"/>
      </w:pPr>
      <w:r>
        <w:rPr>
          <w:rFonts w:ascii="Calibri" w:hAnsi="Calibri" w:eastAsia="Calibri"/>
          <w:i/>
          <w:color w:val="555555"/>
          <w:sz w:val="19"/>
        </w:rPr>
        <w:t>Figure 1. Runtime and call-count comparison across E05 v0.2.41 arms.</w:t>
      </w:r>
    </w:p>
    <w:p>
      <w:r>
        <w:drawing>
          <wp:inline xmlns:a="http://schemas.openxmlformats.org/drawingml/2006/main" xmlns:pic="http://schemas.openxmlformats.org/drawingml/2006/picture">
            <wp:extent cx="5806440" cy="3215874"/>
            <wp:docPr id="1" name="Picture 1"/>
            <wp:cNvGraphicFramePr>
              <a:graphicFrameLocks noChangeAspect="1"/>
            </wp:cNvGraphicFramePr>
            <a:graphic>
              <a:graphicData uri="http://schemas.openxmlformats.org/drawingml/2006/picture">
                <pic:pic>
                  <pic:nvPicPr>
                    <pic:cNvPr id="0" name="experiment_v0.2.41_e05_success_condition_summary.png"/>
                    <pic:cNvPicPr/>
                  </pic:nvPicPr>
                  <pic:blipFill>
                    <a:blip r:embed="rId11"/>
                    <a:stretch>
                      <a:fillRect/>
                    </a:stretch>
                  </pic:blipFill>
                  <pic:spPr>
                    <a:xfrm>
                      <a:off x="0" y="0"/>
                      <a:ext cx="5806440" cy="3215874"/>
                    </a:xfrm>
                    <a:prstGeom prst="rect"/>
                  </pic:spPr>
                </pic:pic>
              </a:graphicData>
            </a:graphic>
          </wp:inline>
        </w:drawing>
      </w:r>
    </w:p>
    <w:p>
      <w:pPr>
        <w:pStyle w:val="Heading1"/>
      </w:pPr>
      <w:r>
        <w:t>4. Key Findings</w:t>
      </w:r>
    </w:p>
    <w:p>
      <w:pPr>
        <w:pStyle w:val="ListBullet"/>
        <w:spacing w:after="80" w:line="300" w:lineRule="auto"/>
      </w:pPr>
      <w:r>
        <w:rPr>
          <w:rFonts w:ascii="Calibri" w:hAnsi="Calibri" w:eastAsia="Calibri"/>
          <w:color w:val="000000"/>
          <w:sz w:val="22"/>
        </w:rPr>
        <w:t>The none arm failed at the Builder level with model stream timeout after 180s. The new v0.2.40 boundary worked: the raw result contains task_failure.type=model_provider, retryable=true, timeout_like=true, and model_timeout_event_count=1.</w:t>
      </w:r>
    </w:p>
    <w:p>
      <w:pPr>
        <w:pStyle w:val="ListBullet"/>
        <w:spacing w:after="80" w:line="300" w:lineRule="auto"/>
      </w:pPr>
      <w:r>
        <w:rPr>
          <w:rFonts w:ascii="Calibri" w:hAnsi="Calibri" w:eastAsia="Calibri"/>
          <w:color w:val="000000"/>
          <w:sz w:val="22"/>
        </w:rPr>
        <w:t>The shallow arm reached published, expanded one template, passed the benchmark, and used the lowest observed model/tool calls among successful arms: 20 model calls and 30 tool calls.</w:t>
      </w:r>
    </w:p>
    <w:p>
      <w:pPr>
        <w:pStyle w:val="ListBullet"/>
        <w:spacing w:after="80" w:line="300" w:lineRule="auto"/>
      </w:pPr>
      <w:r>
        <w:rPr>
          <w:rFonts w:ascii="Calibri" w:hAnsi="Calibri" w:eastAsia="Calibri"/>
          <w:color w:val="000000"/>
          <w:sz w:val="22"/>
        </w:rPr>
        <w:t>The deep arm reached ready and passed the benchmark, but used far more calls than shallow: 47 model calls and 57 tool calls. In this case deep reuse did not dominate shallow reuse.</w:t>
      </w:r>
    </w:p>
    <w:p>
      <w:pPr>
        <w:pStyle w:val="ListBullet"/>
        <w:spacing w:after="80" w:line="300" w:lineRule="auto"/>
      </w:pPr>
      <w:r>
        <w:rPr>
          <w:rFonts w:ascii="Calibri" w:hAnsi="Calibri" w:eastAsia="Calibri"/>
          <w:color w:val="000000"/>
          <w:sz w:val="22"/>
        </w:rPr>
        <w:t>Benchmark pass does not equal Builder success. The none arm benchmark passed structurally, but the build still ended needs_attention and had no generated tests.</w:t>
      </w:r>
    </w:p>
    <w:p>
      <w:pPr>
        <w:pStyle w:val="Heading1"/>
      </w:pPr>
      <w:r>
        <w:t>5. Conclusion</w:t>
      </w:r>
    </w:p>
    <w:p>
      <w:pPr>
        <w:spacing w:after="120" w:line="300" w:lineRule="auto"/>
      </w:pPr>
      <w:r>
        <w:rPr>
          <w:rFonts w:ascii="Calibri" w:hAnsi="Calibri" w:eastAsia="Calibri"/>
          <w:color w:val="000000"/>
          <w:sz w:val="22"/>
        </w:rPr>
        <w:t>For this code_reviewer-like case, shallow Template reuse is the best supported current operating point: it reached published, expanded the relevant template, passed the benchmark, and cost less than deep. The result is stronger than v0.2.39 because timeout evidence is now explicit. However, original E05 should remain open: this is still a single requirement family, and the none arm failure was a provider timeout rather than a clean quality comparison.</w:t>
      </w:r>
    </w:p>
    <w:p>
      <w:pPr>
        <w:pStyle w:val="Heading1"/>
      </w:pPr>
      <w:r>
        <w:t>6. Engineering Implication</w:t>
      </w:r>
    </w:p>
    <w:p>
      <w:pPr>
        <w:spacing w:after="120" w:line="300" w:lineRule="auto"/>
      </w:pPr>
      <w:r>
        <w:rPr>
          <w:rFonts w:ascii="Calibri" w:hAnsi="Calibri" w:eastAsia="Calibri"/>
          <w:color w:val="000000"/>
          <w:sz w:val="22"/>
        </w:rPr>
        <w:t>The result supports keeping Template suggestions and marketplace expansion active, but defaulting to shallow reuse unless a requirement clearly needs deep modular composition. The next engineering question is not template expandability; it is success-condition policy: when should Builder choose shallow, when should it escalate to deep, and when should a long build trigger a build-level watchdog or retry strategy?</w:t>
      </w:r>
    </w:p>
    <w:p>
      <w:pPr>
        <w:pStyle w:val="Heading1"/>
      </w:pPr>
      <w:r>
        <w:t>7. Evidence Chain</w:t>
      </w:r>
    </w:p>
    <w:p>
      <w:pPr>
        <w:pStyle w:val="ListBullet"/>
        <w:spacing w:after="80" w:line="300" w:lineRule="auto"/>
      </w:pPr>
      <w:r>
        <w:rPr>
          <w:rFonts w:ascii="Calibri" w:hAnsi="Calibri" w:eastAsia="Calibri"/>
          <w:color w:val="000000"/>
          <w:sz w:val="22"/>
        </w:rPr>
        <w:t>Raw JSON evidence: docs/experiment-status/evidence/experiment_v0.2.41_e05_success_condition_2026_07_09.json</w:t>
      </w:r>
    </w:p>
    <w:p>
      <w:pPr>
        <w:pStyle w:val="ListBullet"/>
        <w:spacing w:after="80" w:line="300" w:lineRule="auto"/>
      </w:pPr>
      <w:r>
        <w:rPr>
          <w:rFonts w:ascii="Calibri" w:hAnsi="Calibri" w:eastAsia="Calibri"/>
          <w:color w:val="000000"/>
          <w:sz w:val="22"/>
        </w:rPr>
        <w:t>Chart: docs/experiment-status/evidence/experiment_v0.2.41_e05_success_condition_summary.png</w:t>
      </w:r>
    </w:p>
    <w:p>
      <w:pPr>
        <w:pStyle w:val="ListBullet"/>
        <w:spacing w:after="80" w:line="300" w:lineRule="auto"/>
      </w:pPr>
      <w:r>
        <w:rPr>
          <w:rFonts w:ascii="Calibri" w:hAnsi="Calibri" w:eastAsia="Calibri"/>
          <w:color w:val="000000"/>
          <w:sz w:val="22"/>
        </w:rPr>
        <w:t>Focused script tests: tests/test_e05_template_reuse_depth_experiment.py passed after adding timeout evidence extraction.</w:t>
      </w:r>
    </w:p>
    <w:p>
      <w:pPr>
        <w:pStyle w:val="ListBullet"/>
        <w:spacing w:after="80" w:line="300" w:lineRule="auto"/>
      </w:pPr>
      <w:r>
        <w:rPr>
          <w:rFonts w:ascii="Calibri" w:hAnsi="Calibri" w:eastAsia="Calibri"/>
          <w:color w:val="000000"/>
          <w:sz w:val="22"/>
        </w:rPr>
        <w:t>v0.2.40 prerequisite: runtime timeout event and Builder Harness failure metadata.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v0.2.41 - Template reuse-depth success condition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666666"/>
        <w:sz w:val="18"/>
      </w:rPr>
      <w:t>Lilies E05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