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0B2545"/>
          <w:sz w:val="36"/>
        </w:rPr>
        <w:t>E05 Policy-Default Reliability Closure</w:t>
      </w:r>
    </w:p>
    <w:p>
      <w:r>
        <w:rPr>
          <w:b/>
        </w:rPr>
        <w:t xml:space="preserve">Version: </w:t>
      </w:r>
      <w:r>
        <w:t xml:space="preserve">v0.2.54  </w:t>
      </w:r>
      <w:r>
        <w:rPr>
          <w:b/>
        </w:rPr>
        <w:t xml:space="preserve">Date: </w:t>
      </w:r>
      <w:r>
        <w:t xml:space="preserve">2026-07-10  </w:t>
      </w:r>
      <w:r>
        <w:rPr>
          <w:b/>
        </w:rPr>
        <w:t xml:space="preserve">Status: </w:t>
      </w:r>
      <w:r>
        <w:t>验证应用</w:t>
      </w:r>
    </w:p>
    <w:p>
      <w:pPr>
        <w:pStyle w:val="Heading1"/>
      </w:pPr>
      <w:r>
        <w:t>Background</w:t>
      </w:r>
    </w:p>
    <w:p>
      <w:r>
        <w:t>v0.2.53 proved that omitted reuse_depth requests correctly enter the product policy default path (policy_default -&gt; adaptive -&gt; deep), but the live Builder arm timed out before recording BuildPlan depth, template expansion, mandatory tests, or publish closure. v0.2.54 adds an explicit execution contract to the policy-default suggestion result and tightens Builder/E05 instructions around immediate BuildPlan concretization.</w:t>
      </w:r>
    </w:p>
    <w:p>
      <w:pPr>
        <w:pStyle w:val="Heading1"/>
      </w:pPr>
      <w:r>
        <w:t>Experiment Design</w:t>
      </w:r>
    </w:p>
    <w:p>
      <w:pPr>
        <w:pStyle w:val="ListBullet"/>
        <w:spacing w:after="120"/>
      </w:pPr>
      <w:r>
        <w:t>Case: data_analyzer template family, selected because adaptive policy resolves this family to deep.</w:t>
      </w:r>
    </w:p>
    <w:p>
      <w:pPr>
        <w:pStyle w:val="ListBullet"/>
        <w:spacing w:after="120"/>
      </w:pPr>
      <w:r>
        <w:t>Arm: policy_default only; reuse_depth was omitted so product default behavior was exercised.</w:t>
      </w:r>
    </w:p>
    <w:p>
      <w:pPr>
        <w:pStyle w:val="ListBullet"/>
        <w:spacing w:after="120"/>
      </w:pPr>
      <w:r>
        <w:t>Budget: max_turns=42, max_repair_cycles=2, max_elapsed_seconds=600, provider_timeout_seconds=180.</w:t>
      </w:r>
    </w:p>
    <w:p>
      <w:pPr>
        <w:pStyle w:val="ListBullet"/>
        <w:spacing w:after="120"/>
      </w:pPr>
      <w:r>
        <w:t>Provider/model: multi / deepseek-v4-pro through the configured Lilies live runner.</w:t>
      </w:r>
    </w:p>
    <w:p>
      <w:pPr>
        <w:pStyle w:val="Heading1"/>
      </w:pPr>
      <w:r>
        <w:t>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Arm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Build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Elapsed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Calls</w:t>
            </w:r>
          </w:p>
        </w:tc>
        <w:tc>
          <w:tcPr>
            <w:tcW w:type="dxa" w:w="316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Benchmark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policy_default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published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322.364s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24 / 31</w:t>
            </w:r>
          </w:p>
        </w:tc>
        <w:tc>
          <w:tcPr>
            <w:tcW w:type="dxa" w:w="3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pass=True, score=0.85</w:t>
            </w:r>
          </w:p>
        </w:tc>
      </w:tr>
    </w:tbl>
    <w:p>
      <w:r>
        <w:t>The policy-default arm published successfully. It recorded BuildPlan.reuse_depth=deep, executed template_expand once, ran mandatory tests four times, and published after draft validation. The benchmark passed with score 0.85 and no missing required node/tool/harness types.</w:t>
      </w:r>
    </w:p>
    <w:p>
      <w:pPr>
        <w:pStyle w:val="Heading1"/>
      </w:pPr>
      <w:r>
        <w:t>Engineering Application</w:t>
      </w:r>
    </w:p>
    <w:p>
      <w:pPr>
        <w:pStyle w:val="ListBullet"/>
        <w:spacing w:after="120"/>
      </w:pPr>
      <w:r>
        <w:t>应用标记：验证应用。This report validates the v0.2.54 engineering fix rather than introducing a new policy heuristic.</w:t>
      </w:r>
    </w:p>
    <w:p>
      <w:pPr>
        <w:pStyle w:val="ListBullet"/>
        <w:spacing w:after="120"/>
      </w:pPr>
      <w:r>
        <w:t>Execution contract: next_step=set_build_plan_reuse_depth, reuse_depth_to_record=deep, then=compose_modules.</w:t>
      </w:r>
    </w:p>
    <w:p>
      <w:pPr>
        <w:pStyle w:val="ListBullet"/>
        <w:spacing w:after="120"/>
      </w:pPr>
      <w:r>
        <w:t>Code anchors: template_strategy.py, builder.py, scripts/e05_template_reuse_depth_experiment.py, and focused regression tests.</w:t>
      </w:r>
    </w:p>
    <w:p>
      <w:pPr>
        <w:pStyle w:val="ListBullet"/>
        <w:spacing w:after="120"/>
      </w:pPr>
      <w:r>
        <w:t>Evidence: docs/experiment-status/evidence/experiment_v0.2.54_e05_data_analyzer_policy_default_reliability_2026_07_10.json and docs/experiment-status/evidence/experiment_v0.2.54_e05_data_analyzer_policy_default_reliability_2026_07_10_summary.md.</w:t>
      </w:r>
    </w:p>
    <w:p>
      <w:pPr>
        <w:pStyle w:val="Heading1"/>
      </w:pPr>
      <w:r>
        <w:t>Remaining Constraints</w:t>
      </w:r>
    </w:p>
    <w:p>
      <w:pPr>
        <w:pStyle w:val="ListBullet"/>
        <w:spacing w:after="120"/>
      </w:pPr>
      <w:r>
        <w:t>This is one bounded data_analyzer acceptance slice, not long-term monitoring.</w:t>
      </w:r>
    </w:p>
    <w:p>
      <w:pPr>
        <w:pStyle w:val="ListBullet"/>
        <w:spacing w:after="120"/>
      </w:pPr>
      <w:r>
        <w:t>E08 sidecar/passmode comparison remains a separate Harness experiment lane.</w:t>
      </w:r>
    </w:p>
    <w:p>
      <w:pPr>
        <w:pStyle w:val="ListBullet"/>
        <w:spacing w:after="120"/>
      </w:pPr>
      <w:r>
        <w:t>Fixed-depth overrides remain part of the product boundary and were not removed.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