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color w:val="EA580C"/>
          <w:sz w:val="56"/>
        </w:rPr>
        <w:t>LOGIFAST</w:t>
      </w:r>
      <w:r>
        <w:rPr>
          <w:rFonts w:ascii="Segoe UI" w:hAnsi="Segoe UI"/>
          <w:b/>
          <w:color w:val="1E293B"/>
          <w:sz w:val="40"/>
        </w:rPr>
        <w:t xml:space="preserve"> | Plan de Negocio y Monetización</w:t>
      </w:r>
    </w:p>
    <w:p>
      <w:pPr>
        <w:spacing w:after="360"/>
      </w:pPr>
      <w:r>
        <w:rPr>
          <w:rFonts w:ascii="Calibri" w:hAnsi="Calibri"/>
          <w:color w:val="64748B"/>
          <w:sz w:val="24"/>
        </w:rPr>
        <w:t>Estrategia de Comisiones a Tiendas, Evolución de Tarifas por Km al Repartidor y Modelo SaaS Comercial</w:t>
      </w:r>
    </w:p>
    <w:p>
      <w:pPr>
        <w:spacing w:after="80"/>
      </w:pPr>
    </w:p>
    <w:p>
      <w:pPr>
        <w:pStyle w:val="Heading1"/>
      </w:pPr>
      <w:r>
        <w:rPr>
          <w:rFonts w:ascii="Segoe UI" w:hAnsi="Segoe UI"/>
          <w:b/>
          <w:color w:val="1E293B"/>
          <w:sz w:val="32"/>
        </w:rPr>
        <w:t>1. Resumen Ejecutivo</w:t>
      </w:r>
    </w:p>
    <w:p>
      <w:pPr>
        <w:spacing w:line="276" w:lineRule="auto" w:after="160"/>
      </w:pPr>
      <w:r>
        <w:t>El presente documento define la arquitectura comercial, el modelo de precios y la estrategia de crecimiento de LogiFast. El ecosistema se diferencia frontalmente de plataformas transnacionales como PedidosYa al rechazar las comisiones predatorias (25% a 35%) que asfixian a los restaurantes locales, adoptando en su lugar una estructura híbrida altamente escalable: un Marketplace justo de delivery respaldado por una suscripción de software comercial (SaaS) que digitaliza la operación física de los negocios.</w:t>
      </w:r>
    </w:p>
    <w:tbl>
      <w:tblPr>
        <w:tblW w:type="auto" w:w="0"/>
        <w:jc w:val="center"/>
        <w:tblLayout w:type="fixed"/>
        <w:tblLook w:firstColumn="1" w:firstRow="1" w:lastColumn="0" w:lastRow="0" w:noHBand="0" w:noVBand="1" w:val="04A0"/>
      </w:tblPr>
      <w:tblGrid>
        <w:gridCol w:w="9360"/>
      </w:tblGrid>
      <w:tr>
        <w:tc>
          <w:tcPr>
            <w:tcW w:type="dxa" w:w="9936"/>
            <w:shd w:fill="FFF7ED"/>
            <w:tcMar>
              <w:top w:w="140" w:type="dxa"/>
              <w:bottom w:w="140" w:type="dxa"/>
              <w:left w:w="200" w:type="dxa"/>
              <w:right w:w="200" w:type="dxa"/>
            </w:tcMar>
            <w:tcBorders>
              <w:top w:val="none"/>
              <w:left w:val="single" w:sz="36" w:space="0" w:color="EA580C"/>
              <w:bottom w:val="none"/>
              <w:right w:val="none"/>
            </w:tcBorders>
          </w:tcPr>
          <w:p>
            <w:pPr>
              <w:spacing w:before="40" w:after="40"/>
            </w:pPr>
            <w:r>
              <w:rPr>
                <w:rFonts w:ascii="Calibri" w:hAnsi="Calibri"/>
                <w:b/>
                <w:color w:val="C2410C"/>
                <w:sz w:val="21"/>
              </w:rPr>
              <w:t xml:space="preserve">📌 TESIS DE NEGOCIO LOGIFAST: </w:t>
            </w:r>
            <w:r>
              <w:rPr>
                <w:rFonts w:ascii="Calibri" w:hAnsi="Calibri"/>
                <w:color w:val="431407"/>
                <w:sz w:val="21"/>
              </w:rPr>
              <w:t>La ventaja competitiva de LogiFast reside en ofrecer a las tiendas una comisión justa del 12% al 15% por ventas a domicilio, 0% de comisión sobre sus ventas de mostrador en el local, y cobrar al repartidor una tasa tecnológica del 8% (frente al 25%-30% de Uber o InDrive), asegurando lealtad y retención en ambas puntas del mercado.</w:t>
            </w:r>
          </w:p>
        </w:tc>
      </w:tr>
    </w:tbl>
    <w:p/>
    <w:p>
      <w:pPr>
        <w:pStyle w:val="Heading1"/>
      </w:pPr>
      <w:r>
        <w:rPr>
          <w:rFonts w:ascii="Segoe UI" w:hAnsi="Segoe UI"/>
          <w:b/>
          <w:color w:val="1E293B"/>
          <w:sz w:val="32"/>
        </w:rPr>
        <w:t>2. Modelo de Ingresos por Tiendas (Separación de Canales)</w:t>
      </w:r>
    </w:p>
    <w:p>
      <w:pPr>
        <w:spacing w:line="276" w:lineRule="auto" w:after="160"/>
      </w:pPr>
      <w:r>
        <w:t>A diferencia de los modelos tradicionales confusos, LogiFast establece una división transparente entre dos flujos de valor: las ventas generadas a través del canal digital y las ventas atendidas presencialmente en el establecimiento del comercio.</w:t>
      </w:r>
    </w:p>
    <w:p>
      <w:pPr>
        <w:pStyle w:val="ListBullet"/>
        <w:spacing w:after="80"/>
      </w:pPr>
      <w:r>
        <w:rPr>
          <w:b/>
        </w:rPr>
        <w:t xml:space="preserve">Canal Delivery / Marketplace (12% al 15% de comisión): </w:t>
      </w:r>
      <w:r>
        <w:t>Se aplica única y exclusivamente a los pedidos realizados por los clientes dentro de la aplicación móvil de LogiFast. Esta comisión remunera a la plataforma por la captación del cliente, procesamiento tecnológico, soporte y asignación de la red de repartidores.</w:t>
      </w:r>
    </w:p>
    <w:p>
      <w:pPr>
        <w:pStyle w:val="ListBullet"/>
        <w:spacing w:after="200"/>
      </w:pPr>
      <w:r>
        <w:rPr>
          <w:b/>
        </w:rPr>
        <w:t xml:space="preserve">Canal Local Físico / Mostrador / Mesas (0% de comisión): </w:t>
      </w:r>
      <w:r>
        <w:t>Las ventas presenciales que el comercio cobre utilizando el sistema de Punto de Venta (POS) de LogiFast NO pagan ninguna comisión porcentual. El negocio únicamente abona la cuota mensual de software (Plan PRO), permitiéndole cobrar sin límites con factura fiscal y control de inventario.</w:t>
      </w:r>
    </w:p>
    <w:p>
      <w:pPr>
        <w:pStyle w:val="Heading1"/>
      </w:pPr>
      <w:r>
        <w:rPr>
          <w:rFonts w:ascii="Segoe UI" w:hAnsi="Segoe UI"/>
          <w:b/>
          <w:color w:val="1E293B"/>
          <w:sz w:val="32"/>
        </w:rPr>
        <w:t>3. Estructura de Planes de Software para Comercios</w:t>
      </w:r>
    </w:p>
    <w:p>
      <w:pPr>
        <w:spacing w:line="276" w:lineRule="auto" w:after="160"/>
      </w:pPr>
      <w:r>
        <w:t>Para transformar comercios tradicionales en clientes recurrentes (Generando Ingresos Recurrentes Mensuales - MRR), LogiFast estructura su oferta en tres niveles progresivos: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172A"/>
            <w:tcMar>
              <w:top w:w="120" w:type="dxa"/>
              <w:bottom w:w="120" w:type="dxa"/>
              <w:left w:w="140" w:type="dxa"/>
              <w:right w:w="140" w:type="dxa"/>
            </w:tcMar>
          </w:tcPr>
          <w:p>
            <w:pPr>
              <w:jc w:val="left"/>
            </w:pPr>
            <w:r>
              <w:rPr>
                <w:rFonts w:ascii="Calibri" w:hAnsi="Calibri"/>
                <w:b/>
                <w:color w:val="FFFFFF"/>
                <w:sz w:val="20"/>
              </w:rPr>
              <w:t>Característica</w:t>
            </w:r>
          </w:p>
        </w:tc>
        <w:tc>
          <w:tcPr>
            <w:tcW w:type="dxa" w:w="2016"/>
            <w:shd w:fill="0F172A"/>
            <w:tcMar>
              <w:top w:w="120" w:type="dxa"/>
              <w:bottom w:w="120" w:type="dxa"/>
              <w:left w:w="140" w:type="dxa"/>
              <w:right w:w="140" w:type="dxa"/>
            </w:tcMar>
          </w:tcPr>
          <w:p>
            <w:pPr>
              <w:jc w:val="left"/>
            </w:pPr>
            <w:r>
              <w:rPr>
                <w:rFonts w:ascii="Calibri" w:hAnsi="Calibri"/>
                <w:b/>
                <w:color w:val="FFFFFF"/>
                <w:sz w:val="20"/>
              </w:rPr>
              <w:t>Plan Básico (Gratis)</w:t>
            </w:r>
          </w:p>
        </w:tc>
        <w:tc>
          <w:tcPr>
            <w:tcW w:type="dxa" w:w="2448"/>
            <w:shd w:fill="0F172A"/>
            <w:tcMar>
              <w:top w:w="120" w:type="dxa"/>
              <w:bottom w:w="120" w:type="dxa"/>
              <w:left w:w="140" w:type="dxa"/>
              <w:right w:w="140" w:type="dxa"/>
            </w:tcMar>
          </w:tcPr>
          <w:p>
            <w:pPr>
              <w:jc w:val="left"/>
            </w:pPr>
            <w:r>
              <w:rPr>
                <w:rFonts w:ascii="Calibri" w:hAnsi="Calibri"/>
                <w:b/>
                <w:color w:val="FFFFFF"/>
                <w:sz w:val="20"/>
              </w:rPr>
              <w:t>Plan PRO (Negocio Activo)</w:t>
            </w:r>
          </w:p>
        </w:tc>
        <w:tc>
          <w:tcPr>
            <w:tcW w:type="dxa" w:w="2304"/>
            <w:shd w:fill="0F172A"/>
            <w:tcMar>
              <w:top w:w="120" w:type="dxa"/>
              <w:bottom w:w="120" w:type="dxa"/>
              <w:left w:w="140" w:type="dxa"/>
              <w:right w:w="140" w:type="dxa"/>
            </w:tcMar>
          </w:tcPr>
          <w:p>
            <w:pPr>
              <w:jc w:val="left"/>
            </w:pPr>
            <w:r>
              <w:rPr>
                <w:rFonts w:ascii="Calibri" w:hAnsi="Calibri"/>
                <w:b/>
                <w:color w:val="FFFFFF"/>
                <w:sz w:val="20"/>
              </w:rPr>
              <w:t>Plan Empresarial (Futuro)</w:t>
            </w:r>
          </w:p>
        </w:tc>
      </w:tr>
      <w:tr>
        <w:tc>
          <w:tcPr>
            <w:tcW w:type="dxa" w:w="2592"/>
            <w:shd w:fill="FFFFFF"/>
            <w:tcMar>
              <w:top w:w="100" w:type="dxa"/>
              <w:bottom w:w="100" w:type="dxa"/>
              <w:left w:w="140" w:type="dxa"/>
              <w:right w:w="140" w:type="dxa"/>
            </w:tcMar>
          </w:tcPr>
          <w:p>
            <w:r>
              <w:rPr>
                <w:rFonts w:ascii="Calibri" w:hAnsi="Calibri"/>
                <w:b/>
                <w:color w:val="1E293B"/>
                <w:sz w:val="19"/>
              </w:rPr>
              <w:t>Cuota de Software</w:t>
            </w:r>
          </w:p>
        </w:tc>
        <w:tc>
          <w:tcPr>
            <w:tcW w:type="dxa" w:w="2016"/>
            <w:shd w:fill="FFFFFF"/>
            <w:tcMar>
              <w:top w:w="100" w:type="dxa"/>
              <w:bottom w:w="100" w:type="dxa"/>
              <w:left w:w="140" w:type="dxa"/>
              <w:right w:w="140" w:type="dxa"/>
            </w:tcMar>
          </w:tcPr>
          <w:p>
            <w:r>
              <w:rPr>
                <w:rFonts w:ascii="Calibri" w:hAnsi="Calibri"/>
                <w:color w:val="1E293B"/>
                <w:sz w:val="19"/>
              </w:rPr>
              <w:t>C$ 0 / mes</w:t>
            </w:r>
          </w:p>
        </w:tc>
        <w:tc>
          <w:tcPr>
            <w:tcW w:type="dxa" w:w="2448"/>
            <w:shd w:fill="FFFFFF"/>
            <w:tcMar>
              <w:top w:w="100" w:type="dxa"/>
              <w:bottom w:w="100" w:type="dxa"/>
              <w:left w:w="140" w:type="dxa"/>
              <w:right w:w="140" w:type="dxa"/>
            </w:tcMar>
          </w:tcPr>
          <w:p>
            <w:r>
              <w:rPr>
                <w:rFonts w:ascii="Calibri" w:hAnsi="Calibri"/>
                <w:color w:val="1E293B"/>
                <w:sz w:val="19"/>
              </w:rPr>
              <w:t>C$ 400 - C$ 450 / mes (~$12 USD)</w:t>
            </w:r>
          </w:p>
        </w:tc>
        <w:tc>
          <w:tcPr>
            <w:tcW w:type="dxa" w:w="2304"/>
            <w:shd w:fill="FFFFFF"/>
            <w:tcMar>
              <w:top w:w="100" w:type="dxa"/>
              <w:bottom w:w="100" w:type="dxa"/>
              <w:left w:w="140" w:type="dxa"/>
              <w:right w:w="140" w:type="dxa"/>
            </w:tcMar>
          </w:tcPr>
          <w:p>
            <w:r>
              <w:rPr>
                <w:rFonts w:ascii="Calibri" w:hAnsi="Calibri"/>
                <w:color w:val="1E293B"/>
                <w:sz w:val="19"/>
              </w:rPr>
              <w:t>C$ 1,200 - C$ 1,400 / mes (~$38 USD)</w:t>
            </w:r>
          </w:p>
        </w:tc>
      </w:tr>
      <w:tr>
        <w:tc>
          <w:tcPr>
            <w:tcW w:type="dxa" w:w="2592"/>
            <w:shd w:fill="F1F5F9"/>
            <w:tcMar>
              <w:top w:w="100" w:type="dxa"/>
              <w:bottom w:w="100" w:type="dxa"/>
              <w:left w:w="140" w:type="dxa"/>
              <w:right w:w="140" w:type="dxa"/>
            </w:tcMar>
          </w:tcPr>
          <w:p>
            <w:r>
              <w:rPr>
                <w:rFonts w:ascii="Calibri" w:hAnsi="Calibri"/>
                <w:b/>
                <w:color w:val="1E293B"/>
                <w:sz w:val="19"/>
              </w:rPr>
              <w:t>Comisión Delivery App</w:t>
            </w:r>
          </w:p>
        </w:tc>
        <w:tc>
          <w:tcPr>
            <w:tcW w:type="dxa" w:w="2016"/>
            <w:shd w:fill="F1F5F9"/>
            <w:tcMar>
              <w:top w:w="100" w:type="dxa"/>
              <w:bottom w:w="100" w:type="dxa"/>
              <w:left w:w="140" w:type="dxa"/>
              <w:right w:w="140" w:type="dxa"/>
            </w:tcMar>
          </w:tcPr>
          <w:p>
            <w:r>
              <w:rPr>
                <w:rFonts w:ascii="Calibri" w:hAnsi="Calibri"/>
                <w:color w:val="1E293B"/>
                <w:sz w:val="19"/>
              </w:rPr>
              <w:t>12% a 15% por venta</w:t>
            </w:r>
          </w:p>
        </w:tc>
        <w:tc>
          <w:tcPr>
            <w:tcW w:type="dxa" w:w="2448"/>
            <w:shd w:fill="F1F5F9"/>
            <w:tcMar>
              <w:top w:w="100" w:type="dxa"/>
              <w:bottom w:w="100" w:type="dxa"/>
              <w:left w:w="140" w:type="dxa"/>
              <w:right w:w="140" w:type="dxa"/>
            </w:tcMar>
          </w:tcPr>
          <w:p>
            <w:r>
              <w:rPr>
                <w:rFonts w:ascii="Calibri" w:hAnsi="Calibri"/>
                <w:color w:val="1E293B"/>
                <w:sz w:val="19"/>
              </w:rPr>
              <w:t>12% a 15% por venta</w:t>
            </w:r>
          </w:p>
        </w:tc>
        <w:tc>
          <w:tcPr>
            <w:tcW w:type="dxa" w:w="2304"/>
            <w:shd w:fill="F1F5F9"/>
            <w:tcMar>
              <w:top w:w="100" w:type="dxa"/>
              <w:bottom w:w="100" w:type="dxa"/>
              <w:left w:w="140" w:type="dxa"/>
              <w:right w:w="140" w:type="dxa"/>
            </w:tcMar>
          </w:tcPr>
          <w:p>
            <w:r>
              <w:rPr>
                <w:rFonts w:ascii="Calibri" w:hAnsi="Calibri"/>
                <w:color w:val="1E293B"/>
                <w:sz w:val="19"/>
              </w:rPr>
              <w:t>12% a 15% (o preferencial)</w:t>
            </w:r>
          </w:p>
        </w:tc>
      </w:tr>
      <w:tr>
        <w:tc>
          <w:tcPr>
            <w:tcW w:type="dxa" w:w="2592"/>
            <w:shd w:fill="FFFFFF"/>
            <w:tcMar>
              <w:top w:w="100" w:type="dxa"/>
              <w:bottom w:w="100" w:type="dxa"/>
              <w:left w:w="140" w:type="dxa"/>
              <w:right w:w="140" w:type="dxa"/>
            </w:tcMar>
          </w:tcPr>
          <w:p>
            <w:r>
              <w:rPr>
                <w:rFonts w:ascii="Calibri" w:hAnsi="Calibri"/>
                <w:b/>
                <w:color w:val="1E293B"/>
                <w:sz w:val="19"/>
              </w:rPr>
              <w:t>Comisión Venta Física POS</w:t>
            </w:r>
          </w:p>
        </w:tc>
        <w:tc>
          <w:tcPr>
            <w:tcW w:type="dxa" w:w="2016"/>
            <w:shd w:fill="FFFFFF"/>
            <w:tcMar>
              <w:top w:w="100" w:type="dxa"/>
              <w:bottom w:w="100" w:type="dxa"/>
              <w:left w:w="140" w:type="dxa"/>
              <w:right w:w="140" w:type="dxa"/>
            </w:tcMar>
          </w:tcPr>
          <w:p>
            <w:r>
              <w:rPr>
                <w:rFonts w:ascii="Calibri" w:hAnsi="Calibri"/>
                <w:color w:val="1E293B"/>
                <w:sz w:val="19"/>
              </w:rPr>
              <w:t>No habilitado</w:t>
            </w:r>
          </w:p>
        </w:tc>
        <w:tc>
          <w:tcPr>
            <w:tcW w:type="dxa" w:w="2448"/>
            <w:shd w:fill="FFFFFF"/>
            <w:tcMar>
              <w:top w:w="100" w:type="dxa"/>
              <w:bottom w:w="100" w:type="dxa"/>
              <w:left w:w="140" w:type="dxa"/>
              <w:right w:w="140" w:type="dxa"/>
            </w:tcMar>
          </w:tcPr>
          <w:p>
            <w:r>
              <w:rPr>
                <w:rFonts w:ascii="Calibri" w:hAnsi="Calibri"/>
                <w:color w:val="1E293B"/>
                <w:sz w:val="19"/>
              </w:rPr>
              <w:t>0% (Cobro ilimitado)</w:t>
            </w:r>
          </w:p>
        </w:tc>
        <w:tc>
          <w:tcPr>
            <w:tcW w:type="dxa" w:w="2304"/>
            <w:shd w:fill="FFFFFF"/>
            <w:tcMar>
              <w:top w:w="100" w:type="dxa"/>
              <w:bottom w:w="100" w:type="dxa"/>
              <w:left w:w="140" w:type="dxa"/>
              <w:right w:w="140" w:type="dxa"/>
            </w:tcMar>
          </w:tcPr>
          <w:p>
            <w:r>
              <w:rPr>
                <w:rFonts w:ascii="Calibri" w:hAnsi="Calibri"/>
                <w:color w:val="1E293B"/>
                <w:sz w:val="19"/>
              </w:rPr>
              <w:t>0% (Cobro ilimitado multi-caja)</w:t>
            </w:r>
          </w:p>
        </w:tc>
      </w:tr>
      <w:tr>
        <w:tc>
          <w:tcPr>
            <w:tcW w:type="dxa" w:w="2592"/>
            <w:shd w:fill="F1F5F9"/>
            <w:tcMar>
              <w:top w:w="100" w:type="dxa"/>
              <w:bottom w:w="100" w:type="dxa"/>
              <w:left w:w="140" w:type="dxa"/>
              <w:right w:w="140" w:type="dxa"/>
            </w:tcMar>
          </w:tcPr>
          <w:p>
            <w:r>
              <w:rPr>
                <w:rFonts w:ascii="Calibri" w:hAnsi="Calibri"/>
                <w:b/>
                <w:color w:val="1E293B"/>
                <w:sz w:val="19"/>
              </w:rPr>
              <w:t>Público Objetivo</w:t>
            </w:r>
          </w:p>
        </w:tc>
        <w:tc>
          <w:tcPr>
            <w:tcW w:type="dxa" w:w="2016"/>
            <w:shd w:fill="F1F5F9"/>
            <w:tcMar>
              <w:top w:w="100" w:type="dxa"/>
              <w:bottom w:w="100" w:type="dxa"/>
              <w:left w:w="140" w:type="dxa"/>
              <w:right w:w="140" w:type="dxa"/>
            </w:tcMar>
          </w:tcPr>
          <w:p>
            <w:r>
              <w:rPr>
                <w:rFonts w:ascii="Calibri" w:hAnsi="Calibri"/>
                <w:color w:val="1E293B"/>
                <w:sz w:val="19"/>
              </w:rPr>
              <w:t>Emprendimientos nuevos, cocinas ocultas pequeñas.</w:t>
            </w:r>
          </w:p>
        </w:tc>
        <w:tc>
          <w:tcPr>
            <w:tcW w:type="dxa" w:w="2448"/>
            <w:shd w:fill="F1F5F9"/>
            <w:tcMar>
              <w:top w:w="100" w:type="dxa"/>
              <w:bottom w:w="100" w:type="dxa"/>
              <w:left w:w="140" w:type="dxa"/>
              <w:right w:w="140" w:type="dxa"/>
            </w:tcMar>
          </w:tcPr>
          <w:p>
            <w:r>
              <w:rPr>
                <w:rFonts w:ascii="Calibri" w:hAnsi="Calibri"/>
                <w:color w:val="1E293B"/>
                <w:sz w:val="19"/>
              </w:rPr>
              <w:t>Restaurantes, cafeterías y comercios con local físico.</w:t>
            </w:r>
          </w:p>
        </w:tc>
        <w:tc>
          <w:tcPr>
            <w:tcW w:type="dxa" w:w="2304"/>
            <w:shd w:fill="F1F5F9"/>
            <w:tcMar>
              <w:top w:w="100" w:type="dxa"/>
              <w:bottom w:w="100" w:type="dxa"/>
              <w:left w:w="140" w:type="dxa"/>
              <w:right w:w="140" w:type="dxa"/>
            </w:tcMar>
          </w:tcPr>
          <w:p>
            <w:r>
              <w:rPr>
                <w:rFonts w:ascii="Calibri" w:hAnsi="Calibri"/>
                <w:color w:val="1E293B"/>
                <w:sz w:val="19"/>
              </w:rPr>
              <w:t>Cadenas locales, franquicias, 2 o más sucursales.</w:t>
            </w:r>
          </w:p>
        </w:tc>
      </w:tr>
      <w:tr>
        <w:tc>
          <w:tcPr>
            <w:tcW w:type="dxa" w:w="2592"/>
            <w:shd w:fill="FFFFFF"/>
            <w:tcMar>
              <w:top w:w="100" w:type="dxa"/>
              <w:bottom w:w="100" w:type="dxa"/>
              <w:left w:w="140" w:type="dxa"/>
              <w:right w:w="140" w:type="dxa"/>
            </w:tcMar>
          </w:tcPr>
          <w:p>
            <w:r>
              <w:rPr>
                <w:rFonts w:ascii="Calibri" w:hAnsi="Calibri"/>
                <w:b/>
                <w:color w:val="1E293B"/>
                <w:sz w:val="19"/>
              </w:rPr>
              <w:t>Herramientas Operativas</w:t>
            </w:r>
          </w:p>
        </w:tc>
        <w:tc>
          <w:tcPr>
            <w:tcW w:type="dxa" w:w="2016"/>
            <w:shd w:fill="FFFFFF"/>
            <w:tcMar>
              <w:top w:w="100" w:type="dxa"/>
              <w:bottom w:w="100" w:type="dxa"/>
              <w:left w:w="140" w:type="dxa"/>
              <w:right w:w="140" w:type="dxa"/>
            </w:tcMar>
          </w:tcPr>
          <w:p>
            <w:r>
              <w:rPr>
                <w:rFonts w:ascii="Calibri" w:hAnsi="Calibri"/>
                <w:color w:val="1E293B"/>
                <w:sz w:val="19"/>
              </w:rPr>
              <w:t>Catálogo digital (hasta 30 ítems), recepción pedidos.</w:t>
            </w:r>
          </w:p>
        </w:tc>
        <w:tc>
          <w:tcPr>
            <w:tcW w:type="dxa" w:w="2448"/>
            <w:shd w:fill="FFFFFF"/>
            <w:tcMar>
              <w:top w:w="100" w:type="dxa"/>
              <w:bottom w:w="100" w:type="dxa"/>
              <w:left w:w="140" w:type="dxa"/>
              <w:right w:w="140" w:type="dxa"/>
            </w:tcMar>
          </w:tcPr>
          <w:p>
            <w:r>
              <w:rPr>
                <w:rFonts w:ascii="Calibri" w:hAnsi="Calibri"/>
                <w:color w:val="1E293B"/>
                <w:sz w:val="19"/>
              </w:rPr>
              <w:t>POS Mostrador, KDS Cocina, Kardex/Stock, Factura DGI.</w:t>
            </w:r>
          </w:p>
        </w:tc>
        <w:tc>
          <w:tcPr>
            <w:tcW w:type="dxa" w:w="2304"/>
            <w:shd w:fill="FFFFFF"/>
            <w:tcMar>
              <w:top w:w="100" w:type="dxa"/>
              <w:bottom w:w="100" w:type="dxa"/>
              <w:left w:w="140" w:type="dxa"/>
              <w:right w:w="140" w:type="dxa"/>
            </w:tcMar>
          </w:tcPr>
          <w:p>
            <w:r>
              <w:rPr>
                <w:rFonts w:ascii="Calibri" w:hAnsi="Calibri"/>
                <w:color w:val="1E293B"/>
                <w:sz w:val="19"/>
              </w:rPr>
              <w:t>Multi-sucursal centralizada, traspasos de stock entre bodegas.</w:t>
            </w:r>
          </w:p>
        </w:tc>
      </w:tr>
      <w:tr>
        <w:tc>
          <w:tcPr>
            <w:tcW w:type="dxa" w:w="2592"/>
            <w:shd w:fill="F1F5F9"/>
            <w:tcMar>
              <w:top w:w="100" w:type="dxa"/>
              <w:bottom w:w="100" w:type="dxa"/>
              <w:left w:w="140" w:type="dxa"/>
              <w:right w:w="140" w:type="dxa"/>
            </w:tcMar>
          </w:tcPr>
          <w:p>
            <w:r>
              <w:rPr>
                <w:rFonts w:ascii="Calibri" w:hAnsi="Calibri"/>
                <w:b/>
                <w:color w:val="1E293B"/>
                <w:sz w:val="19"/>
              </w:rPr>
              <w:t>Usuarios y Roles</w:t>
            </w:r>
          </w:p>
        </w:tc>
        <w:tc>
          <w:tcPr>
            <w:tcW w:type="dxa" w:w="2016"/>
            <w:shd w:fill="F1F5F9"/>
            <w:tcMar>
              <w:top w:w="100" w:type="dxa"/>
              <w:bottom w:w="100" w:type="dxa"/>
              <w:left w:w="140" w:type="dxa"/>
              <w:right w:w="140" w:type="dxa"/>
            </w:tcMar>
          </w:tcPr>
          <w:p>
            <w:r>
              <w:rPr>
                <w:rFonts w:ascii="Calibri" w:hAnsi="Calibri"/>
                <w:color w:val="1E293B"/>
                <w:sz w:val="19"/>
              </w:rPr>
              <w:t>1 usuario (propietario).</w:t>
            </w:r>
          </w:p>
        </w:tc>
        <w:tc>
          <w:tcPr>
            <w:tcW w:type="dxa" w:w="2448"/>
            <w:shd w:fill="F1F5F9"/>
            <w:tcMar>
              <w:top w:w="100" w:type="dxa"/>
              <w:bottom w:w="100" w:type="dxa"/>
              <w:left w:w="140" w:type="dxa"/>
              <w:right w:w="140" w:type="dxa"/>
            </w:tcMar>
          </w:tcPr>
          <w:p>
            <w:r>
              <w:rPr>
                <w:rFonts w:ascii="Calibri" w:hAnsi="Calibri"/>
                <w:color w:val="1E293B"/>
                <w:sz w:val="19"/>
              </w:rPr>
              <w:t>Hasta 5 empleados (cajero, cocina, admin).</w:t>
            </w:r>
          </w:p>
        </w:tc>
        <w:tc>
          <w:tcPr>
            <w:tcW w:type="dxa" w:w="2304"/>
            <w:shd w:fill="F1F5F9"/>
            <w:tcMar>
              <w:top w:w="100" w:type="dxa"/>
              <w:bottom w:w="100" w:type="dxa"/>
              <w:left w:w="140" w:type="dxa"/>
              <w:right w:w="140" w:type="dxa"/>
            </w:tcMar>
          </w:tcPr>
          <w:p>
            <w:r>
              <w:rPr>
                <w:rFonts w:ascii="Calibri" w:hAnsi="Calibri"/>
                <w:color w:val="1E293B"/>
                <w:sz w:val="19"/>
              </w:rPr>
              <w:t>Usuarios y cajeros ilimitados con auditoría completa.</w:t>
            </w:r>
          </w:p>
        </w:tc>
      </w:tr>
      <w:tr>
        <w:tc>
          <w:tcPr>
            <w:tcW w:type="dxa" w:w="2592"/>
            <w:shd w:fill="FFFFFF"/>
            <w:tcMar>
              <w:top w:w="100" w:type="dxa"/>
              <w:bottom w:w="100" w:type="dxa"/>
              <w:left w:w="140" w:type="dxa"/>
              <w:right w:w="140" w:type="dxa"/>
            </w:tcMar>
          </w:tcPr>
          <w:p>
            <w:r>
              <w:rPr>
                <w:rFonts w:ascii="Calibri" w:hAnsi="Calibri"/>
                <w:b/>
                <w:color w:val="1E293B"/>
                <w:sz w:val="19"/>
              </w:rPr>
              <w:t>Marketing y Analítica</w:t>
            </w:r>
          </w:p>
        </w:tc>
        <w:tc>
          <w:tcPr>
            <w:tcW w:type="dxa" w:w="2016"/>
            <w:shd w:fill="FFFFFF"/>
            <w:tcMar>
              <w:top w:w="100" w:type="dxa"/>
              <w:bottom w:w="100" w:type="dxa"/>
              <w:left w:w="140" w:type="dxa"/>
              <w:right w:w="140" w:type="dxa"/>
            </w:tcMar>
          </w:tcPr>
          <w:p>
            <w:r>
              <w:rPr>
                <w:rFonts w:ascii="Calibri" w:hAnsi="Calibri"/>
                <w:color w:val="1E293B"/>
                <w:sz w:val="19"/>
              </w:rPr>
              <w:t>Métricas básicas diarias.</w:t>
            </w:r>
          </w:p>
        </w:tc>
        <w:tc>
          <w:tcPr>
            <w:tcW w:type="dxa" w:w="2448"/>
            <w:shd w:fill="FFFFFF"/>
            <w:tcMar>
              <w:top w:w="100" w:type="dxa"/>
              <w:bottom w:w="100" w:type="dxa"/>
              <w:left w:w="140" w:type="dxa"/>
              <w:right w:w="140" w:type="dxa"/>
            </w:tcMar>
          </w:tcPr>
          <w:p>
            <w:r>
              <w:rPr>
                <w:rFonts w:ascii="Calibri" w:hAnsi="Calibri"/>
                <w:color w:val="1E293B"/>
                <w:sz w:val="19"/>
              </w:rPr>
              <w:t>Stories destacadas, cupones propios, exportar Excel.</w:t>
            </w:r>
          </w:p>
        </w:tc>
        <w:tc>
          <w:tcPr>
            <w:tcW w:type="dxa" w:w="2304"/>
            <w:shd w:fill="FFFFFF"/>
            <w:tcMar>
              <w:top w:w="100" w:type="dxa"/>
              <w:bottom w:w="100" w:type="dxa"/>
              <w:left w:w="140" w:type="dxa"/>
              <w:right w:w="140" w:type="dxa"/>
            </w:tcMar>
          </w:tcPr>
          <w:p>
            <w:r>
              <w:rPr>
                <w:rFonts w:ascii="Calibri" w:hAnsi="Calibri"/>
                <w:color w:val="1E293B"/>
                <w:sz w:val="19"/>
              </w:rPr>
              <w:t>Banners de inicio mensuales incluidos, soporte VIP.</w:t>
            </w:r>
          </w:p>
        </w:tc>
      </w:tr>
    </w:tbl>
    <w:p>
      <w:pPr>
        <w:spacing w:after="160"/>
      </w:pPr>
    </w:p>
    <w:p>
      <w:pPr>
        <w:pStyle w:val="Heading1"/>
      </w:pPr>
      <w:r>
        <w:rPr>
          <w:rFonts w:ascii="Segoe UI" w:hAnsi="Segoe UI"/>
          <w:b/>
          <w:color w:val="1E293B"/>
          <w:sz w:val="32"/>
        </w:rPr>
        <w:t>4. Inventario de Módulos Listos para Vender (Código Existente)</w:t>
      </w:r>
    </w:p>
    <w:p>
      <w:pPr>
        <w:spacing w:line="276" w:lineRule="auto" w:after="160"/>
      </w:pPr>
      <w:r>
        <w:t>A diferencia de proyectos en fase de diseño, LogiFast ya cuenta en su repositorio de producción con los siguientes módulos comerciales completamente implementados en el frontend y backend:</w:t>
      </w:r>
    </w:p>
    <w:p>
      <w:pPr>
        <w:pStyle w:val="ListBullet"/>
        <w:spacing w:after="60"/>
      </w:pPr>
      <w:r>
        <w:rPr>
          <w:rFonts w:ascii="Calibri" w:hAnsi="Calibri"/>
          <w:b/>
          <w:sz w:val="20"/>
        </w:rPr>
        <w:t xml:space="preserve">Punto de Venta de Mostrador (TiendaPOS.tsx): </w:t>
      </w:r>
      <w:r>
        <w:rPr>
          <w:rFonts w:ascii="Calibri" w:hAnsi="Calibri"/>
          <w:sz w:val="20"/>
        </w:rPr>
        <w:t>Permite cobrar presencialmente en caja en efectivo, tarjeta o transferencias, controlando arqueos y cierres de turno.</w:t>
      </w:r>
    </w:p>
    <w:p>
      <w:pPr>
        <w:pStyle w:val="ListBullet"/>
        <w:spacing w:after="60"/>
      </w:pPr>
      <w:r>
        <w:rPr>
          <w:rFonts w:ascii="Calibri" w:hAnsi="Calibri"/>
          <w:b/>
          <w:sz w:val="20"/>
        </w:rPr>
        <w:t xml:space="preserve">Escáner por Cámara de Dispositivo (CamaraEscaneo.tsx): </w:t>
      </w:r>
      <w:r>
        <w:rPr>
          <w:rFonts w:ascii="Calibri" w:hAnsi="Calibri"/>
          <w:sz w:val="20"/>
        </w:rPr>
        <w:t>Habilita el escaneo de códigos de barras mediante la cámara del móvil o tablet sin forzar la compra de pistolas láser externas.</w:t>
      </w:r>
    </w:p>
    <w:p>
      <w:pPr>
        <w:pStyle w:val="ListBullet"/>
        <w:spacing w:after="60"/>
      </w:pPr>
      <w:r>
        <w:rPr>
          <w:rFonts w:ascii="Calibri" w:hAnsi="Calibri"/>
          <w:b/>
          <w:sz w:val="20"/>
        </w:rPr>
        <w:t xml:space="preserve">Impresión de Etiquetas de Código de Barras (TiendaEtiquetasModal.tsx): </w:t>
      </w:r>
      <w:r>
        <w:rPr>
          <w:rFonts w:ascii="Calibri" w:hAnsi="Calibri"/>
          <w:sz w:val="20"/>
        </w:rPr>
        <w:t>Genera e imprime etiquetas térmicas adhesivas para estanterías y productos que no poseen código de fábrica.</w:t>
      </w:r>
    </w:p>
    <w:p>
      <w:pPr>
        <w:pStyle w:val="ListBullet"/>
        <w:spacing w:after="60"/>
      </w:pPr>
      <w:r>
        <w:rPr>
          <w:rFonts w:ascii="Calibri" w:hAnsi="Calibri"/>
          <w:b/>
          <w:sz w:val="20"/>
        </w:rPr>
        <w:t xml:space="preserve">Pantalla de Cocina / KDS en Vivo (TiendaKDS.tsx): </w:t>
      </w:r>
      <w:r>
        <w:rPr>
          <w:rFonts w:ascii="Calibri" w:hAnsi="Calibri"/>
          <w:sz w:val="20"/>
        </w:rPr>
        <w:t>Visualizador en tiempo real para el personal de cocina y empaque, con temporizadores por comanda y eliminación del papel.</w:t>
      </w:r>
    </w:p>
    <w:p>
      <w:pPr>
        <w:pStyle w:val="ListBullet"/>
        <w:spacing w:after="60"/>
      </w:pPr>
      <w:r>
        <w:rPr>
          <w:rFonts w:ascii="Calibri" w:hAnsi="Calibri"/>
          <w:b/>
          <w:sz w:val="20"/>
        </w:rPr>
        <w:t xml:space="preserve">Control Contable de Kardex e Inventario (TiendaKardex.tsx / TiendaInventario.tsx): </w:t>
      </w:r>
      <w:r>
        <w:rPr>
          <w:rFonts w:ascii="Calibri" w:hAnsi="Calibri"/>
          <w:sz w:val="20"/>
        </w:rPr>
        <w:t>Libro de movimientos de mercancía (entradas de proveedor, salidas por venta, mermas, vencimientos y alertas de stock mínimo).</w:t>
      </w:r>
    </w:p>
    <w:p>
      <w:pPr>
        <w:pStyle w:val="ListBullet"/>
        <w:spacing w:after="60"/>
      </w:pPr>
      <w:r>
        <w:rPr>
          <w:rFonts w:ascii="Calibri" w:hAnsi="Calibri"/>
          <w:b/>
          <w:sz w:val="20"/>
        </w:rPr>
        <w:t xml:space="preserve">Facturación Personalizada y Fiscal DGI (TiendaFacturacion.tsx / HistorialFacturas.tsx): </w:t>
      </w:r>
      <w:r>
        <w:rPr>
          <w:rFonts w:ascii="Calibri" w:hAnsi="Calibri"/>
          <w:sz w:val="20"/>
        </w:rPr>
        <w:t>Configuración de RUC, régimen tributario DGI, serie fiscal autorizada (ej. F001) y personalización del ticket térmico con logo del local.</w:t>
      </w:r>
    </w:p>
    <w:p>
      <w:pPr>
        <w:pStyle w:val="ListBullet"/>
        <w:spacing w:after="60"/>
      </w:pPr>
      <w:r>
        <w:rPr>
          <w:rFonts w:ascii="Calibri" w:hAnsi="Calibri"/>
          <w:b/>
          <w:sz w:val="20"/>
        </w:rPr>
        <w:t xml:space="preserve">Gestión de Personal Multiusuario (/api/tienda/usuarios): </w:t>
      </w:r>
      <w:r>
        <w:rPr>
          <w:rFonts w:ascii="Calibri" w:hAnsi="Calibri"/>
          <w:sz w:val="20"/>
        </w:rPr>
        <w:t>Creación de accesos independientes para cajeros, cocineros y administradores, impidiendo el acceso a finanzas globales.</w:t>
      </w:r>
    </w:p>
    <w:p>
      <w:pPr>
        <w:pStyle w:val="ListBullet"/>
        <w:spacing w:after="60"/>
      </w:pPr>
      <w:r>
        <w:rPr>
          <w:rFonts w:ascii="Calibri" w:hAnsi="Calibri"/>
          <w:b/>
          <w:sz w:val="20"/>
        </w:rPr>
        <w:t xml:space="preserve">Herramientas de Crecimiento Comercial (TiendaComercial.tsx / TiendaCupones.tsx): </w:t>
      </w:r>
      <w:r>
        <w:rPr>
          <w:rFonts w:ascii="Calibri" w:hAnsi="Calibri"/>
          <w:sz w:val="20"/>
        </w:rPr>
        <w:t>Publicación de Stories en el feed de usuarios, banners publicitarios y generación de códigos promocionales con reglas de descuento.</w:t>
      </w:r>
    </w:p>
    <w:p>
      <w:pPr>
        <w:pStyle w:val="ListBullet"/>
        <w:spacing w:after="60"/>
      </w:pPr>
      <w:r>
        <w:rPr>
          <w:rFonts w:ascii="Calibri" w:hAnsi="Calibri"/>
          <w:b/>
          <w:sz w:val="20"/>
        </w:rPr>
        <w:t xml:space="preserve">Inteligencia Financiera y Exportación Excel (TiendaReportesExcel.tsx / TiendaEstadisticas.tsx): </w:t>
      </w:r>
      <w:r>
        <w:rPr>
          <w:rFonts w:ascii="Calibri" w:hAnsi="Calibri"/>
          <w:sz w:val="20"/>
        </w:rPr>
        <w:t>Exportación de balances mensuales de ventas, productos de mayor rotación y reportes descargables en .xlsx para contabilidad.</w:t>
      </w:r>
    </w:p>
    <w:p>
      <w:pPr>
        <w:spacing w:after="120"/>
      </w:pPr>
    </w:p>
    <w:p>
      <w:pPr>
        <w:pStyle w:val="Heading1"/>
      </w:pPr>
      <w:r>
        <w:rPr>
          <w:rFonts w:ascii="Segoe UI" w:hAnsi="Segoe UI"/>
          <w:b/>
          <w:color w:val="1E293B"/>
          <w:sz w:val="32"/>
        </w:rPr>
        <w:t>5. Tarifa de Delivery: Diagnóstico y Evolución por Kilómetro</w:t>
      </w:r>
    </w:p>
    <w:p>
      <w:pPr>
        <w:spacing w:line="276" w:lineRule="auto" w:after="160"/>
      </w:pPr>
      <w:r>
        <w:t>El costo del envío es el principal factor de fricción para que un cliente final complete una compra. Actualmente, LogiFast opera con un esquema lineal de C$40 base (primeros 2 km incluidos) + C$15 por cada kilómetro adicional.</w:t>
      </w:r>
    </w:p>
    <w:p>
      <w:pPr>
        <w:spacing w:line="276" w:lineRule="auto" w:after="160"/>
      </w:pPr>
      <w:r>
        <w:t>Si bien este esquema es excelente para distancias cortas (0 a 3 km), castiga severamente los pedidos medianos y largos. Por ejemplo, una entrega a 7 km resulta en C$115 córdobas, provocando abandono del carrito. En contraste, PedidosYa utiliza un esquema dinámico por tramos decrecientes donde el kilómetro marginal se abarata a mayor distancia.</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1E3A8A"/>
            <w:tcMar>
              <w:top w:w="120" w:type="dxa"/>
              <w:bottom w:w="120" w:type="dxa"/>
              <w:left w:w="140" w:type="dxa"/>
              <w:right w:w="140" w:type="dxa"/>
            </w:tcMar>
          </w:tcPr>
          <w:p>
            <w:pPr>
              <w:jc w:val="left"/>
            </w:pPr>
            <w:r>
              <w:rPr>
                <w:rFonts w:ascii="Calibri" w:hAnsi="Calibri"/>
                <w:b/>
                <w:color w:val="FFFFFF"/>
                <w:sz w:val="20"/>
              </w:rPr>
              <w:t>Distancia del Pedido</w:t>
            </w:r>
          </w:p>
        </w:tc>
        <w:tc>
          <w:tcPr>
            <w:tcW w:type="dxa" w:w="2304"/>
            <w:shd w:fill="1E3A8A"/>
            <w:tcMar>
              <w:top w:w="120" w:type="dxa"/>
              <w:bottom w:w="120" w:type="dxa"/>
              <w:left w:w="140" w:type="dxa"/>
              <w:right w:w="140" w:type="dxa"/>
            </w:tcMar>
          </w:tcPr>
          <w:p>
            <w:pPr>
              <w:jc w:val="left"/>
            </w:pPr>
            <w:r>
              <w:rPr>
                <w:rFonts w:ascii="Calibri" w:hAnsi="Calibri"/>
                <w:b/>
                <w:color w:val="FFFFFF"/>
                <w:sz w:val="20"/>
              </w:rPr>
              <w:t>LogiFast Hoy (Lineal C$15/km)</w:t>
            </w:r>
          </w:p>
        </w:tc>
        <w:tc>
          <w:tcPr>
            <w:tcW w:type="dxa" w:w="2448"/>
            <w:shd w:fill="1E3A8A"/>
            <w:tcMar>
              <w:top w:w="120" w:type="dxa"/>
              <w:bottom w:w="120" w:type="dxa"/>
              <w:left w:w="140" w:type="dxa"/>
              <w:right w:w="140" w:type="dxa"/>
            </w:tcMar>
          </w:tcPr>
          <w:p>
            <w:pPr>
              <w:jc w:val="left"/>
            </w:pPr>
            <w:r>
              <w:rPr>
                <w:rFonts w:ascii="Calibri" w:hAnsi="Calibri"/>
                <w:b/>
                <w:color w:val="FFFFFF"/>
                <w:sz w:val="20"/>
              </w:rPr>
              <w:t>PedidosYa (Estimado Managua)</w:t>
            </w:r>
          </w:p>
        </w:tc>
        <w:tc>
          <w:tcPr>
            <w:tcW w:type="dxa" w:w="2304"/>
            <w:shd w:fill="1E3A8A"/>
            <w:tcMar>
              <w:top w:w="120" w:type="dxa"/>
              <w:bottom w:w="120" w:type="dxa"/>
              <w:left w:w="140" w:type="dxa"/>
              <w:right w:w="140" w:type="dxa"/>
            </w:tcMar>
          </w:tcPr>
          <w:p>
            <w:pPr>
              <w:jc w:val="left"/>
            </w:pPr>
            <w:r>
              <w:rPr>
                <w:rFonts w:ascii="Calibri" w:hAnsi="Calibri"/>
                <w:b/>
                <w:color w:val="FFFFFF"/>
                <w:sz w:val="20"/>
              </w:rPr>
              <w:t>LogiFast Futuro (Tramos Degresivos)</w:t>
            </w:r>
          </w:p>
        </w:tc>
      </w:tr>
      <w:tr>
        <w:tc>
          <w:tcPr>
            <w:tcW w:type="dxa" w:w="2304"/>
            <w:shd w:fill="FFFFFF"/>
            <w:tcMar>
              <w:top w:w="100" w:type="dxa"/>
              <w:bottom w:w="100" w:type="dxa"/>
              <w:left w:w="140" w:type="dxa"/>
              <w:right w:w="140" w:type="dxa"/>
            </w:tcMar>
          </w:tcPr>
          <w:p>
            <w:r>
              <w:rPr>
                <w:rFonts w:ascii="Calibri" w:hAnsi="Calibri"/>
                <w:b/>
                <w:color w:val="1E293B"/>
                <w:sz w:val="19"/>
              </w:rPr>
              <w:t>0 a 2.0 km (Zona Local)</w:t>
            </w:r>
          </w:p>
        </w:tc>
        <w:tc>
          <w:tcPr>
            <w:tcW w:type="dxa" w:w="2304"/>
            <w:shd w:fill="FFFFFF"/>
            <w:tcMar>
              <w:top w:w="100" w:type="dxa"/>
              <w:bottom w:w="100" w:type="dxa"/>
              <w:left w:w="140" w:type="dxa"/>
              <w:right w:w="140" w:type="dxa"/>
            </w:tcMar>
          </w:tcPr>
          <w:p>
            <w:r>
              <w:rPr>
                <w:rFonts w:ascii="Calibri" w:hAnsi="Calibri"/>
                <w:color w:val="1E293B"/>
                <w:sz w:val="19"/>
              </w:rPr>
              <w:t>C$ 40.00 (Base)</w:t>
            </w:r>
          </w:p>
        </w:tc>
        <w:tc>
          <w:tcPr>
            <w:tcW w:type="dxa" w:w="2448"/>
            <w:shd w:fill="FFFFFF"/>
            <w:tcMar>
              <w:top w:w="100" w:type="dxa"/>
              <w:bottom w:w="100" w:type="dxa"/>
              <w:left w:w="140" w:type="dxa"/>
              <w:right w:w="140" w:type="dxa"/>
            </w:tcMar>
          </w:tcPr>
          <w:p>
            <w:r>
              <w:rPr>
                <w:rFonts w:ascii="Calibri" w:hAnsi="Calibri"/>
                <w:color w:val="1E293B"/>
                <w:sz w:val="19"/>
              </w:rPr>
              <w:t>C$ 25 - C$ 35 (Subsidio)</w:t>
            </w:r>
          </w:p>
        </w:tc>
        <w:tc>
          <w:tcPr>
            <w:tcW w:type="dxa" w:w="2304"/>
            <w:shd w:fill="FFFFFF"/>
            <w:tcMar>
              <w:top w:w="100" w:type="dxa"/>
              <w:bottom w:w="100" w:type="dxa"/>
              <w:left w:w="140" w:type="dxa"/>
              <w:right w:w="140" w:type="dxa"/>
            </w:tcMar>
          </w:tcPr>
          <w:p>
            <w:r>
              <w:rPr>
                <w:rFonts w:ascii="Calibri" w:hAnsi="Calibri"/>
                <w:color w:val="1E293B"/>
                <w:sz w:val="19"/>
              </w:rPr>
              <w:t>C$ 40.00 (Base 2 km incluidos)</w:t>
            </w:r>
          </w:p>
        </w:tc>
      </w:tr>
      <w:tr>
        <w:tc>
          <w:tcPr>
            <w:tcW w:type="dxa" w:w="2304"/>
            <w:shd w:fill="EFF6FF"/>
            <w:tcMar>
              <w:top w:w="100" w:type="dxa"/>
              <w:bottom w:w="100" w:type="dxa"/>
              <w:left w:w="140" w:type="dxa"/>
              <w:right w:w="140" w:type="dxa"/>
            </w:tcMar>
          </w:tcPr>
          <w:p>
            <w:r>
              <w:rPr>
                <w:rFonts w:ascii="Calibri" w:hAnsi="Calibri"/>
                <w:b/>
                <w:color w:val="1E293B"/>
                <w:sz w:val="19"/>
              </w:rPr>
              <w:t>3.5 km</w:t>
            </w:r>
          </w:p>
        </w:tc>
        <w:tc>
          <w:tcPr>
            <w:tcW w:type="dxa" w:w="2304"/>
            <w:shd w:fill="EFF6FF"/>
            <w:tcMar>
              <w:top w:w="100" w:type="dxa"/>
              <w:bottom w:w="100" w:type="dxa"/>
              <w:left w:w="140" w:type="dxa"/>
              <w:right w:w="140" w:type="dxa"/>
            </w:tcMar>
          </w:tcPr>
          <w:p>
            <w:r>
              <w:rPr>
                <w:rFonts w:ascii="Calibri" w:hAnsi="Calibri"/>
                <w:color w:val="1E293B"/>
                <w:sz w:val="19"/>
              </w:rPr>
              <w:t>C$ 62.50</w:t>
            </w:r>
          </w:p>
        </w:tc>
        <w:tc>
          <w:tcPr>
            <w:tcW w:type="dxa" w:w="2448"/>
            <w:shd w:fill="EFF6FF"/>
            <w:tcMar>
              <w:top w:w="100" w:type="dxa"/>
              <w:bottom w:w="100" w:type="dxa"/>
              <w:left w:w="140" w:type="dxa"/>
              <w:right w:w="140" w:type="dxa"/>
            </w:tcMar>
          </w:tcPr>
          <w:p>
            <w:r>
              <w:rPr>
                <w:rFonts w:ascii="Calibri" w:hAnsi="Calibri"/>
                <w:color w:val="1E293B"/>
                <w:sz w:val="19"/>
              </w:rPr>
              <w:t>C$ 50 - C$ 55</w:t>
            </w:r>
          </w:p>
        </w:tc>
        <w:tc>
          <w:tcPr>
            <w:tcW w:type="dxa" w:w="2304"/>
            <w:shd w:fill="EFF6FF"/>
            <w:tcMar>
              <w:top w:w="100" w:type="dxa"/>
              <w:bottom w:w="100" w:type="dxa"/>
              <w:left w:w="140" w:type="dxa"/>
              <w:right w:w="140" w:type="dxa"/>
            </w:tcMar>
          </w:tcPr>
          <w:p>
            <w:r>
              <w:rPr>
                <w:rFonts w:ascii="Calibri" w:hAnsi="Calibri"/>
                <w:color w:val="1E293B"/>
                <w:sz w:val="19"/>
              </w:rPr>
              <w:t>C$ 55.00 (+C$ 12/km)</w:t>
            </w:r>
          </w:p>
        </w:tc>
      </w:tr>
      <w:tr>
        <w:tc>
          <w:tcPr>
            <w:tcW w:type="dxa" w:w="2304"/>
            <w:shd w:fill="FFFFFF"/>
            <w:tcMar>
              <w:top w:w="100" w:type="dxa"/>
              <w:bottom w:w="100" w:type="dxa"/>
              <w:left w:w="140" w:type="dxa"/>
              <w:right w:w="140" w:type="dxa"/>
            </w:tcMar>
          </w:tcPr>
          <w:p>
            <w:r>
              <w:rPr>
                <w:rFonts w:ascii="Calibri" w:hAnsi="Calibri"/>
                <w:b/>
                <w:color w:val="1E293B"/>
                <w:sz w:val="19"/>
              </w:rPr>
              <w:t>5.0 km</w:t>
            </w:r>
          </w:p>
        </w:tc>
        <w:tc>
          <w:tcPr>
            <w:tcW w:type="dxa" w:w="2304"/>
            <w:shd w:fill="FFFFFF"/>
            <w:tcMar>
              <w:top w:w="100" w:type="dxa"/>
              <w:bottom w:w="100" w:type="dxa"/>
              <w:left w:w="140" w:type="dxa"/>
              <w:right w:w="140" w:type="dxa"/>
            </w:tcMar>
          </w:tcPr>
          <w:p>
            <w:r>
              <w:rPr>
                <w:rFonts w:ascii="Calibri" w:hAnsi="Calibri"/>
                <w:color w:val="1E293B"/>
                <w:sz w:val="19"/>
              </w:rPr>
              <w:t>C$ 85.00</w:t>
            </w:r>
          </w:p>
        </w:tc>
        <w:tc>
          <w:tcPr>
            <w:tcW w:type="dxa" w:w="2448"/>
            <w:shd w:fill="FFFFFF"/>
            <w:tcMar>
              <w:top w:w="100" w:type="dxa"/>
              <w:bottom w:w="100" w:type="dxa"/>
              <w:left w:w="140" w:type="dxa"/>
              <w:right w:w="140" w:type="dxa"/>
            </w:tcMar>
          </w:tcPr>
          <w:p>
            <w:r>
              <w:rPr>
                <w:rFonts w:ascii="Calibri" w:hAnsi="Calibri"/>
                <w:color w:val="1E293B"/>
                <w:sz w:val="19"/>
              </w:rPr>
              <w:t>C$ 65 - C$ 75</w:t>
            </w:r>
          </w:p>
        </w:tc>
        <w:tc>
          <w:tcPr>
            <w:tcW w:type="dxa" w:w="2304"/>
            <w:shd w:fill="FFFFFF"/>
            <w:tcMar>
              <w:top w:w="100" w:type="dxa"/>
              <w:bottom w:w="100" w:type="dxa"/>
              <w:left w:w="140" w:type="dxa"/>
              <w:right w:w="140" w:type="dxa"/>
            </w:tcMar>
          </w:tcPr>
          <w:p>
            <w:r>
              <w:rPr>
                <w:rFonts w:ascii="Calibri" w:hAnsi="Calibri"/>
                <w:color w:val="1E293B"/>
                <w:sz w:val="19"/>
              </w:rPr>
              <w:t>C$ 75.00 (+C$ 10/km)</w:t>
            </w:r>
          </w:p>
        </w:tc>
      </w:tr>
      <w:tr>
        <w:tc>
          <w:tcPr>
            <w:tcW w:type="dxa" w:w="2304"/>
            <w:shd w:fill="EFF6FF"/>
            <w:tcMar>
              <w:top w:w="100" w:type="dxa"/>
              <w:bottom w:w="100" w:type="dxa"/>
              <w:left w:w="140" w:type="dxa"/>
              <w:right w:w="140" w:type="dxa"/>
            </w:tcMar>
          </w:tcPr>
          <w:p>
            <w:r>
              <w:rPr>
                <w:rFonts w:ascii="Calibri" w:hAnsi="Calibri"/>
                <w:b/>
                <w:color w:val="1E293B"/>
                <w:sz w:val="19"/>
              </w:rPr>
              <w:t>7.0 km</w:t>
            </w:r>
          </w:p>
        </w:tc>
        <w:tc>
          <w:tcPr>
            <w:tcW w:type="dxa" w:w="2304"/>
            <w:shd w:fill="EFF6FF"/>
            <w:tcMar>
              <w:top w:w="100" w:type="dxa"/>
              <w:bottom w:w="100" w:type="dxa"/>
              <w:left w:w="140" w:type="dxa"/>
              <w:right w:w="140" w:type="dxa"/>
            </w:tcMar>
          </w:tcPr>
          <w:p>
            <w:r>
              <w:rPr>
                <w:rFonts w:ascii="Calibri" w:hAnsi="Calibri"/>
                <w:color w:val="1E293B"/>
                <w:sz w:val="19"/>
              </w:rPr>
              <w:t>C$ 115.00 (Barrera alta)</w:t>
            </w:r>
          </w:p>
        </w:tc>
        <w:tc>
          <w:tcPr>
            <w:tcW w:type="dxa" w:w="2448"/>
            <w:shd w:fill="EFF6FF"/>
            <w:tcMar>
              <w:top w:w="100" w:type="dxa"/>
              <w:bottom w:w="100" w:type="dxa"/>
              <w:left w:w="140" w:type="dxa"/>
              <w:right w:w="140" w:type="dxa"/>
            </w:tcMar>
          </w:tcPr>
          <w:p>
            <w:r>
              <w:rPr>
                <w:rFonts w:ascii="Calibri" w:hAnsi="Calibri"/>
                <w:color w:val="1E293B"/>
                <w:sz w:val="19"/>
              </w:rPr>
              <w:t>C$ 85 - C$ 95</w:t>
            </w:r>
          </w:p>
        </w:tc>
        <w:tc>
          <w:tcPr>
            <w:tcW w:type="dxa" w:w="2304"/>
            <w:shd w:fill="EFF6FF"/>
            <w:tcMar>
              <w:top w:w="100" w:type="dxa"/>
              <w:bottom w:w="100" w:type="dxa"/>
              <w:left w:w="140" w:type="dxa"/>
              <w:right w:w="140" w:type="dxa"/>
            </w:tcMar>
          </w:tcPr>
          <w:p>
            <w:r>
              <w:rPr>
                <w:rFonts w:ascii="Calibri" w:hAnsi="Calibri"/>
                <w:color w:val="1E293B"/>
                <w:sz w:val="19"/>
              </w:rPr>
              <w:t>C$ 95.00 (+C$ 10/km en tramo largo)</w:t>
            </w:r>
          </w:p>
        </w:tc>
      </w:tr>
      <w:tr>
        <w:tc>
          <w:tcPr>
            <w:tcW w:type="dxa" w:w="2304"/>
            <w:shd w:fill="FFFFFF"/>
            <w:tcMar>
              <w:top w:w="100" w:type="dxa"/>
              <w:bottom w:w="100" w:type="dxa"/>
              <w:left w:w="140" w:type="dxa"/>
              <w:right w:w="140" w:type="dxa"/>
            </w:tcMar>
          </w:tcPr>
          <w:p>
            <w:r>
              <w:rPr>
                <w:rFonts w:ascii="Calibri" w:hAnsi="Calibri"/>
                <w:b/>
                <w:color w:val="1E293B"/>
                <w:sz w:val="19"/>
              </w:rPr>
              <w:t>10.0 km</w:t>
            </w:r>
          </w:p>
        </w:tc>
        <w:tc>
          <w:tcPr>
            <w:tcW w:type="dxa" w:w="2304"/>
            <w:shd w:fill="FFFFFF"/>
            <w:tcMar>
              <w:top w:w="100" w:type="dxa"/>
              <w:bottom w:w="100" w:type="dxa"/>
              <w:left w:w="140" w:type="dxa"/>
              <w:right w:w="140" w:type="dxa"/>
            </w:tcMar>
          </w:tcPr>
          <w:p>
            <w:r>
              <w:rPr>
                <w:rFonts w:ascii="Calibri" w:hAnsi="Calibri"/>
                <w:color w:val="1E293B"/>
                <w:sz w:val="19"/>
              </w:rPr>
              <w:t>C$ 160.00 (Invendible)</w:t>
            </w:r>
          </w:p>
        </w:tc>
        <w:tc>
          <w:tcPr>
            <w:tcW w:type="dxa" w:w="2448"/>
            <w:shd w:fill="FFFFFF"/>
            <w:tcMar>
              <w:top w:w="100" w:type="dxa"/>
              <w:bottom w:w="100" w:type="dxa"/>
              <w:left w:w="140" w:type="dxa"/>
              <w:right w:w="140" w:type="dxa"/>
            </w:tcMar>
          </w:tcPr>
          <w:p>
            <w:r>
              <w:rPr>
                <w:rFonts w:ascii="Calibri" w:hAnsi="Calibri"/>
                <w:color w:val="1E293B"/>
                <w:sz w:val="19"/>
              </w:rPr>
              <w:t>C$ 110 - C$ 125</w:t>
            </w:r>
          </w:p>
        </w:tc>
        <w:tc>
          <w:tcPr>
            <w:tcW w:type="dxa" w:w="2304"/>
            <w:shd w:fill="FFFFFF"/>
            <w:tcMar>
              <w:top w:w="100" w:type="dxa"/>
              <w:bottom w:w="100" w:type="dxa"/>
              <w:left w:w="140" w:type="dxa"/>
              <w:right w:w="140" w:type="dxa"/>
            </w:tcMar>
          </w:tcPr>
          <w:p>
            <w:r>
              <w:rPr>
                <w:rFonts w:ascii="Calibri" w:hAnsi="Calibri"/>
                <w:color w:val="1E293B"/>
                <w:sz w:val="19"/>
              </w:rPr>
              <w:t>C$ 125.00 (+C$ 10/km tramo largo)</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936"/>
            <w:shd w:fill="EFF6FF"/>
            <w:tcMar>
              <w:top w:w="140" w:type="dxa"/>
              <w:bottom w:w="140" w:type="dxa"/>
              <w:left w:w="200" w:type="dxa"/>
              <w:right w:w="200" w:type="dxa"/>
            </w:tcMar>
            <w:tcBorders>
              <w:top w:val="none"/>
              <w:left w:val="single" w:sz="36" w:space="0" w:color="2563EB"/>
              <w:bottom w:val="none"/>
              <w:right w:val="none"/>
            </w:tcBorders>
          </w:tcPr>
          <w:p>
            <w:pPr>
              <w:spacing w:before="40" w:after="40"/>
            </w:pPr>
            <w:r>
              <w:rPr>
                <w:rFonts w:ascii="Calibri" w:hAnsi="Calibri"/>
                <w:b/>
                <w:color w:val="C2410C"/>
                <w:sz w:val="21"/>
              </w:rPr>
              <w:t xml:space="preserve">📌 HOJA DE RUTA DEL ALGORITMO DE DISTANCIA: </w:t>
            </w:r>
            <w:r>
              <w:rPr>
                <w:rFonts w:ascii="Calibri" w:hAnsi="Calibri"/>
                <w:color w:val="431407"/>
                <w:sz w:val="21"/>
              </w:rPr>
              <w:t>Recomendación Técnica Inmediata: Migrar el cálculo de distancia de Haversine (línea recta aérea) a la distancia real en ruta provista por el servidor OSRM de LogiFast, e implementar dos tramos de costo: C$12/km entre el km 2 y el km 5, y C$10/km para distancias mayores a 5 km. Esto reduce el precio al comprador en viajes largos sin comprometer la ganancia del motorizado.</w:t>
            </w:r>
          </w:p>
        </w:tc>
      </w:tr>
    </w:tbl>
    <w:p/>
    <w:p>
      <w:pPr>
        <w:pStyle w:val="Heading1"/>
      </w:pPr>
      <w:r>
        <w:rPr>
          <w:rFonts w:ascii="Segoe UI" w:hAnsi="Segoe UI"/>
          <w:b/>
          <w:color w:val="1E293B"/>
          <w:sz w:val="32"/>
        </w:rPr>
        <w:t>6. Retención al Repartidor (Tasa Tecnológica del 8%)</w:t>
      </w:r>
    </w:p>
    <w:p>
      <w:pPr>
        <w:spacing w:line="276" w:lineRule="auto" w:after="160"/>
      </w:pPr>
      <w:r>
        <w:t>A diferencia de las aplicaciones que cobran a los conductores entre el 20% y el 30% (causando deserción y fuga hacia grupos de WhatsApp), LogiFast propone una tasa tecnológica fija del 8% sobre el valor del envío realizado.</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047857"/>
            <w:tcMar>
              <w:top w:w="120" w:type="dxa"/>
              <w:bottom w:w="120" w:type="dxa"/>
              <w:left w:w="140" w:type="dxa"/>
              <w:right w:w="140" w:type="dxa"/>
            </w:tcMar>
          </w:tcPr>
          <w:p>
            <w:pPr>
              <w:jc w:val="left"/>
            </w:pPr>
            <w:r>
              <w:rPr>
                <w:rFonts w:ascii="Calibri" w:hAnsi="Calibri"/>
                <w:b/>
                <w:color w:val="FFFFFF"/>
                <w:sz w:val="20"/>
              </w:rPr>
              <w:t>Plataforma</w:t>
            </w:r>
          </w:p>
        </w:tc>
        <w:tc>
          <w:tcPr>
            <w:tcW w:type="dxa" w:w="2880"/>
            <w:shd w:fill="047857"/>
            <w:tcMar>
              <w:top w:w="120" w:type="dxa"/>
              <w:bottom w:w="120" w:type="dxa"/>
              <w:left w:w="140" w:type="dxa"/>
              <w:right w:w="140" w:type="dxa"/>
            </w:tcMar>
          </w:tcPr>
          <w:p>
            <w:pPr>
              <w:jc w:val="left"/>
            </w:pPr>
            <w:r>
              <w:rPr>
                <w:rFonts w:ascii="Calibri" w:hAnsi="Calibri"/>
                <w:b/>
                <w:color w:val="FFFFFF"/>
                <w:sz w:val="20"/>
              </w:rPr>
              <w:t>Comisión / Retención al Conductor</w:t>
            </w:r>
          </w:p>
        </w:tc>
        <w:tc>
          <w:tcPr>
            <w:tcW w:type="dxa" w:w="3312"/>
            <w:shd w:fill="047857"/>
            <w:tcMar>
              <w:top w:w="120" w:type="dxa"/>
              <w:bottom w:w="120" w:type="dxa"/>
              <w:left w:w="140" w:type="dxa"/>
              <w:right w:w="140" w:type="dxa"/>
            </w:tcMar>
          </w:tcPr>
          <w:p>
            <w:pPr>
              <w:jc w:val="left"/>
            </w:pPr>
            <w:r>
              <w:rPr>
                <w:rFonts w:ascii="Calibri" w:hAnsi="Calibri"/>
                <w:b/>
                <w:color w:val="FFFFFF"/>
                <w:sz w:val="20"/>
              </w:rPr>
              <w:t>Impacto en la Flota</w:t>
            </w:r>
          </w:p>
        </w:tc>
      </w:tr>
      <w:tr>
        <w:tc>
          <w:tcPr>
            <w:tcW w:type="dxa" w:w="3168"/>
            <w:shd w:fill="FFFFFF"/>
            <w:tcMar>
              <w:top w:w="100" w:type="dxa"/>
              <w:bottom w:w="100" w:type="dxa"/>
              <w:left w:w="140" w:type="dxa"/>
              <w:right w:w="140" w:type="dxa"/>
            </w:tcMar>
          </w:tcPr>
          <w:p>
            <w:r>
              <w:rPr>
                <w:rFonts w:ascii="Calibri" w:hAnsi="Calibri"/>
                <w:b/>
                <w:color w:val="1E293B"/>
                <w:sz w:val="19"/>
              </w:rPr>
              <w:t>Uber / DiDi Moto</w:t>
            </w:r>
          </w:p>
        </w:tc>
        <w:tc>
          <w:tcPr>
            <w:tcW w:type="dxa" w:w="2880"/>
            <w:shd w:fill="FFFFFF"/>
            <w:tcMar>
              <w:top w:w="100" w:type="dxa"/>
              <w:bottom w:w="100" w:type="dxa"/>
              <w:left w:w="140" w:type="dxa"/>
              <w:right w:w="140" w:type="dxa"/>
            </w:tcMar>
          </w:tcPr>
          <w:p>
            <w:r>
              <w:rPr>
                <w:rFonts w:ascii="Calibri" w:hAnsi="Calibri"/>
                <w:color w:val="1E293B"/>
                <w:sz w:val="19"/>
              </w:rPr>
              <w:t>25% al 30% por viaje</w:t>
            </w:r>
          </w:p>
        </w:tc>
        <w:tc>
          <w:tcPr>
            <w:tcW w:type="dxa" w:w="3312"/>
            <w:shd w:fill="FFFFFF"/>
            <w:tcMar>
              <w:top w:w="100" w:type="dxa"/>
              <w:bottom w:w="100" w:type="dxa"/>
              <w:left w:w="140" w:type="dxa"/>
              <w:right w:w="140" w:type="dxa"/>
            </w:tcMar>
          </w:tcPr>
          <w:p>
            <w:r>
              <w:rPr>
                <w:rFonts w:ascii="Calibri" w:hAnsi="Calibri"/>
                <w:color w:val="1E293B"/>
                <w:sz w:val="19"/>
              </w:rPr>
              <w:t>Alta rotación, quejas constantes, desvío de clientes fuera de la app.</w:t>
            </w:r>
          </w:p>
        </w:tc>
      </w:tr>
      <w:tr>
        <w:tc>
          <w:tcPr>
            <w:tcW w:type="dxa" w:w="3168"/>
            <w:shd w:fill="ECFDF5"/>
            <w:tcMar>
              <w:top w:w="100" w:type="dxa"/>
              <w:bottom w:w="100" w:type="dxa"/>
              <w:left w:w="140" w:type="dxa"/>
              <w:right w:w="140" w:type="dxa"/>
            </w:tcMar>
          </w:tcPr>
          <w:p>
            <w:r>
              <w:rPr>
                <w:rFonts w:ascii="Calibri" w:hAnsi="Calibri"/>
                <w:b/>
                <w:color w:val="1E293B"/>
                <w:sz w:val="19"/>
              </w:rPr>
              <w:t>InDrive</w:t>
            </w:r>
          </w:p>
        </w:tc>
        <w:tc>
          <w:tcPr>
            <w:tcW w:type="dxa" w:w="2880"/>
            <w:shd w:fill="ECFDF5"/>
            <w:tcMar>
              <w:top w:w="100" w:type="dxa"/>
              <w:bottom w:w="100" w:type="dxa"/>
              <w:left w:w="140" w:type="dxa"/>
              <w:right w:w="140" w:type="dxa"/>
            </w:tcMar>
          </w:tcPr>
          <w:p>
            <w:r>
              <w:rPr>
                <w:rFonts w:ascii="Calibri" w:hAnsi="Calibri"/>
                <w:color w:val="1E293B"/>
                <w:sz w:val="19"/>
              </w:rPr>
              <w:t>9.5% al 13% de tasa de servicio</w:t>
            </w:r>
          </w:p>
        </w:tc>
        <w:tc>
          <w:tcPr>
            <w:tcW w:type="dxa" w:w="3312"/>
            <w:shd w:fill="ECFDF5"/>
            <w:tcMar>
              <w:top w:w="100" w:type="dxa"/>
              <w:bottom w:w="100" w:type="dxa"/>
              <w:left w:w="140" w:type="dxa"/>
              <w:right w:w="140" w:type="dxa"/>
            </w:tcMar>
          </w:tcPr>
          <w:p>
            <w:r>
              <w:rPr>
                <w:rFonts w:ascii="Calibri" w:hAnsi="Calibri"/>
                <w:color w:val="1E293B"/>
                <w:sz w:val="19"/>
              </w:rPr>
              <w:t>Esquema altamente aceptado y preferido por los conductores.</w:t>
            </w:r>
          </w:p>
        </w:tc>
      </w:tr>
      <w:tr>
        <w:tc>
          <w:tcPr>
            <w:tcW w:type="dxa" w:w="3168"/>
            <w:shd w:fill="FFFFFF"/>
            <w:tcMar>
              <w:top w:w="100" w:type="dxa"/>
              <w:bottom w:w="100" w:type="dxa"/>
              <w:left w:w="140" w:type="dxa"/>
              <w:right w:w="140" w:type="dxa"/>
            </w:tcMar>
          </w:tcPr>
          <w:p>
            <w:r>
              <w:rPr>
                <w:rFonts w:ascii="Calibri" w:hAnsi="Calibri"/>
                <w:b/>
                <w:color w:val="1E293B"/>
                <w:sz w:val="19"/>
              </w:rPr>
              <w:t>LogiFast (Propuesto)</w:t>
            </w:r>
          </w:p>
        </w:tc>
        <w:tc>
          <w:tcPr>
            <w:tcW w:type="dxa" w:w="2880"/>
            <w:shd w:fill="FFFFFF"/>
            <w:tcMar>
              <w:top w:w="100" w:type="dxa"/>
              <w:bottom w:w="100" w:type="dxa"/>
              <w:left w:w="140" w:type="dxa"/>
              <w:right w:w="140" w:type="dxa"/>
            </w:tcMar>
          </w:tcPr>
          <w:p>
            <w:r>
              <w:rPr>
                <w:rFonts w:ascii="Calibri" w:hAnsi="Calibri"/>
                <w:color w:val="1E293B"/>
                <w:sz w:val="19"/>
              </w:rPr>
              <w:t>8.0% fijo por viaje completado</w:t>
            </w:r>
          </w:p>
        </w:tc>
        <w:tc>
          <w:tcPr>
            <w:tcW w:type="dxa" w:w="3312"/>
            <w:shd w:fill="FFFFFF"/>
            <w:tcMar>
              <w:top w:w="100" w:type="dxa"/>
              <w:bottom w:w="100" w:type="dxa"/>
              <w:left w:w="140" w:type="dxa"/>
              <w:right w:w="140" w:type="dxa"/>
            </w:tcMar>
          </w:tcPr>
          <w:p>
            <w:r>
              <w:rPr>
                <w:rFonts w:ascii="Calibri" w:hAnsi="Calibri"/>
                <w:color w:val="1E293B"/>
                <w:sz w:val="19"/>
              </w:rPr>
              <w:t>La tasa más atractiva del mercado. Fidelización absoluta y rápida captación de flota.</w:t>
            </w:r>
          </w:p>
        </w:tc>
      </w:tr>
    </w:tbl>
    <w:p>
      <w:pPr>
        <w:spacing w:after="160"/>
      </w:pPr>
    </w:p>
    <w:p>
      <w:r>
        <w:rPr>
          <w:rFonts w:ascii="Segoe UI" w:hAnsi="Segoe UI"/>
          <w:b/>
          <w:color w:val="1E293B"/>
          <w:sz w:val="23"/>
        </w:rPr>
        <w:t>Ejemplo Numérico Real de una Orden Completa:</w:t>
      </w:r>
    </w:p>
    <w:p>
      <w:pPr>
        <w:spacing w:line="288" w:lineRule="auto" w:after="200"/>
      </w:pPr>
      <w:r>
        <w:t>• Pedido en Restaurante: C$ 300.00 en productos de comida.</w:t>
        <w:br/>
        <w:t>• Costo de Envío: C$ 50.00 (pagados 100% por el cliente final).</w:t>
        <w:br/>
        <w:t>• Pago Total del Cliente: C$ 350.00.</w:t>
        <w:br/>
        <w:br/>
        <w:t>Distribución y Ganancias:</w:t>
        <w:br/>
        <w:t>1. La Tienda paga el 14% sobre la comida (C$ 42.00) y recibe C$ 258.00 netos (Ahorrando más de C$45 vs PedidosYa).</w:t>
        <w:br/>
        <w:t>2. El Repartidor recibe C$ 46.00 netos por el envío (se deduce su 8% tecnológico = C$ 4.00).</w:t>
        <w:br/>
        <w:t>3. LogiFast recauda C$ 46.00 en total (C$ 42.00 de la tienda + C$ 4.00 del viaje).</w:t>
        <w:br/>
        <w:t>4. En ventas de mostrador: Si la tienda cobra C$300 en su local usando LogiFast POS, la comisión es C$ 0.00.</w:t>
      </w:r>
    </w:p>
    <w:p>
      <w:pPr>
        <w:pStyle w:val="Heading1"/>
      </w:pPr>
      <w:r>
        <w:rPr>
          <w:rFonts w:ascii="Segoe UI" w:hAnsi="Segoe UI"/>
          <w:b/>
          <w:color w:val="1E293B"/>
          <w:sz w:val="32"/>
        </w:rPr>
        <w:t>7. Tabla Comparativa: LogiFast vs. PedidosYa</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0F172A"/>
            <w:tcMar>
              <w:top w:w="120" w:type="dxa"/>
              <w:bottom w:w="120" w:type="dxa"/>
              <w:left w:w="140" w:type="dxa"/>
              <w:right w:w="140" w:type="dxa"/>
            </w:tcMar>
          </w:tcPr>
          <w:p>
            <w:pPr>
              <w:jc w:val="left"/>
            </w:pPr>
            <w:r>
              <w:rPr>
                <w:rFonts w:ascii="Calibri" w:hAnsi="Calibri"/>
                <w:b/>
                <w:color w:val="FFFFFF"/>
                <w:sz w:val="20"/>
              </w:rPr>
              <w:t>Aspecto Comercial</w:t>
            </w:r>
          </w:p>
        </w:tc>
        <w:tc>
          <w:tcPr>
            <w:tcW w:type="dxa" w:w="3024"/>
            <w:shd w:fill="0F172A"/>
            <w:tcMar>
              <w:top w:w="120" w:type="dxa"/>
              <w:bottom w:w="120" w:type="dxa"/>
              <w:left w:w="140" w:type="dxa"/>
              <w:right w:w="140" w:type="dxa"/>
            </w:tcMar>
          </w:tcPr>
          <w:p>
            <w:pPr>
              <w:jc w:val="left"/>
            </w:pPr>
            <w:r>
              <w:rPr>
                <w:rFonts w:ascii="Calibri" w:hAnsi="Calibri"/>
                <w:b/>
                <w:color w:val="FFFFFF"/>
                <w:sz w:val="20"/>
              </w:rPr>
              <w:t>PedidosYa (Modelo Tradicional)</w:t>
            </w:r>
          </w:p>
        </w:tc>
        <w:tc>
          <w:tcPr>
            <w:tcW w:type="dxa" w:w="3168"/>
            <w:shd w:fill="0F172A"/>
            <w:tcMar>
              <w:top w:w="120" w:type="dxa"/>
              <w:bottom w:w="120" w:type="dxa"/>
              <w:left w:w="140" w:type="dxa"/>
              <w:right w:w="140" w:type="dxa"/>
            </w:tcMar>
          </w:tcPr>
          <w:p>
            <w:pPr>
              <w:jc w:val="left"/>
            </w:pPr>
            <w:r>
              <w:rPr>
                <w:rFonts w:ascii="Calibri" w:hAnsi="Calibri"/>
                <w:b/>
                <w:color w:val="FFFFFF"/>
                <w:sz w:val="20"/>
              </w:rPr>
              <w:t>LogiFast (Modelo Innovador)</w:t>
            </w:r>
          </w:p>
        </w:tc>
      </w:tr>
      <w:tr>
        <w:tc>
          <w:tcPr>
            <w:tcW w:type="dxa" w:w="3168"/>
            <w:shd w:fill="FFFFFF"/>
            <w:tcMar>
              <w:top w:w="100" w:type="dxa"/>
              <w:bottom w:w="100" w:type="dxa"/>
              <w:left w:w="140" w:type="dxa"/>
              <w:right w:w="140" w:type="dxa"/>
            </w:tcMar>
          </w:tcPr>
          <w:p>
            <w:r>
              <w:rPr>
                <w:rFonts w:ascii="Calibri" w:hAnsi="Calibri"/>
                <w:b/>
                <w:color w:val="1E293B"/>
                <w:sz w:val="19"/>
              </w:rPr>
              <w:t>Comisión a Tiendas</w:t>
            </w:r>
          </w:p>
        </w:tc>
        <w:tc>
          <w:tcPr>
            <w:tcW w:type="dxa" w:w="3024"/>
            <w:shd w:fill="FFFFFF"/>
            <w:tcMar>
              <w:top w:w="100" w:type="dxa"/>
              <w:bottom w:w="100" w:type="dxa"/>
              <w:left w:w="140" w:type="dxa"/>
              <w:right w:w="140" w:type="dxa"/>
            </w:tcMar>
          </w:tcPr>
          <w:p>
            <w:r>
              <w:rPr>
                <w:rFonts w:ascii="Calibri" w:hAnsi="Calibri"/>
                <w:color w:val="1E293B"/>
                <w:sz w:val="19"/>
              </w:rPr>
              <w:t>25% al 35% + IVA por orden</w:t>
            </w:r>
          </w:p>
        </w:tc>
        <w:tc>
          <w:tcPr>
            <w:tcW w:type="dxa" w:w="3168"/>
            <w:shd w:fill="FFFFFF"/>
            <w:tcMar>
              <w:top w:w="100" w:type="dxa"/>
              <w:bottom w:w="100" w:type="dxa"/>
              <w:left w:w="140" w:type="dxa"/>
              <w:right w:w="140" w:type="dxa"/>
            </w:tcMar>
          </w:tcPr>
          <w:p>
            <w:r>
              <w:rPr>
                <w:rFonts w:ascii="Calibri" w:hAnsi="Calibri"/>
                <w:color w:val="1E293B"/>
                <w:sz w:val="19"/>
              </w:rPr>
              <w:t>12% al 15% fijo y transparente</w:t>
            </w:r>
          </w:p>
        </w:tc>
      </w:tr>
      <w:tr>
        <w:tc>
          <w:tcPr>
            <w:tcW w:type="dxa" w:w="3168"/>
            <w:shd w:fill="F8FAFC"/>
            <w:tcMar>
              <w:top w:w="100" w:type="dxa"/>
              <w:bottom w:w="100" w:type="dxa"/>
              <w:left w:w="140" w:type="dxa"/>
              <w:right w:w="140" w:type="dxa"/>
            </w:tcMar>
          </w:tcPr>
          <w:p>
            <w:r>
              <w:rPr>
                <w:rFonts w:ascii="Calibri" w:hAnsi="Calibri"/>
                <w:b/>
                <w:color w:val="1E293B"/>
                <w:sz w:val="19"/>
              </w:rPr>
              <w:t>Comisión Venta en Local</w:t>
            </w:r>
          </w:p>
        </w:tc>
        <w:tc>
          <w:tcPr>
            <w:tcW w:type="dxa" w:w="3024"/>
            <w:shd w:fill="F8FAFC"/>
            <w:tcMar>
              <w:top w:w="100" w:type="dxa"/>
              <w:bottom w:w="100" w:type="dxa"/>
              <w:left w:w="140" w:type="dxa"/>
              <w:right w:w="140" w:type="dxa"/>
            </w:tcMar>
          </w:tcPr>
          <w:p>
            <w:r>
              <w:rPr>
                <w:rFonts w:ascii="Calibri" w:hAnsi="Calibri"/>
                <w:color w:val="1E293B"/>
                <w:sz w:val="19"/>
              </w:rPr>
              <w:t>Cobro mensual por POS físico ($20/mes) sin integración completa</w:t>
            </w:r>
          </w:p>
        </w:tc>
        <w:tc>
          <w:tcPr>
            <w:tcW w:type="dxa" w:w="3168"/>
            <w:shd w:fill="F8FAFC"/>
            <w:tcMar>
              <w:top w:w="100" w:type="dxa"/>
              <w:bottom w:w="100" w:type="dxa"/>
              <w:left w:w="140" w:type="dxa"/>
              <w:right w:w="140" w:type="dxa"/>
            </w:tcMar>
          </w:tcPr>
          <w:p>
            <w:r>
              <w:rPr>
                <w:rFonts w:ascii="Calibri" w:hAnsi="Calibri"/>
                <w:color w:val="1E293B"/>
                <w:sz w:val="19"/>
              </w:rPr>
              <w:t>0% de comisión. Sistema POS incluido en Plan PRO</w:t>
            </w:r>
          </w:p>
        </w:tc>
      </w:tr>
      <w:tr>
        <w:tc>
          <w:tcPr>
            <w:tcW w:type="dxa" w:w="3168"/>
            <w:shd w:fill="FFFFFF"/>
            <w:tcMar>
              <w:top w:w="100" w:type="dxa"/>
              <w:bottom w:w="100" w:type="dxa"/>
              <w:left w:w="140" w:type="dxa"/>
              <w:right w:w="140" w:type="dxa"/>
            </w:tcMar>
          </w:tcPr>
          <w:p>
            <w:r>
              <w:rPr>
                <w:rFonts w:ascii="Calibri" w:hAnsi="Calibri"/>
                <w:b/>
                <w:color w:val="1E293B"/>
                <w:sz w:val="19"/>
              </w:rPr>
              <w:t>Pantalla Cocina (KDS)</w:t>
            </w:r>
          </w:p>
        </w:tc>
        <w:tc>
          <w:tcPr>
            <w:tcW w:type="dxa" w:w="3024"/>
            <w:shd w:fill="FFFFFF"/>
            <w:tcMar>
              <w:top w:w="100" w:type="dxa"/>
              <w:bottom w:w="100" w:type="dxa"/>
              <w:left w:w="140" w:type="dxa"/>
              <w:right w:w="140" w:type="dxa"/>
            </w:tcMar>
          </w:tcPr>
          <w:p>
            <w:r>
              <w:rPr>
                <w:rFonts w:ascii="Calibri" w:hAnsi="Calibri"/>
                <w:color w:val="1E293B"/>
                <w:sz w:val="19"/>
              </w:rPr>
              <w:t>No disponible para locales pequeños</w:t>
            </w:r>
          </w:p>
        </w:tc>
        <w:tc>
          <w:tcPr>
            <w:tcW w:type="dxa" w:w="3168"/>
            <w:shd w:fill="FFFFFF"/>
            <w:tcMar>
              <w:top w:w="100" w:type="dxa"/>
              <w:bottom w:w="100" w:type="dxa"/>
              <w:left w:w="140" w:type="dxa"/>
              <w:right w:w="140" w:type="dxa"/>
            </w:tcMar>
          </w:tcPr>
          <w:p>
            <w:r>
              <w:rPr>
                <w:rFonts w:ascii="Calibri" w:hAnsi="Calibri"/>
                <w:color w:val="1E293B"/>
                <w:sz w:val="19"/>
              </w:rPr>
              <w:t>Incluida en tiempo real para cualquier tablet/PC</w:t>
            </w:r>
          </w:p>
        </w:tc>
      </w:tr>
      <w:tr>
        <w:tc>
          <w:tcPr>
            <w:tcW w:type="dxa" w:w="3168"/>
            <w:shd w:fill="F8FAFC"/>
            <w:tcMar>
              <w:top w:w="100" w:type="dxa"/>
              <w:bottom w:w="100" w:type="dxa"/>
              <w:left w:w="140" w:type="dxa"/>
              <w:right w:w="140" w:type="dxa"/>
            </w:tcMar>
          </w:tcPr>
          <w:p>
            <w:r>
              <w:rPr>
                <w:rFonts w:ascii="Calibri" w:hAnsi="Calibri"/>
                <w:b/>
                <w:color w:val="1E293B"/>
                <w:sz w:val="19"/>
              </w:rPr>
              <w:t>Retención al Repartidor</w:t>
            </w:r>
          </w:p>
        </w:tc>
        <w:tc>
          <w:tcPr>
            <w:tcW w:type="dxa" w:w="3024"/>
            <w:shd w:fill="F8FAFC"/>
            <w:tcMar>
              <w:top w:w="100" w:type="dxa"/>
              <w:bottom w:w="100" w:type="dxa"/>
              <w:left w:w="140" w:type="dxa"/>
              <w:right w:w="140" w:type="dxa"/>
            </w:tcMar>
          </w:tcPr>
          <w:p>
            <w:r>
              <w:rPr>
                <w:rFonts w:ascii="Calibri" w:hAnsi="Calibri"/>
                <w:color w:val="1E293B"/>
                <w:sz w:val="19"/>
              </w:rPr>
              <w:t>Tarifas opacas calculadas por algoritmo cerrado</w:t>
            </w:r>
          </w:p>
        </w:tc>
        <w:tc>
          <w:tcPr>
            <w:tcW w:type="dxa" w:w="3168"/>
            <w:shd w:fill="F8FAFC"/>
            <w:tcMar>
              <w:top w:w="100" w:type="dxa"/>
              <w:bottom w:w="100" w:type="dxa"/>
              <w:left w:w="140" w:type="dxa"/>
              <w:right w:w="140" w:type="dxa"/>
            </w:tcMar>
          </w:tcPr>
          <w:p>
            <w:r>
              <w:rPr>
                <w:rFonts w:ascii="Calibri" w:hAnsi="Calibri"/>
                <w:color w:val="1E293B"/>
                <w:sz w:val="19"/>
              </w:rPr>
              <w:t>8% transparente deducido de saldo prepago</w:t>
            </w:r>
          </w:p>
        </w:tc>
      </w:tr>
      <w:tr>
        <w:tc>
          <w:tcPr>
            <w:tcW w:type="dxa" w:w="3168"/>
            <w:shd w:fill="FFFFFF"/>
            <w:tcMar>
              <w:top w:w="100" w:type="dxa"/>
              <w:bottom w:w="100" w:type="dxa"/>
              <w:left w:w="140" w:type="dxa"/>
              <w:right w:w="140" w:type="dxa"/>
            </w:tcMar>
          </w:tcPr>
          <w:p>
            <w:r>
              <w:rPr>
                <w:rFonts w:ascii="Calibri" w:hAnsi="Calibri"/>
                <w:b/>
                <w:color w:val="1E293B"/>
                <w:sz w:val="19"/>
              </w:rPr>
              <w:t>Control de Inventario</w:t>
            </w:r>
          </w:p>
        </w:tc>
        <w:tc>
          <w:tcPr>
            <w:tcW w:type="dxa" w:w="3024"/>
            <w:shd w:fill="FFFFFF"/>
            <w:tcMar>
              <w:top w:w="100" w:type="dxa"/>
              <w:bottom w:w="100" w:type="dxa"/>
              <w:left w:w="140" w:type="dxa"/>
              <w:right w:w="140" w:type="dxa"/>
            </w:tcMar>
          </w:tcPr>
          <w:p>
            <w:r>
              <w:rPr>
                <w:rFonts w:ascii="Calibri" w:hAnsi="Calibri"/>
                <w:color w:val="1E293B"/>
                <w:sz w:val="19"/>
              </w:rPr>
              <w:t>Menú básico sin libro contable</w:t>
            </w:r>
          </w:p>
        </w:tc>
        <w:tc>
          <w:tcPr>
            <w:tcW w:type="dxa" w:w="3168"/>
            <w:shd w:fill="FFFFFF"/>
            <w:tcMar>
              <w:top w:w="100" w:type="dxa"/>
              <w:bottom w:w="100" w:type="dxa"/>
              <w:left w:w="140" w:type="dxa"/>
              <w:right w:w="140" w:type="dxa"/>
            </w:tcMar>
          </w:tcPr>
          <w:p>
            <w:r>
              <w:rPr>
                <w:rFonts w:ascii="Calibri" w:hAnsi="Calibri"/>
                <w:color w:val="1E293B"/>
                <w:sz w:val="19"/>
              </w:rPr>
              <w:t>Kardex integral con alertas y mermas</w:t>
            </w:r>
          </w:p>
        </w:tc>
      </w:tr>
      <w:tr>
        <w:tc>
          <w:tcPr>
            <w:tcW w:type="dxa" w:w="3168"/>
            <w:shd w:fill="F8FAFC"/>
            <w:tcMar>
              <w:top w:w="100" w:type="dxa"/>
              <w:bottom w:w="100" w:type="dxa"/>
              <w:left w:w="140" w:type="dxa"/>
              <w:right w:w="140" w:type="dxa"/>
            </w:tcMar>
          </w:tcPr>
          <w:p>
            <w:r>
              <w:rPr>
                <w:rFonts w:ascii="Calibri" w:hAnsi="Calibri"/>
                <w:b/>
                <w:color w:val="1E293B"/>
                <w:sz w:val="19"/>
              </w:rPr>
              <w:t>Suscripción de Software</w:t>
            </w:r>
          </w:p>
        </w:tc>
        <w:tc>
          <w:tcPr>
            <w:tcW w:type="dxa" w:w="3024"/>
            <w:shd w:fill="F8FAFC"/>
            <w:tcMar>
              <w:top w:w="100" w:type="dxa"/>
              <w:bottom w:w="100" w:type="dxa"/>
              <w:left w:w="140" w:type="dxa"/>
              <w:right w:w="140" w:type="dxa"/>
            </w:tcMar>
          </w:tcPr>
          <w:p>
            <w:r>
              <w:rPr>
                <w:rFonts w:ascii="Calibri" w:hAnsi="Calibri"/>
                <w:color w:val="1E293B"/>
                <w:sz w:val="19"/>
              </w:rPr>
              <w:t>No existe (dependencia absoluta del marketplace)</w:t>
            </w:r>
          </w:p>
        </w:tc>
        <w:tc>
          <w:tcPr>
            <w:tcW w:type="dxa" w:w="3168"/>
            <w:shd w:fill="F8FAFC"/>
            <w:tcMar>
              <w:top w:w="100" w:type="dxa"/>
              <w:bottom w:w="100" w:type="dxa"/>
              <w:left w:w="140" w:type="dxa"/>
              <w:right w:w="140" w:type="dxa"/>
            </w:tcMar>
          </w:tcPr>
          <w:p>
            <w:r>
              <w:rPr>
                <w:rFonts w:ascii="Calibri" w:hAnsi="Calibri"/>
                <w:color w:val="1E293B"/>
                <w:sz w:val="19"/>
              </w:rPr>
              <w:t>Plan PRO accesible (C$450/mes) con valor operativo real</w:t>
            </w:r>
          </w:p>
        </w:tc>
      </w:tr>
    </w:tbl>
    <w:p>
      <w:pPr>
        <w:spacing w:after="240"/>
      </w:pPr>
    </w:p>
    <w:p>
      <w:pPr>
        <w:pStyle w:val="Heading1"/>
      </w:pPr>
      <w:r>
        <w:rPr>
          <w:rFonts w:ascii="Segoe UI" w:hAnsi="Segoe UI"/>
          <w:b/>
          <w:color w:val="1E293B"/>
          <w:sz w:val="32"/>
        </w:rPr>
        <w:t>8. Hoja de Ruta de Implementación Comercial</w:t>
      </w:r>
    </w:p>
    <w:p>
      <w:pPr>
        <w:pStyle w:val="ListBullet"/>
        <w:spacing w:after="80"/>
      </w:pPr>
      <w:r>
        <w:rPr>
          <w:rFonts w:ascii="Calibri" w:hAnsi="Calibri"/>
          <w:b/>
          <w:sz w:val="20"/>
        </w:rPr>
        <w:t xml:space="preserve">Fase 1: Activación del Candado de Planes (Feature Flags): </w:t>
      </w:r>
      <w:r>
        <w:rPr>
          <w:rFonts w:ascii="Calibri" w:hAnsi="Calibri"/>
          <w:sz w:val="20"/>
        </w:rPr>
        <w:t>Limitar en el código de Tienda las funciones de POS físico, Kardex y KDS a las cuentas que tengan 'plan: PRO' activo en la base de datos.</w:t>
      </w:r>
    </w:p>
    <w:p>
      <w:pPr>
        <w:pStyle w:val="ListBullet"/>
        <w:spacing w:after="80"/>
      </w:pPr>
      <w:r>
        <w:rPr>
          <w:rFonts w:ascii="Calibri" w:hAnsi="Calibri"/>
          <w:b/>
          <w:sz w:val="20"/>
        </w:rPr>
        <w:t xml:space="preserve">Fase 2: Lanzamiento del Plan PRO con Prueba Gratuita de 14 Días: </w:t>
      </w:r>
      <w:r>
        <w:rPr>
          <w:rFonts w:ascii="Calibri" w:hAnsi="Calibri"/>
          <w:sz w:val="20"/>
        </w:rPr>
        <w:t>Ofrecer a las primeras 20 tiendas afiliadas el uso gratuito del sistema POS e inventario durante 14 días para que organicen su caja física y se acostumbren al flujo.</w:t>
      </w:r>
    </w:p>
    <w:p>
      <w:pPr>
        <w:pStyle w:val="ListBullet"/>
        <w:spacing w:after="80"/>
      </w:pPr>
      <w:r>
        <w:rPr>
          <w:rFonts w:ascii="Calibri" w:hAnsi="Calibri"/>
          <w:b/>
          <w:sz w:val="20"/>
        </w:rPr>
        <w:t xml:space="preserve">Fase 3: Transición a Cobro Mensual (C$ 400 - C$ 450): </w:t>
      </w:r>
      <w:r>
        <w:rPr>
          <w:rFonts w:ascii="Calibri" w:hAnsi="Calibri"/>
          <w:sz w:val="20"/>
        </w:rPr>
        <w:t>Cobro de la mensualidad PRO vía transferencia bancaria o débito del saldo de ventas de la tienda acumuladas en la plataforma.</w:t>
      </w:r>
    </w:p>
    <w:p>
      <w:pPr>
        <w:pStyle w:val="ListBullet"/>
        <w:spacing w:after="80"/>
      </w:pPr>
      <w:r>
        <w:rPr>
          <w:rFonts w:ascii="Calibri" w:hAnsi="Calibri"/>
          <w:b/>
          <w:sz w:val="20"/>
        </w:rPr>
        <w:t xml:space="preserve">Fase 4: Optimización del Algoritmo de Envíos: </w:t>
      </w:r>
      <w:r>
        <w:rPr>
          <w:rFonts w:ascii="Calibri" w:hAnsi="Calibri"/>
          <w:sz w:val="20"/>
        </w:rPr>
        <w:t>Ajustar en tarifas.ts la fórmula por tramos (C$12/km hasta 5km y C$10/km en tramo largo) y activar el cálculo con distancia OSRM de ruta.</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LogiFast Technologies — Documento Estratégico y Plan de Monetización | Confidencial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