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LibreOffice_project/3d775be2011f3886db32dfd395a6a6d1ca2630ff</Application>
  <Pages>13</Pages>
  <Words>3415</Words>
  <Characters>19198</Characters>
  <CharactersWithSpaces>27547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2020-09-15T11:03:57Z</dcterms:modified>
  <cp:revision>1</cp:revision>
  <dc:subject/>
  <dc:title>HybridSort.aec - Syntax Highlighted in NodeJS</dc:title>
</cp:coreProperties>
</file>