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Još kasnije sam dobio suradnika iz Yorubalanda iz Nigerije poznatog na GitHubu kao Gb-JS, a na Discordu kao JoshScript.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-u, naime, da način na koji sam napisao CSS uzrokuje layout trashing i usporava cijeli program oko 12 puta, a više o tome možete pročitati na kraju ovog teksta. </w:t>
      </w:r>
      <w:r>
        <w:rPr>
          <w:rFonts w:ascii="Times New Roman" w:hAnsi="Times New Roman"/>
          <w:b w:val="false"/>
          <w:bCs w:val="false"/>
          <w:i w:val="false"/>
          <w:iCs w:val="false"/>
          <w:sz w:val="22"/>
          <w:szCs w:val="22"/>
          <w:lang w:val="hr-HR"/>
        </w:rPr>
        <w:t xml:space="preserve">Kasnije sam uočio da Firefox 52 ignorira CSS naredbu </w:t>
      </w:r>
      <w:r>
        <w:rPr>
          <w:rFonts w:ascii="Courier New" w:hAnsi="Courier New"/>
          <w:b w:val="false"/>
          <w:bCs w:val="false"/>
          <w:i w:val="false"/>
          <w:iCs w:val="false"/>
          <w:sz w:val="22"/>
          <w:szCs w:val="22"/>
          <w:lang w:val="hr-HR"/>
        </w:rPr>
        <w:t>margin-right</w:t>
      </w:r>
      <w:r>
        <w:rPr>
          <w:rFonts w:ascii="Times New Roman" w:hAnsi="Times New Roman"/>
          <w:b w:val="false"/>
          <w:bCs w:val="false"/>
          <w:i w:val="false"/>
          <w:iCs w:val="false"/>
          <w:sz w:val="22"/>
          <w:szCs w:val="22"/>
          <w:lang w:val="hr-HR"/>
        </w:rPr>
        <w:t xml:space="preserve"> na najdesnijem elementu u flexboxu, čineći time da on bude priljepljen za desni border. To sam riješio CSS pseudoelementima, ovako:</w:t>
      </w:r>
    </w:p>
    <w:p>
      <w:pPr>
        <w:pStyle w:val="Normal"/>
        <w:numPr>
          <w:ilvl w:val="0"/>
          <w:numId w:val="0"/>
        </w:numPr>
        <w:ind w:hanging="0" w:left="720" w:right="0"/>
        <w:jc w:val="left"/>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.exampleCodeLink:last-child::after {</w:t>
        <w:br/>
        <w:t xml:space="preserve">  /*</w:t>
        <w:br/>
        <w:t xml:space="preserve">  Firefox 52, apparently, ignores margin-right on the last element of the</w:t>
        <w:br/>
        <w:t xml:space="preserve">  flexbox. So, let's solve it somewhow differently.</w:t>
        <w:br/>
        <w:t xml:space="preserve">  */</w:t>
        <w:br/>
        <w:t xml:space="preserve">  content: "   ";</w:t>
        <w:br/>
        <w:t xml:space="preserve">  display: block;</w:t>
        <w:br/>
        <w:t xml:space="preserve">  width: 1px;</w:t>
        <w:br/>
        <w:t xml:space="preserve">  flex-shrink: 0;</w:t>
        <w:br/>
        <w:t xml:space="preserve">  white-space: pre;</w:t>
        <w:b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20. svibnja 2025. godine dobio sam pull request od GitHub korisnika Gb-JS iz Yorubalanda iz Nigerije, poznatog na Discordu kao JoshScript (aktivan na WebAssembly serveru), koji sam prihvatio. Gb-JS radio je sitna refaktoriranja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datoteke.</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Nepotrebno za reći, dato</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 xml:space="preserve">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 xml:space="preserve">Later I also got a contributor called Abidin Durdu from Turkey, who made a back-end using PHP and MySQL. </w:t>
      </w:r>
      <w:r>
        <w:rPr>
          <w:i/>
          <w:iCs/>
          <w:lang w:val="hr-HR"/>
        </w:rPr>
        <w:t>Later on I received contributions from a GitHub user Gb-JS, who is from Yorubaland in Nigeria.</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2195</TotalTime>
  <Application>LibreOffice/25.2.5.2$Windows_X86_64 LibreOffice_project/03d19516eb2e1dd5d4ccd751a0d6f35f35e08022</Application>
  <AppVersion>15.0000</AppVersion>
  <Pages>36</Pages>
  <Words>18814</Words>
  <Characters>106396</Characters>
  <CharactersWithSpaces>125153</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2025-09-08T15:56:10Z</dcterms:modified>
  <cp:revision>351</cp:revision>
  <dc:subject/>
  <dc:title/>
</cp:coreProperties>
</file>