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lang w:val="hr-HR"/>
        </w:rPr>
      </w:pPr>
      <w:r>
        <w:rPr>
          <w:rFonts w:ascii="Times New Roman" w:hAnsi="Times New Roman"/>
          <w:b/>
          <w:bCs/>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t>Autor: Teo Samaržija</w:t>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Ima 116 redaka, uključujući brojne komentare.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 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LibreOffice/7.3.5.2$Windows_X86_64 LibreOffice_project/184fe81b8c8c30d8b5082578aee2fed2ea847c01</Application>
  <AppVersion>15.0000</AppVersion>
  <Pages>9</Pages>
  <Words>6809</Words>
  <Characters>38450</Characters>
  <CharactersWithSpaces>45209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2022-08-17T18:24:08Z</dcterms:modified>
  <cp:revision>4</cp:revision>
  <dc:subject/>
  <dc:title/>
</cp:coreProperties>
</file>