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
          <w:bCs/>
          <w:lang w:val="hr-HR"/>
        </w:rPr>
      </w:pPr>
      <w:r>
        <w:rPr>
          <w:rFonts w:ascii="Times New Roman" w:hAnsi="Times New Roman"/>
          <w:b/>
          <w:bCs/>
          <w:lang w:val="hr-HR"/>
        </w:rPr>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 w:val="false"/>
                <w:bCs w:val="false"/>
                <w:i w:val="false"/>
                <w:iCs w:val="false"/>
                <w:sz w:val="24"/>
                <w:szCs w:val="24"/>
                <w:highlight w:val="none"/>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 w:val="false"/>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 w:val="false"/>
                <w:bCs w:val="false"/>
                <w:i w:val="false"/>
                <w:iCs w:val="false"/>
                <w:sz w:val="24"/>
                <w:szCs w:val="24"/>
                <w:highlight w:val="none"/>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 w:val="false"/>
                <w:bCs w:val="false"/>
                <w:i w:val="false"/>
                <w:iCs w:val="false"/>
                <w:sz w:val="28"/>
                <w:szCs w:val="24"/>
                <w:highlight w:val="none"/>
                <w:shd w:fill="DDDDDD" w:val="clear"/>
                <w:lang w:val="hr-HR"/>
              </w:rPr>
            </w:pPr>
            <w:r>
              <w:rPr>
                <w:b/>
                <w:bCs w:val="false"/>
                <w:iCs w:val="false"/>
                <w:sz w:val="28"/>
                <w:szCs w:val="24"/>
                <w:shd w:fill="DDDDDD" w:val="clear"/>
                <w:lang w:val="hr-HR"/>
              </w:rPr>
              <w:t>Imenovanje Povjerenstva za završni rad</w:t>
            </w:r>
          </w:p>
        </w:tc>
      </w:tr>
      <w:tr>
        <w:trPr/>
        <w:tc>
          <w:tcPr>
            <w:tcW w:w="4819"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Ime i prezime Pristupnika:</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9"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Studij, smjer:</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9"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Mat. br. Pristupnika, godina upisa:</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9"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OIB studenta:</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9"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Mentor:</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9"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Sumentor:</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9"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Sumentor iz tvrtke:</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9"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Predsjednik povjerenstva:</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9"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Član povjerenstva 1:</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9"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Član povjerenstva 2:</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9"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Naslov završnog rada:</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9" w:type="dxa"/>
            <w:tcBorders>
              <w:left w:val="single" w:sz="4" w:space="0" w:color="000000"/>
              <w:bottom w:val="single" w:sz="4" w:space="0" w:color="000000"/>
            </w:tcBorders>
          </w:tcPr>
          <w:p>
            <w:pPr>
              <w:pStyle w:val="TableContents"/>
              <w:rPr>
                <w:b/>
                <w:b w:val="false"/>
                <w:bCs w:val="false"/>
                <w:i w:val="false"/>
                <w:iCs w:val="false"/>
                <w:sz w:val="24"/>
                <w:szCs w:val="24"/>
                <w:lang w:val="hr-HR"/>
              </w:rPr>
            </w:pPr>
            <w:r>
              <w:rPr>
                <w:b/>
                <w:bCs w:val="false"/>
                <w:iCs w:val="false"/>
                <w:szCs w:val="24"/>
                <w:lang w:val="hr-HR"/>
              </w:rPr>
              <w:t>Znanstvena grana završnog rada:</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9" w:type="dxa"/>
            <w:tcBorders>
              <w:left w:val="single" w:sz="4" w:space="0" w:color="000000"/>
              <w:bottom w:val="single" w:sz="4" w:space="0" w:color="000000"/>
            </w:tcBorders>
            <w:vAlign w:val="center"/>
          </w:tcPr>
          <w:p>
            <w:pPr>
              <w:pStyle w:val="TableContents"/>
              <w:rPr>
                <w:b/>
                <w:b w:val="false"/>
                <w:bCs w:val="false"/>
                <w:i w:val="false"/>
                <w:iCs w:val="false"/>
                <w:sz w:val="24"/>
                <w:szCs w:val="24"/>
                <w:lang w:val="hr-HR"/>
              </w:rPr>
            </w:pPr>
            <w:r>
              <w:rPr>
                <w:b/>
                <w:bCs w:val="false"/>
                <w:iCs w:val="false"/>
                <w:szCs w:val="24"/>
                <w:lang w:val="hr-HR"/>
              </w:rPr>
              <w:t>Zadatak završnog rada:</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9" w:type="dxa"/>
            <w:tcBorders>
              <w:left w:val="single" w:sz="4" w:space="0" w:color="000000"/>
              <w:bottom w:val="single" w:sz="4" w:space="0" w:color="000000"/>
            </w:tcBorders>
            <w:vAlign w:val="center"/>
          </w:tcPr>
          <w:p>
            <w:pPr>
              <w:pStyle w:val="TableContents"/>
              <w:rPr>
                <w:b/>
                <w:b w:val="false"/>
                <w:bCs w:val="false"/>
                <w:i w:val="false"/>
                <w:iCs w:val="false"/>
                <w:sz w:val="24"/>
                <w:szCs w:val="24"/>
                <w:lang w:val="hr-HR"/>
              </w:rPr>
            </w:pPr>
            <w:r>
              <w:rPr>
                <w:b/>
                <w:bCs w:val="false"/>
                <w:iCs w:val="false"/>
                <w:szCs w:val="24"/>
                <w:lang w:val="hr-HR"/>
              </w:rPr>
              <w:t>Prijedlog ocjene pismenog dijela ispita (završnog rada):</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9" w:type="dxa"/>
            <w:tcBorders>
              <w:left w:val="single" w:sz="4" w:space="0" w:color="000000"/>
              <w:bottom w:val="single" w:sz="4" w:space="0" w:color="000000"/>
            </w:tcBorders>
            <w:vAlign w:val="center"/>
          </w:tcPr>
          <w:p>
            <w:pPr>
              <w:pStyle w:val="TableContents"/>
              <w:rPr>
                <w:b/>
                <w:b w:val="false"/>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9" w:type="dxa"/>
            <w:tcBorders>
              <w:left w:val="single" w:sz="4" w:space="0" w:color="000000"/>
              <w:bottom w:val="single" w:sz="4" w:space="0" w:color="000000"/>
            </w:tcBorders>
            <w:vAlign w:val="center"/>
          </w:tcPr>
          <w:p>
            <w:pPr>
              <w:pStyle w:val="TableContents"/>
              <w:rPr>
                <w:b/>
                <w:b w:val="false"/>
                <w:bCs w:val="false"/>
                <w:i w:val="false"/>
                <w:iCs w:val="false"/>
                <w:sz w:val="24"/>
                <w:szCs w:val="24"/>
                <w:lang w:val="hr-HR"/>
              </w:rPr>
            </w:pPr>
            <w:r>
              <w:rPr>
                <w:b/>
                <w:bCs w:val="false"/>
                <w:iCs w:val="false"/>
                <w:szCs w:val="24"/>
                <w:lang w:val="hr-HR"/>
              </w:rPr>
              <w:t>Datum prijedloga ocjene od strane mentora:</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9" w:type="dxa"/>
            <w:vMerge w:val="restart"/>
            <w:tcBorders>
              <w:left w:val="single" w:sz="4" w:space="0" w:color="000000"/>
              <w:bottom w:val="single" w:sz="4" w:space="0" w:color="000000"/>
            </w:tcBorders>
            <w:vAlign w:val="center"/>
          </w:tcPr>
          <w:p>
            <w:pPr>
              <w:pStyle w:val="TableContents"/>
              <w:rPr>
                <w:b w:val="false"/>
                <w:b w:val="false"/>
                <w:bCs w:val="false"/>
                <w:i w:val="false"/>
                <w:iCs w:val="false"/>
                <w:sz w:val="24"/>
                <w:szCs w:val="24"/>
                <w:lang w:val="hr-HR"/>
              </w:rPr>
            </w:pPr>
            <w:r>
              <w:rPr>
                <w:b w:val="false"/>
                <w:bCs w:val="false"/>
                <w:iCs w:val="false"/>
                <w:szCs w:val="24"/>
                <w:lang w:val="hr-HR"/>
              </w:rPr>
              <w:t>Potvrda mentora o predaji konačne verzije rada:</w:t>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9" w:type="dxa"/>
            <w:vMerge w:val="continue"/>
            <w:tcBorders>
              <w:left w:val="single" w:sz="4" w:space="0" w:color="000000"/>
              <w:bottom w:val="single" w:sz="4" w:space="0" w:color="000000"/>
            </w:tcBorders>
            <w:vAlign w:val="center"/>
          </w:tcPr>
          <w:p>
            <w:pPr>
              <w:pStyle w:val="TableContents"/>
              <w:rPr>
                <w:b/>
                <w:b w:val="false"/>
                <w:bCs w:val="false"/>
                <w:i w:val="false"/>
                <w:iCs w:val="false"/>
                <w:sz w:val="24"/>
                <w:szCs w:val="24"/>
                <w:lang w:val="hr-HR"/>
              </w:rPr>
            </w:pPr>
            <w:r>
              <w:rPr>
                <w:b/>
                <w:bCs w:val="false"/>
                <w:iCs w:val="false"/>
                <w:szCs w:val="24"/>
                <w:lang w:val="hr-HR"/>
              </w:rPr>
            </w:r>
          </w:p>
        </w:tc>
        <w:tc>
          <w:tcPr>
            <w:tcW w:w="4819"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
          <w:bCs/>
          <w:i w:val="false"/>
          <w:i w:val="false"/>
          <w:iCs w:val="false"/>
          <w:sz w:val="22"/>
          <w:szCs w:val="22"/>
          <w:lang w:val="hr-HR"/>
        </w:rPr>
      </w:pPr>
      <w:r>
        <w:rPr/>
      </w:r>
      <w:r>
        <w:br w:type="page"/>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
                <w:bCs/>
                <w:highlight w:val="none"/>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
                <w:bCs/>
                <w:lang w:val="hr-HR"/>
              </w:rPr>
            </w:pPr>
            <w:r>
              <w:rPr>
                <w:b/>
                <w:bCs/>
                <w:lang w:val="hr-HR"/>
              </w:rPr>
              <w:t>Osijek, 29. 8. 2022.</w:t>
            </w:r>
          </w:p>
        </w:tc>
      </w:tr>
      <w:tr>
        <w:trPr/>
        <w:tc>
          <w:tcPr>
            <w:tcW w:w="4819" w:type="dxa"/>
            <w:tcBorders>
              <w:left w:val="single" w:sz="4" w:space="0" w:color="000000"/>
              <w:bottom w:val="single" w:sz="4" w:space="0" w:color="000000"/>
            </w:tcBorders>
          </w:tcPr>
          <w:p>
            <w:pPr>
              <w:pStyle w:val="TableContents"/>
              <w:rPr>
                <w:b/>
                <w:b/>
                <w:bCs/>
                <w:lang w:val="hr-HR"/>
              </w:rPr>
            </w:pPr>
            <w:r>
              <w:rPr>
                <w:b/>
                <w:bCs/>
                <w:lang w:val="hr-HR"/>
              </w:rPr>
              <w:t>Ime i prezime studenta:</w:t>
            </w:r>
          </w:p>
        </w:tc>
        <w:tc>
          <w:tcPr>
            <w:tcW w:w="4819"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9" w:type="dxa"/>
            <w:tcBorders>
              <w:left w:val="single" w:sz="4" w:space="0" w:color="000000"/>
              <w:bottom w:val="single" w:sz="4" w:space="0" w:color="000000"/>
            </w:tcBorders>
          </w:tcPr>
          <w:p>
            <w:pPr>
              <w:pStyle w:val="TableContents"/>
              <w:rPr>
                <w:b/>
                <w:b/>
                <w:bCs/>
                <w:lang w:val="hr-HR"/>
              </w:rPr>
            </w:pPr>
            <w:r>
              <w:rPr>
                <w:b/>
                <w:bCs/>
                <w:lang w:val="hr-HR"/>
              </w:rPr>
              <w:t>Studij:</w:t>
            </w:r>
          </w:p>
        </w:tc>
        <w:tc>
          <w:tcPr>
            <w:tcW w:w="4819"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9" w:type="dxa"/>
            <w:tcBorders>
              <w:left w:val="single" w:sz="4" w:space="0" w:color="000000"/>
              <w:bottom w:val="single" w:sz="4" w:space="0" w:color="000000"/>
            </w:tcBorders>
          </w:tcPr>
          <w:p>
            <w:pPr>
              <w:pStyle w:val="TableContents"/>
              <w:rPr>
                <w:b/>
                <w:b/>
                <w:bCs/>
                <w:lang w:val="hr-HR"/>
              </w:rPr>
            </w:pPr>
            <w:r>
              <w:rPr>
                <w:b/>
                <w:bCs/>
                <w:lang w:val="hr-HR"/>
              </w:rPr>
              <w:t>Mat. br. studenta, godina upisa:</w:t>
            </w:r>
          </w:p>
        </w:tc>
        <w:tc>
          <w:tcPr>
            <w:tcW w:w="4819"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9" w:type="dxa"/>
            <w:tcBorders>
              <w:left w:val="single" w:sz="4" w:space="0" w:color="000000"/>
              <w:bottom w:val="single" w:sz="4" w:space="0" w:color="000000"/>
            </w:tcBorders>
          </w:tcPr>
          <w:p>
            <w:pPr>
              <w:pStyle w:val="TableContents"/>
              <w:rPr>
                <w:b/>
                <w:b/>
                <w:bCs/>
                <w:lang w:val="hr-HR"/>
              </w:rPr>
            </w:pPr>
            <w:r>
              <w:rPr>
                <w:b/>
                <w:bCs/>
                <w:lang w:val="hr-HR"/>
              </w:rPr>
              <w:t>Turnitin podudaranje [%]:</w:t>
            </w:r>
          </w:p>
        </w:tc>
        <w:tc>
          <w:tcPr>
            <w:tcW w:w="4819"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 w:val="false"/>
                <w:bCs w:val="false"/>
                <w:lang w:val="hr-HR"/>
              </w:rPr>
            </w:pPr>
            <w:r>
              <w:rPr>
                <w:b w:val="false"/>
                <w:bCs w:val="false"/>
                <w:lang w:val="hr-HR"/>
              </w:rPr>
              <w:t>izrađen pod vodstvom mentora izv. prof. dr. sc. Ivan Aleksi</w:t>
            </w:r>
          </w:p>
          <w:p>
            <w:pPr>
              <w:pStyle w:val="TableContents"/>
              <w:rPr>
                <w:b w:val="false"/>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
          <w:bCs/>
          <w:i w:val="false"/>
          <w:i w:val="false"/>
          <w:iCs w:val="false"/>
          <w:sz w:val="22"/>
          <w:szCs w:val="22"/>
          <w:lang w:val="hr-HR"/>
        </w:rPr>
      </w:pPr>
      <w:r>
        <w:rPr/>
      </w:r>
      <w:r>
        <w:br w:type="page"/>
      </w:r>
    </w:p>
    <w:p>
      <w:pPr>
        <w:pStyle w:val="Normal"/>
        <w:ind w:left="1260" w:right="0" w:hanging="1260"/>
        <w:jc w:val="both"/>
        <w:rPr>
          <w:rFonts w:ascii="Times New Roman" w:hAnsi="Times New Roman"/>
          <w:b/>
          <w:b/>
          <w:bCs/>
          <w:i w:val="false"/>
          <w:i w:val="false"/>
          <w:iCs w:val="false"/>
          <w:sz w:val="22"/>
          <w:szCs w:val="22"/>
          <w:lang w:val="hr-HR"/>
        </w:rPr>
      </w:pPr>
      <w: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U tekstu slijede detalji o tome kako je autor napravio svoj simulator te koje su prednosti i mane tog simulatora u usporedbi s već postojećim simulatorima.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 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xml:space="preserve">), a igrom slučaja na latinskom jeziku akuzativ množine u drugoj deklinaciji u srednjem rodu i ablativ jednine prve deklinacije imaju isti nastavak </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rečenica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(aliqubus) Grcima (Graecis) glasinom poznata.</w:t>
      </w:r>
      <w:r>
        <w:rPr>
          <w:rFonts w:ascii="Times New Roman" w:hAnsi="Times New Roman"/>
          <w:b w:val="false"/>
          <w:bCs w:val="false"/>
          <w:i w:val="false"/>
          <w:iCs w:val="false"/>
          <w:sz w:val="22"/>
          <w:szCs w:val="22"/>
          <w:lang w:val="hr-HR"/>
        </w:rPr>
        <w:t xml:space="preserve"> 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kao još nekolicina latinskih pridjeva.</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Za slučajeve kad se takve stvari dogode u programskom jeziku</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bi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4"/>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5"/>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koristi za pisanje korijena stranih riječi ili onomatopeja.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6"/>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što ne bi prošlo na pravom PicoBlazeu. Da bi ispisao broj u novi red, on ispisuje na port sa sljedećom adresom, što na pravom PicoBlazeu isto ne bi prošlo. Ima 116 redaka, uključujući brojne komentare.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 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koji pretvara dekadske brojeve u binarne, a dekadski brojevi se u njega upisuju koristeći UART, a isto tako se iz UART-a čitaju binarni brojevi koji su rezultati.</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Posebno zahvaljujem profesoru Ivanu Aleksiju što me potakao da ovo napravim i što je sakupio informacije na internetu potrebne za to. Zahvaljujem i programerima koji su napravili internetski servis LGTM, statički analizer za JavaScript koji me je upozorio na neke greške koje sam napravio. JavaScript je relativno loš programski jezik i takvi su alati korisni.</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10"/>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 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to search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firstLine="449"/>
        <w:rPr>
          <w:lang w:val="hr-HR"/>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firstLine="360"/>
        <w:rPr/>
      </w:pPr>
      <w:r>
        <w:rPr>
          <w:lang w:val="hr-HR"/>
        </w:rPr>
        <w:t>Često sam sudjelovao na informatičkim natjecanjima. U 6. razredu osnovne osvojio sam 3. mjesto na županijskom natjecanju</w:t>
      </w:r>
      <w:r>
        <w:rPr>
          <w:rStyle w:val="FootnoteAnchor"/>
          <w:lang w:val="hr-HR"/>
        </w:rPr>
        <w:footnoteReference w:id="11"/>
      </w:r>
      <w:r>
        <w:rPr>
          <w:lang w:val="hr-HR"/>
        </w:rPr>
        <w:t>, u 7. razredu 4. mjesto na državnom natjecanju</w:t>
      </w:r>
      <w:r>
        <w:rPr>
          <w:rStyle w:val="FootnoteAnchor"/>
          <w:lang w:val="hr-HR"/>
        </w:rPr>
        <w:footnoteReference w:id="12"/>
      </w:r>
      <w:r>
        <w:rPr>
          <w:lang w:val="hr-HR"/>
        </w:rPr>
        <w:t>, u 8. razredu 6. mjesto na državnom natjecanju</w:t>
      </w:r>
      <w:r>
        <w:rPr>
          <w:rStyle w:val="FootnoteAnchor"/>
          <w:lang w:val="hr-HR"/>
        </w:rPr>
        <w:footnoteReference w:id="13"/>
      </w:r>
      <w:r>
        <w:rPr>
          <w:lang w:val="hr-HR"/>
        </w:rPr>
        <w:t xml:space="preserve"> (sve je to organizirao Infokup), u srednjoj školi sam se, kad sam bio 3. razred, natjecao na HONI-ju, te sam osvojio 15. mjesto</w:t>
      </w:r>
      <w:r>
        <w:rPr>
          <w:rStyle w:val="FootnoteAnchor"/>
          <w:lang w:val="hr-HR"/>
        </w:rPr>
        <w:footnoteReference w:id="14"/>
      </w:r>
      <w:r>
        <w:rPr>
          <w:lang w:val="hr-HR"/>
        </w:rPr>
        <w:t>. 2019. godine sam, kao student prve godine, sudjelovao na STEM Games natjecanju iz programiranja, na kojem je moja ekipa osvojila 7. mjesto</w:t>
      </w:r>
      <w:r>
        <w:rPr>
          <w:rStyle w:val="FootnoteAnchor"/>
          <w:lang w:val="hr-HR"/>
        </w:rPr>
        <w:footnoteReference w:id="15"/>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16"/>
      </w:r>
      <w:r>
        <w:rPr>
          <w:lang w:val="hr-HR"/>
        </w:rPr>
        <w:t>.</w:t>
      </w:r>
    </w:p>
    <w:p>
      <w:pPr>
        <w:pStyle w:val="TextBody"/>
        <w:ind w:firstLine="360"/>
        <w:rPr/>
      </w:pPr>
      <w:r>
        <w:rPr>
          <w:lang w:val="hr-HR"/>
        </w:rPr>
        <w:t xml:space="preserve">Izdavačka kuća Panon izdala mi je knjigu pod naslovom </w:t>
      </w:r>
      <w:r>
        <w:rPr>
          <w:i/>
          <w:lang w:val="hr-HR"/>
        </w:rPr>
        <w:t>Jezici za gimnazijalce</w:t>
      </w:r>
      <w:r>
        <w:rPr>
          <w:rStyle w:val="FootnoteAnchor"/>
          <w:i/>
          <w:lang w:val="hr-HR"/>
        </w:rPr>
        <w:footnoteReference w:id="17"/>
      </w:r>
      <w:r>
        <w:rPr>
          <w:lang w:val="hr-HR"/>
        </w:rPr>
        <w:t xml:space="preserve">, te sam sudjelovao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18"/>
      </w:r>
      <w:r>
        <w:rPr>
          <w:lang w:val="hr-HR"/>
        </w:rPr>
        <w:t xml:space="preserve">. 2022. godine napisao sam tekst o ideji da je to k-r što se ponavlja u nazivima rijeka u Hrvatskoj (Krka, Korana, Kravarščica, Krbavica, Krapina, dvije Karašice) značilo jednostavno </w:t>
      </w:r>
      <w:r>
        <w:rPr>
          <w:i/>
          <w:iCs/>
          <w:lang w:val="hr-HR"/>
        </w:rPr>
        <w:t>teći</w:t>
      </w:r>
      <w:r>
        <w:rPr>
          <w:i w:val="false"/>
          <w:iCs w:val="false"/>
          <w:lang w:val="hr-HR"/>
        </w:rPr>
        <w:t>, on je objavljen u Valpovačkom godišnjaku</w:t>
      </w:r>
      <w:r>
        <w:rPr>
          <w:rStyle w:val="FootnoteAnchor"/>
          <w:i w:val="false"/>
          <w:iCs w:val="false"/>
          <w:lang w:val="hr-HR"/>
        </w:rPr>
        <w:footnoteReference w:id="19"/>
      </w:r>
      <w:r>
        <w:rPr>
          <w:i w:val="false"/>
          <w:iCs w:val="false"/>
          <w:lang w:val="hr-HR"/>
        </w:rPr>
        <w:t>, na mojoj web-stranici</w:t>
      </w:r>
      <w:r>
        <w:rPr>
          <w:rStyle w:val="FootnoteAnchor"/>
          <w:i w:val="false"/>
          <w:iCs w:val="false"/>
          <w:lang w:val="hr-HR"/>
        </w:rPr>
        <w:footnoteReference w:id="20"/>
      </w:r>
      <w:r>
        <w:rPr>
          <w:i w:val="false"/>
          <w:iCs w:val="false"/>
          <w:lang w:val="hr-HR"/>
        </w:rPr>
        <w:t xml:space="preserve"> te će, ako sve bude u redu, biti objavljen u časopisu za nacionalne manjine Regionalnim studijama u Sopronu.</w:t>
      </w:r>
    </w:p>
    <w:p>
      <w:pPr>
        <w:pStyle w:val="TextBody"/>
        <w:ind w:firstLine="360"/>
        <w:rPr/>
      </w:pPr>
      <w:r>
        <w:rPr>
          <w:lang w:val="hr-HR"/>
        </w:rPr>
        <w:t xml:space="preserve">Softwareski projekt na kojem radim i koji mi je posebno drag je </w:t>
      </w:r>
      <w:r>
        <w:rPr>
          <w:i/>
          <w:iCs/>
          <w:lang w:val="hr-HR"/>
        </w:rPr>
        <w:t>Arithmetic Expression Compiler</w:t>
      </w:r>
      <w:r>
        <w:rPr>
          <w:lang w:val="hr-HR"/>
        </w:rPr>
        <w:t>, o kojem možete čitati na mojoj web-stranici</w:t>
      </w:r>
      <w:r>
        <w:rPr>
          <w:rStyle w:val="FootnoteAnchor"/>
          <w:lang w:val="hr-HR"/>
        </w:rPr>
        <w:footnoteReference w:id="21"/>
      </w:r>
      <w:r>
        <w:rPr>
          <w:lang w:val="hr-HR"/>
        </w:rPr>
        <w:t>. Ukratko, to je compilirani programski jezik niske razine (lako se sučeljava s asemblerskim jezikom) kojim možemo ciljati x86 procesore te možemo ciljati WebAssembly.</w:t>
      </w:r>
    </w:p>
    <w:p>
      <w:pPr>
        <w:pStyle w:val="TextBody"/>
        <w:widowControl/>
        <w:suppressAutoHyphens w:val="false"/>
        <w:bidi w:val="0"/>
        <w:spacing w:before="0" w:after="140"/>
        <w:ind w:firstLine="360"/>
        <w:jc w:val="both"/>
        <w:rPr/>
      </w:pPr>
      <w:r>
        <w:rPr>
          <w:i/>
          <w:iCs/>
          <w:lang w:val="hr-HR"/>
        </w:rPr>
        <w:t>Upisao sam 2018. godine FERIT u Osijeku, smjer Računarstvo, i trenutno sam student treće godine.</w:t>
      </w:r>
    </w:p>
    <w:p>
      <w:pPr>
        <w:pStyle w:val="TextBody"/>
        <w:widowControl/>
        <w:suppressAutoHyphens w:val="false"/>
        <w:bidi w:val="0"/>
        <w:spacing w:before="0" w:after="140"/>
        <w:ind w:firstLine="360"/>
        <w:jc w:val="both"/>
        <w:rPr/>
      </w:pPr>
      <w:r>
        <w:rPr>
          <w:i/>
          <w:iCs/>
          <w:lang w:val="hr-HR"/>
        </w:rPr>
        <w:drawing>
          <wp:inline distT="0" distB="0" distL="0" distR="0">
            <wp:extent cx="1698625" cy="43751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5">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6">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7">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8">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10">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11">
    <w:p>
      <w:pPr>
        <w:pStyle w:val="Footnote"/>
        <w:rPr/>
      </w:pPr>
      <w:r>
        <w:rPr>
          <w:rStyle w:val="FootnoteCharacters"/>
        </w:rPr>
        <w:footnoteRef/>
      </w:r>
      <w:r>
        <w:rPr/>
        <w:tab/>
        <w:t>https://informatika.azoo.hr/natjecanje/dogadjaj/175/rezultati</w:t>
      </w:r>
    </w:p>
  </w:footnote>
  <w:footnote w:id="12">
    <w:p>
      <w:pPr>
        <w:pStyle w:val="Footnote"/>
        <w:rPr/>
      </w:pPr>
      <w:r>
        <w:rPr>
          <w:rStyle w:val="FootnoteCharacters"/>
        </w:rPr>
        <w:footnoteRef/>
      </w:r>
      <w:r>
        <w:rPr/>
        <w:tab/>
        <w:t>https://informatika.azoo.hr/natjecanje/dogadjaj/235/rezultati</w:t>
      </w:r>
    </w:p>
  </w:footnote>
  <w:footnote w:id="13">
    <w:p>
      <w:pPr>
        <w:pStyle w:val="Footnote"/>
        <w:rPr/>
      </w:pPr>
      <w:r>
        <w:rPr>
          <w:rStyle w:val="FootnoteCharacters"/>
        </w:rPr>
        <w:footnoteRef/>
      </w:r>
      <w:r>
        <w:rPr/>
        <w:tab/>
        <w:t>https://informatika.azoo.hr/natjecanje/dogadjaj/288/rezultati</w:t>
      </w:r>
    </w:p>
  </w:footnote>
  <w:footnote w:id="14">
    <w:p>
      <w:pPr>
        <w:pStyle w:val="Footnote"/>
        <w:rPr/>
      </w:pPr>
      <w:r>
        <w:rPr>
          <w:rStyle w:val="FootnoteCharacters"/>
        </w:rPr>
        <w:footnoteRef/>
      </w:r>
      <w:hyperlink r:id="rId1">
        <w:r>
          <w:rPr>
            <w:rStyle w:val="Hyperlink1"/>
          </w:rPr>
          <w:tab/>
          <w:t>http://hsin.hr/honi/arhiva/2016_2017/rezultati.php?show=KU_PS3</w:t>
        </w:r>
      </w:hyperlink>
    </w:p>
  </w:footnote>
  <w:footnote w:id="15">
    <w:p>
      <w:pPr>
        <w:pStyle w:val="Footnote"/>
        <w:rPr/>
      </w:pPr>
      <w:r>
        <w:rPr>
          <w:rStyle w:val="FootnoteCharacters"/>
        </w:rPr>
        <w:footnoteRef/>
      </w:r>
      <w:r>
        <w:rPr/>
        <w:tab/>
        <w:t>https://stemgames.hr/wp-content/uploads/2019/05/SG-Rezultati-2019-znanje-T.pdf</w:t>
      </w:r>
    </w:p>
  </w:footnote>
  <w:footnote w:id="16">
    <w:p>
      <w:pPr>
        <w:pStyle w:val="Footnote"/>
        <w:rPr/>
      </w:pPr>
      <w:r>
        <w:rPr>
          <w:rStyle w:val="FootnoteCharacters"/>
        </w:rPr>
        <w:footnoteRef/>
      </w:r>
      <w:r>
        <w:rPr/>
        <w:tab/>
        <w:t>https://www.azoo.hr/images/rezultati_klas_jezici_lat_gimnazije2016.pdf</w:t>
      </w:r>
    </w:p>
  </w:footnote>
  <w:footnote w:id="17">
    <w:p>
      <w:pPr>
        <w:pStyle w:val="Footnote"/>
        <w:rPr/>
      </w:pPr>
      <w:r>
        <w:rPr>
          <w:rStyle w:val="FootnoteCharacters"/>
        </w:rPr>
        <w:footnoteRef/>
      </w:r>
      <w:r>
        <w:rPr/>
        <w:tab/>
        <w:t>http://www.glas-slavonije.hr/365330/3/Gimnazijalac-Teo-napisao--i-objavio-knjigu-o-jeziku</w:t>
      </w:r>
    </w:p>
  </w:footnote>
  <w:footnote w:id="18">
    <w:p>
      <w:pPr>
        <w:pStyle w:val="Footnote"/>
        <w:rPr/>
      </w:pPr>
      <w:r>
        <w:rPr>
          <w:rStyle w:val="FootnoteCharacters"/>
        </w:rPr>
        <w:footnoteRef/>
      </w:r>
      <w:r>
        <w:rPr/>
        <w:tab/>
        <w:t>https://bib.irb.hr/datoteka/957836.Kopacki.pdf</w:t>
      </w:r>
    </w:p>
  </w:footnote>
  <w:footnote w:id="19">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20">
    <w:p>
      <w:pPr>
        <w:pStyle w:val="Footnote"/>
        <w:rPr>
          <w:lang w:val="hr-HR"/>
        </w:rPr>
      </w:pPr>
      <w:r>
        <w:rPr>
          <w:rStyle w:val="FootnoteCharacters"/>
        </w:rPr>
        <w:footnoteRef/>
      </w:r>
      <w:r>
        <w:rPr>
          <w:lang w:val="hr-HR"/>
        </w:rPr>
        <w:tab/>
        <w:t>https://flatassembler.github.io/Karasica.doc</w:t>
      </w:r>
    </w:p>
  </w:footnote>
  <w:footnote w:id="21">
    <w:p>
      <w:pPr>
        <w:pStyle w:val="Footnote"/>
        <w:rPr/>
      </w:pPr>
      <w:r>
        <w:rPr>
          <w:rStyle w:val="FootnoteCharacters"/>
        </w:rPr>
        <w:footnoteRef/>
      </w:r>
      <w:hyperlink r:id="rId3">
        <w:r>
          <w:rPr>
            <w:rStyle w:val="Hyperlink1"/>
          </w:rPr>
          <w:tab/>
          <w:t>https://flatassembler.github.io/AEC_specification.html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rFonts w:ascii="Times New Roman" w:hAnsi="Times New Roman"/>
    </w:rPr>
  </w:style>
  <w:style w:type="character" w:styleId="EndnoteAnchor">
    <w:name w:val="Endnote Anchor"/>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Relationship Id="rId3" Type="http://schemas.openxmlformats.org/officeDocument/2006/relationships/hyperlink" Target="https://flatassembler.github.io/AEC_specification.html" TargetMode="External"/>
</Relationships>
</file>

<file path=docProps/app.xml><?xml version="1.0" encoding="utf-8"?>
<Properties xmlns="http://schemas.openxmlformats.org/officeDocument/2006/extended-properties" xmlns:vt="http://schemas.openxmlformats.org/officeDocument/2006/docPropsVTypes">
  <Template/>
  <TotalTime>60</TotalTime>
  <Application>LibreOffice/7.3.5.2$Windows_X86_64 LibreOffice_project/184fe81b8c8c30d8b5082578aee2fed2ea847c01</Application>
  <AppVersion>15.0000</AppVersion>
  <Pages>14</Pages>
  <Words>7584</Words>
  <Characters>43488</Characters>
  <CharactersWithSpaces>50947</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2022-08-29T09:27:18Z</dcterms:modified>
  <cp:revision>9</cp:revision>
  <dc:subject/>
  <dc:title/>
</cp:coreProperties>
</file>