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rFonts w:ascii="Times New Roman" w:hAnsi="Times New Roman" w:eastAsia="SimHei"/>
          <w:b/>
          <w:sz w:val="36"/>
        </w:rPr>
        <w:t>家鸡遗传学研究进展</w:t>
      </w:r>
    </w:p>
    <w:p>
      <w:pPr>
        <w:spacing w:before="200" w:after="80"/>
      </w:pPr>
      <w:r>
        <w:rPr>
          <w:rFonts w:ascii="Times New Roman" w:hAnsi="Times New Roman" w:eastAsia="SimHei"/>
          <w:b/>
          <w:sz w:val="24"/>
        </w:rPr>
        <w:t>摘要</w:t>
      </w:r>
    </w:p>
    <w:p>
      <w:pPr>
        <w:spacing w:line="360" w:lineRule="auto"/>
        <w:ind w:firstLine="420"/>
      </w:pPr>
      <w:r>
        <w:rPr>
          <w:rFonts w:ascii="Times New Roman" w:hAnsi="Times New Roman" w:eastAsia="SimSun"/>
          <w:sz w:val="22"/>
        </w:rPr>
        <w:t>家鸡(Gallus gallus domesticus)作为全球最重要的家养动物之一,既是人类动物性蛋白的核心来源,也是发育生物学、免疫学和遗传学等领域的经典模式动物。近二十年来,随着高通量测序、泛基因组、单细胞组学、功能注释及基因编辑技术的快速发展,家鸡遗传学研究已由分子标记和QTL定位的“位点发现”阶段,逐步迈入以多组学整合和功能验证为核心的“机制解析”阶段。本文围绕家鸡遗传学研究的整体脉络,系统梳理其起源与驯化、扩散与地方化、研究技术的演进与资源基础,以及生长、繁殖、蛋品质、抗病、特色表型与环境适应等主要经济性状的遗传学进展,并进一步讨论标记辅助选择、基因组选择和基因编辑在现代育种中的应用现状。在此基础上,本文从基因组与变异资源、复杂性状的因果性解析、育种应用瓶颈以及伦理与监管等方面,梳理当前研究中存在的关键问题,并对未来发展方向作出展望。综合来看,家鸡遗传学正在形成“变异发现—统计定位—功能注释—实验验证—育种转化”的完整研究链条;但要真正实现高产、优质、健康与抗逆育种目标,仍需在长读长测序、图泛基因组、组织特异性调控、宿主—微生物互作以及多重精准编辑等方向上取得实质性突破。</w:t>
      </w:r>
    </w:p>
    <w:p>
      <w:pPr>
        <w:spacing w:before="200" w:after="80"/>
      </w:pPr>
      <w:r>
        <w:rPr>
          <w:rFonts w:ascii="Times New Roman" w:hAnsi="Times New Roman" w:eastAsia="SimHei"/>
          <w:b/>
          <w:sz w:val="24"/>
        </w:rPr>
        <w:t>关键词</w:t>
      </w:r>
    </w:p>
    <w:p>
      <w:pPr>
        <w:spacing w:line="360" w:lineRule="auto"/>
        <w:ind w:firstLine="420"/>
      </w:pPr>
      <w:r>
        <w:rPr>
          <w:rFonts w:ascii="Times New Roman" w:hAnsi="Times New Roman" w:eastAsia="SimSun"/>
          <w:sz w:val="22"/>
        </w:rPr>
        <w:t>家鸡;遗传学;基因组;泛基因组;多组学;基因组选择;基因编辑;分子育种</w:t>
      </w:r>
    </w:p>
    <w:p>
      <w:pPr>
        <w:spacing w:before="280" w:after="120"/>
      </w:pPr>
      <w:r>
        <w:rPr>
          <w:rFonts w:ascii="Times New Roman" w:hAnsi="Times New Roman" w:eastAsia="SimHei"/>
          <w:b/>
          <w:sz w:val="28"/>
        </w:rPr>
        <w:t>一、引言</w:t>
      </w:r>
    </w:p>
    <w:p>
      <w:pPr>
        <w:spacing w:line="360" w:lineRule="auto"/>
        <w:ind w:firstLine="420"/>
      </w:pPr>
      <w:r>
        <w:rPr>
          <w:rFonts w:ascii="Times New Roman" w:hAnsi="Times New Roman" w:eastAsia="SimSun"/>
          <w:sz w:val="22"/>
        </w:rPr>
        <w:t>家鸡(Gallus gallus domesticus)是全球饲养量最大、分布最广的家养动物之一,在全球粮食安全和动物性蛋白供给中占据核心地位[1][2]。与此同时,因其繁殖周期短、世代间隔短,且胚胎发育可通过体外开窗等方式直接观察与操作,家鸡在发育生物学、免疫学、生殖生理学和遗传学等领域中长期作为重要模式动物存在[3-5]。这种“产业动物 + 模式动物”的双重属性,使家鸡遗传学研究既具有清晰的应用导向,又能够持续受益于基础生物学研究的方法学红利。</w:t>
      </w:r>
    </w:p>
    <w:p>
      <w:pPr>
        <w:spacing w:line="360" w:lineRule="auto"/>
        <w:ind w:firstLine="420"/>
      </w:pPr>
      <w:r>
        <w:rPr>
          <w:rFonts w:ascii="Times New Roman" w:hAnsi="Times New Roman" w:eastAsia="SimSun"/>
          <w:sz w:val="22"/>
        </w:rPr>
        <w:t>家鸡遗传学的发展历程,是从经典遗传学逐步走向基因组学、再迈向多组学整合的一段典型缩影。在分子标记时代,基于RFLP、RAPD和微卫星的连锁分析与数量性状基因座(quantitative trait locus,QTL)定位为家鸡复杂性状研究奠定了基础框架[6][34]。进入基因组时代后,参考基因组的发布[7][46][47]、群体重测序的普及[13][48]、高密度SNP芯片的开发[37-39]共同推动了全基因组关联分析(genome-wide association study,GWAS)在生长、产蛋、蛋品质和抗病等性状中的广泛应用[38][43-45]。近年来,泛基因组[8][49]、功能基因组与调控元件图谱[9][10][50]、ChickenGTEx等大规模分子QTL资源[11],以及基于原始生殖细胞(primordial germ cell,PGC)体系的基因编辑技术[12][57][58],进一步将家鸡遗传学推进到“功能验证驱动”的阶段。</w:t>
      </w:r>
    </w:p>
    <w:p>
      <w:pPr>
        <w:spacing w:line="360" w:lineRule="auto"/>
        <w:ind w:firstLine="420"/>
      </w:pPr>
      <w:r>
        <w:rPr>
          <w:rFonts w:ascii="Times New Roman" w:hAnsi="Times New Roman" w:eastAsia="SimSun"/>
          <w:sz w:val="22"/>
        </w:rPr>
        <w:t>与此同时,家鸡的起源、驯化与扩散过程塑造了现代家鸡丰富的遗传多样性格局,也为理解群体分化、地方品种形成及重要经济性状的演化提供了不可替代的进化背景[13][14]。在这一背景下,系统梳理家鸡遗传学研究的整体脉络,既有助于厘清各类技术体系之间的衔接关系,也能够为今后种质资源保护、复杂性状机制解析以及精准分子育种实践提供清晰的概念框架。</w:t>
      </w:r>
    </w:p>
    <w:p>
      <w:pPr>
        <w:spacing w:line="360" w:lineRule="auto"/>
        <w:ind w:firstLine="420"/>
      </w:pPr>
      <w:r>
        <w:rPr>
          <w:rFonts w:ascii="Times New Roman" w:hAnsi="Times New Roman" w:eastAsia="SimSun"/>
          <w:sz w:val="22"/>
        </w:rPr>
        <w:t>基于此,本文围绕以下几条主线展开综述:首先,讨论家鸡的起源争议与扩散过程,辨析早期形态学、线粒体证据与全基因组证据之间的关系;其次,系统梳理家鸡遗传学研究技术的演进与资源基础,重点关注从分子标记到多组学整合的方法学转变;在此基础上,分项分析生长与胴体、繁殖与产蛋、蛋品质、抗病与免疫、特色表型以及地方品种环境适应等主要经济性状的遗传学进展;随后,讨论标记辅助选择、基因组选择及基因编辑技术在现代家鸡育种中的应用;最后,对当前研究中的若干关键问题以及未来发展方向作出讨论与展望。本文重点不在于全面罗列所有研究,而在于厘清不同研究阶段之间的逻辑关系、识别真正具有方法学价值的代表性工作,从而为家鸡遗传学的进一步发展提供更加结构化的认识框架。</w:t>
      </w:r>
    </w:p>
    <w:p>
      <w:pPr>
        <w:spacing w:before="120" w:after="120"/>
        <w:jc w:val="center"/>
      </w:pPr>
      <w:r>
        <w:rPr>
          <w:rFonts w:ascii="Times New Roman" w:hAnsi="Times New Roman" w:eastAsia="SimHei"/>
          <w:b/>
          <w:sz w:val="20"/>
        </w:rPr>
        <w:t>[图 1] 家鸡遗传学研究技术演进时间线(本文图 1)。详见附录“图表说明”。</w:t>
      </w:r>
    </w:p>
    <w:p>
      <w:pPr>
        <w:spacing w:before="280" w:after="120"/>
      </w:pPr>
      <w:r>
        <w:rPr>
          <w:rFonts w:ascii="Times New Roman" w:hAnsi="Times New Roman" w:eastAsia="SimHei"/>
          <w:b/>
          <w:sz w:val="28"/>
        </w:rPr>
        <w:t>二、家鸡的起源与驯化</w:t>
      </w:r>
    </w:p>
    <w:p>
      <w:pPr>
        <w:spacing w:line="360" w:lineRule="auto"/>
        <w:ind w:firstLine="420"/>
      </w:pPr>
      <w:r>
        <w:rPr>
          <w:rFonts w:ascii="Times New Roman" w:hAnsi="Times New Roman" w:eastAsia="SimSun"/>
          <w:sz w:val="22"/>
        </w:rPr>
        <w:t>家鸡的起源与驯化是家鸡遗传学和动物考古学研究中的核心议题之一。围绕这一问题的研究历经了形态学描述、线粒体DNA(mtDNA)分析和全基因组测序三个阶段,不同方法在不同尺度上揭示了家鸡起源过程的不同层面,也由此引发了“单一起源”与“多地起源”之间的长期争论[13][14][18][20]。从方法学角度看,这一争论的演变本身反映了家鸡遗传学研究分辨率的不断提升。</w:t>
      </w:r>
    </w:p>
    <w:p>
      <w:pPr>
        <w:spacing w:line="360" w:lineRule="auto"/>
        <w:ind w:firstLine="420"/>
      </w:pPr>
      <w:r>
        <w:rPr>
          <w:rFonts w:ascii="Times New Roman" w:hAnsi="Times New Roman" w:eastAsia="SimSun"/>
          <w:sz w:val="22"/>
        </w:rPr>
        <w:t>19世纪,达尔文基于形态学特征和杂交证据提出,家鸡主要起源于红原鸡(Gallus gallus),其驯化区域位于东南亚一带[15]。同期,Tegetmeier和Hutt等学者根据家鸡的部分特殊表型提出不同假说,如大型鸡种可能与某些已灭绝或未知原鸡类型有关,黄色皮肤性状则可能反映灰原鸡(G. sonneratii)的遗传贡献[16][17]。这些早期工作以形态比较和杂交试验为依据,反映出在分子证据出现之前,研究者已意识到现代家鸡形态多样性可能并非来源于单一野生类群。</w:t>
      </w:r>
    </w:p>
    <w:p>
      <w:pPr>
        <w:spacing w:line="360" w:lineRule="auto"/>
        <w:ind w:firstLine="420"/>
      </w:pPr>
      <w:r>
        <w:rPr>
          <w:rFonts w:ascii="Times New Roman" w:hAnsi="Times New Roman" w:eastAsia="SimSun"/>
          <w:sz w:val="22"/>
        </w:rPr>
        <w:t>20世纪末,mtDNA研究开始用于解析家鸡母系起源。Fumihito等通过对家鸡及其野生近缘类群mtDNA控制区的分析,认为家鸡母系主要源自红原鸡,且与分布于泰国及其周边地区的G. g. gallus亚种关系最近[18];后续基于完整线粒体基因组的系统发育研究进一步支持家鸡线粒体单倍型嵌套于红原鸡分支之内,从而强化了“红原鸡为家鸡主要母系祖先”的观点[19]。这一阶段的关键贡献,在于首次为家鸡起源提供了清晰的分子证据,使形态学层面的猜想得到独立验证。</w:t>
      </w:r>
    </w:p>
    <w:p>
      <w:pPr>
        <w:spacing w:line="360" w:lineRule="auto"/>
        <w:ind w:firstLine="420"/>
      </w:pPr>
      <w:r>
        <w:rPr>
          <w:rFonts w:ascii="Times New Roman" w:hAnsi="Times New Roman" w:eastAsia="SimSun"/>
          <w:sz w:val="22"/>
        </w:rPr>
        <w:t>然而,随着采样范围扩大,mtDNA数据所呈现的图景逐渐复杂化。Liu等基于来自欧亚多地家鸡和野生红原鸡的mtDNA序列,识别出多个高度分化的单倍型分支,并据此提出家鸡可能具有多个母系来源[20];Miao等进一步整合大规模mtDNA数据并构建更高分辨率的系统发育框架,确认了多个主要单倍型分支的存在,同时指出家鸡驯化和扩散过程中可能伴随频繁的遗传渗入[21]。这一阶段的研究推动了“多地起源”假说的发展,但同时也暴露出mtDNA分析的方法学局限:作为单一母系遗传标记,mtDNA无法独立区分“多次独立驯化”与“单次驯化后的母系渗入”,因此其结果在方法层面具有一定的歧义性。</w:t>
      </w:r>
    </w:p>
    <w:p>
      <w:pPr>
        <w:spacing w:line="360" w:lineRule="auto"/>
        <w:ind w:firstLine="420"/>
      </w:pPr>
      <w:r>
        <w:rPr>
          <w:rFonts w:ascii="Times New Roman" w:hAnsi="Times New Roman" w:eastAsia="SimSun"/>
          <w:sz w:val="22"/>
        </w:rPr>
        <w:t>全基因组重测序为这一争论提供了关键的转折点。Wang等基于863份家鸡及野生原鸡的核基因组分析认为,现代家鸡的核基因组主要来源于红原鸡亚种G. g. spadiceus,其现生分布主要包括中国西南、泰国北部和缅甸等地区[13]。该研究同时指出,家鸡在驯化后随人类活动向不同地区扩散,并与当地红原鸡亚种及其他原鸡物种发生了不同程度的基因交流。因此,早期mtDNA研究所呈现的多母系结构并不一定意味着家鸡发生了多个相互独立的驯化事件,而更可能反映了驯化后扩散过程中的母系渗入和地方群体混合[13][20][21]。从方法学意义上看,这一结果显示:在物种起源研究中,母系单标记数据与全基因组数据所反映的遗传历史可能存在系统性差异,稳健的结论必须建立在多种证据相互校准的基础上。</w:t>
      </w:r>
    </w:p>
    <w:p>
      <w:pPr>
        <w:spacing w:line="360" w:lineRule="auto"/>
        <w:ind w:firstLine="420"/>
      </w:pPr>
      <w:r>
        <w:rPr>
          <w:rFonts w:ascii="Times New Roman" w:hAnsi="Times New Roman" w:eastAsia="SimSun"/>
          <w:sz w:val="22"/>
        </w:rPr>
        <w:t>跨物种基因渗入对家鸡部分关键表型的塑造,在分子水平上也已有较早证据。Eriksson等发现,家鸡黄色皮肤性状与BCDO2基因的顺式调控变异有关,该单倍型并非来源于红原鸡,而可能源自灰原鸡(G. sonneratii)的遗传渗入[22]。这一发现较早从分子层面提示,现代家鸡的遗传组成并非完全来自红原鸡。Wang等基于全基因组数据进一步表明,家鸡在驯化与扩散过程中曾与多个原鸡亚种及原鸡属物种发生不同程度的基因交流[13]。因此,黄色皮肤性状不仅是灰原鸡渗入影响家鸡表型的典型案例,也与全基因组研究所揭示的“主要祖先来源相对集中、后期基因渗入复杂”的演化模式相一致。</w:t>
      </w:r>
    </w:p>
    <w:p>
      <w:pPr>
        <w:spacing w:line="360" w:lineRule="auto"/>
        <w:ind w:firstLine="420"/>
      </w:pPr>
      <w:r>
        <w:t>综合现有研究,所谓“单一起源”与“多地起源”在家鸡问题上并非相互对立的两个极端,而是同一驯化—扩散过程在不同遗传层面上的差异化呈现。现代家鸡的核基因组主要源自红原鸡,Wang等基于863个基因组的研究指出G. g. spadiceus在现生红原鸡亚种中与家鸡核基因组最为接近[13];但需要指出,这一结论的稳健性仍受采样代表性限制——G. g. spadiceus的现生分布主要集中于中国西南、缅甸北部和泰国北部,样本可获得性显著高于其他亚种(如印度次大陆的G. g. murghi、印度尼西亚的G. g. bankiva),若其他亚种的代表性样本进一步增加,亚种间相对贡献的估计可能仍会被修正;而在驯化、扩散与地方化的过程中,家鸡又与其他原鸡类群发生了复杂的双向基因交流。由此可将家鸡起源与驯化过程概括为“主要祖先来源相对集中、后期基因渗入较为复杂”的演化模式。这一认识不仅厘清了mtDNA与全基因组证据之间的表观矛盾,也为理解后续章节中家鸡的全球扩散、地方品种形成以及重要经济性状的演化提供了清晰的进化背景。</w:t>
      </w:r>
    </w:p>
    <w:p>
      <w:pPr>
        <w:spacing w:before="280" w:after="120"/>
      </w:pPr>
      <w:r>
        <w:rPr>
          <w:rFonts w:ascii="Times New Roman" w:hAnsi="Times New Roman" w:eastAsia="SimHei"/>
          <w:b/>
          <w:sz w:val="28"/>
        </w:rPr>
        <w:t>三、家鸡的扩散与地方化</w:t>
      </w:r>
    </w:p>
    <w:p>
      <w:pPr>
        <w:spacing w:line="360" w:lineRule="auto"/>
        <w:ind w:firstLine="420"/>
      </w:pPr>
      <w:r>
        <w:rPr>
          <w:rFonts w:ascii="Times New Roman" w:hAnsi="Times New Roman" w:eastAsia="SimSun"/>
          <w:sz w:val="22"/>
        </w:rPr>
        <w:t>家鸡完成早期驯化后,随着农业传播、人群迁徙和贸易交流,逐步由东南亚向欧亚大陆及其他地区扩散。这一过程并非单一路径的线性传播,而是涉及多区域、多时段的传入与混合。值得注意的是,家鸡早期扩散研究曾长期受到考古鉴定误差的影响——部分早期被认为是家鸡遗存的骨骼,在更严格的形态学复核、直接放射性碳测年和分子鉴定后,其家鸡身份并未得到支持[14][23-25]。这意味着,理解家鸡扩散的关键不仅在于挖掘新的考古和遗传证据,更在于对历史证据进行系统性重新评估。</w:t>
      </w:r>
    </w:p>
    <w:p>
      <w:pPr>
        <w:spacing w:line="360" w:lineRule="auto"/>
        <w:ind w:firstLine="420"/>
      </w:pPr>
      <w:r>
        <w:rPr>
          <w:rFonts w:ascii="Times New Roman" w:hAnsi="Times New Roman" w:eastAsia="SimSun"/>
          <w:sz w:val="22"/>
        </w:rPr>
        <w:t>Eda等对中国北方早全新世所谓家鸡遗存进行复核,在18处新石器至青铜时代遗址中,真正符合家鸡形态特征的候选标本仅见于少数遗址,因此并不支持家鸡在中国北方早期广泛饲养的观点[23]。Best等通过放射性碳测年重新评估欧洲和西北非的早期鸡骨,认为欧洲在公元前一千纪以前并无可靠的家鸡证据,所有早于铁器时代的欧洲家鸡报告均应谨慎对待[24][25]。这两项工作的方法学意义在于:家鸡早期扩散研究必须建立在严格的形态—测年—分子三方校验之上,而不应仅凭单一证据作出结论。</w:t>
      </w:r>
    </w:p>
    <w:p>
      <w:pPr>
        <w:spacing w:line="360" w:lineRule="auto"/>
        <w:ind w:firstLine="420"/>
      </w:pPr>
      <w:r>
        <w:rPr>
          <w:rFonts w:ascii="Times New Roman" w:hAnsi="Times New Roman" w:eastAsia="SimSun"/>
          <w:sz w:val="22"/>
        </w:rPr>
        <w:t>从亚洲内部传播来看,中国北方曾长期被怀疑是家鸡的独立驯化中心之一,但新的考古复核与全基因组研究均不支持这一观点[13][14][24]。更合理的解释是,北方家鸡并非本地独立驯化形成,而是由南方或西南地区逐渐传入,并在后续历史时期融入中原农业社会。在东亚岛屿地区,日本本土鸡的形成同样体现出多阶段输入和地方化特征:Oka等基于mtDNA D-loop序列分析认为日本本土鸡具有多个母系来源[26];Yonezawa等基于完整线粒体基因组分析进一步指出,日本本土鸡中部分单倍群可能与中国北方及朝鲜半岛周边鸡群有关,而并非完全来自东南亚—太平洋谱系[27]。这表明,东亚家鸡扩散并非单一路径,而是经历了大陆、半岛和岛屿之间的多次传播与混合。</w:t>
      </w:r>
    </w:p>
    <w:p>
      <w:pPr>
        <w:spacing w:line="360" w:lineRule="auto"/>
        <w:ind w:firstLine="420"/>
      </w:pPr>
      <w:r>
        <w:rPr>
          <w:rFonts w:ascii="Times New Roman" w:hAnsi="Times New Roman" w:eastAsia="SimSun"/>
          <w:sz w:val="22"/>
        </w:rPr>
        <w:t>在南亚,印度次大陆曾因当地红原鸡分布和早期考古材料而被视为可能的驯化中心,但目前缺乏可靠证据支持其独立驯化[14]。更合理的解释是,家鸡由东南亚向西传播至南亚后,与当地红原鸡亚种发生遗传交流,使南亚家鸡保留了较为复杂的母系和核基因组组成[13][20][21]。中亚则是家鸡继续向西传播的重要通道。Peters等对中亚多个遗址的蛋壳材料进行形态学和蛋白质组学分析,显示至少在公元前4世纪至中世纪时期,家鸡已在中亚南部广泛饲养,并可能与古代丝绸之路沿线的人群流动和贸易网络密切相关[28]。该研究还提示,家鸡从珍奇动物、祭祀动物向稳定产蛋家禽的功能转变,可能与更强产蛋能力的出现及古代帝国贸易网络的扩张相伴随。</w:t>
      </w:r>
    </w:p>
    <w:p>
      <w:pPr>
        <w:spacing w:line="360" w:lineRule="auto"/>
        <w:ind w:firstLine="420"/>
      </w:pPr>
      <w:r>
        <w:rPr>
          <w:rFonts w:ascii="Times New Roman" w:hAnsi="Times New Roman" w:eastAsia="SimSun"/>
          <w:sz w:val="22"/>
        </w:rPr>
        <w:t>家鸡向西亚、欧洲和非洲的传播总体晚于亚洲内部扩散。综合考古资料显示,家鸡约在公元前第二千纪末至第一千纪初进入西亚和地中海地区,早期多以外来珍禽、祭祀或象征性动物的身份出现,直到罗马时期前后才逐步成为稳定的肉蛋生产家禽[14][28]。Best等的直接测年研究显示,欧洲在公元前一千纪以前的家鸡证据并不可靠,且鸡进入新地区后往往经历数百年才被普遍纳入饮食体系[25]。这说明,家鸡在欧洲早期的功能可能更多与仪式、象征和观赏有关,而非立即作为主要食物资源——这一认识对理解家鸡扩散过程中的“生态位转换”具有重要意义。</w:t>
      </w:r>
    </w:p>
    <w:p>
      <w:pPr>
        <w:spacing w:line="360" w:lineRule="auto"/>
        <w:ind w:firstLine="420"/>
      </w:pPr>
      <w:r>
        <w:rPr>
          <w:rFonts w:ascii="Times New Roman" w:hAnsi="Times New Roman" w:eastAsia="SimSun"/>
          <w:sz w:val="22"/>
        </w:rPr>
        <w:t>非洲的家鸡传播可能涉及多条路线,包括经埃及和北非的地中海路线、经红海与非洲之角的东北非路线,以及与印度洋贸易相关的东非沿海路线[25][29-31]。Mwacharo等基于东非乡村鸡mtDNA D-loop序列分析,识别出东非鸡群中存在多个母系单倍群,提示非洲家鸡可能经历了多次引入[29];其后基于常染色体微卫星标记的研究又识别出东非乡村鸡的多个基因库,进一步支持多路径输入和区域混合的观点[30]。Muchadeyi等对津巴布韦乡村鸡的mtDNA研究也显示,其母系谱系可能具有东南亚和印度次大陆来源[31]。这些证据共同表明,非洲地方鸡群并非单一来源,而是在不同历史时期由亚洲、西亚和地中海沿线多路径输入后形成的混合群体。</w:t>
      </w:r>
    </w:p>
    <w:p>
      <w:pPr>
        <w:spacing w:line="360" w:lineRule="auto"/>
        <w:ind w:firstLine="420"/>
      </w:pPr>
      <w:r>
        <w:rPr>
          <w:rFonts w:ascii="Times New Roman" w:hAnsi="Times New Roman" w:eastAsia="SimSun"/>
          <w:sz w:val="22"/>
        </w:rPr>
        <w:t>美洲是家鸡全球扩散的较晚阶段。关于哥伦布之前波利尼西亚人是否将家鸡带入南美,曾有研究基于智利El Arenal-1遗址鸡骨的放射性碳测年和mtDNA结果提出支持[32];但Gongora等通过比较智利、太平洋地区和欧洲鸡群的mtDNA后指出,相关证据不足以充分支持前哥伦布时期波利尼西亚家鸡进入南美的观点[33]。因此,目前更稳妥的表述是:美洲家鸡主要在哥伦布航行之后由欧洲殖民者带入,后续又受到非洲奴隶贸易和太平洋贸易等因素影响,逐渐形成具有欧洲、非洲和亚洲多重成分的混合鸡群。与欧亚大陆和非洲相比,美洲家鸡扩散在更大程度上反映了近代全球贸易和殖民活动下的家畜转移过程。</w:t>
      </w:r>
    </w:p>
    <w:p>
      <w:pPr>
        <w:spacing w:line="360" w:lineRule="auto"/>
        <w:ind w:firstLine="420"/>
      </w:pPr>
      <w:r>
        <w:rPr>
          <w:rFonts w:ascii="Times New Roman" w:hAnsi="Times New Roman" w:eastAsia="SimSun"/>
          <w:sz w:val="22"/>
        </w:rPr>
        <w:t>综合上述证据,家鸡的扩散并非简单的地理迁移,而是伴随着农业生态变化、人群流动、贸易网络、人工选择和地方环境适应的多维过程。在扩散过程中,家鸡与不同地区的野生原鸡群体或已地方化鸡群发生基因交流,使其遗传结构呈现出明显的地域分化和多源混合特征[13][20][21][29-31]。这种扩散与地方化过程不仅塑造了现代家鸡丰富的遗传多样性,也为后续地方品种形成、环境适应性演化以及经济性状改良的遗传学研究提供了关键的进化基础。</w:t>
      </w:r>
    </w:p>
    <w:p>
      <w:pPr>
        <w:spacing w:before="120" w:after="120"/>
        <w:jc w:val="center"/>
      </w:pPr>
      <w:r>
        <w:rPr>
          <w:rFonts w:ascii="Times New Roman" w:hAnsi="Times New Roman" w:eastAsia="SimHei"/>
          <w:b/>
          <w:sz w:val="20"/>
        </w:rPr>
        <w:t>[图 2] 家鸡起源与全球扩散路线示意图(本文图 2)。详见附录“图表说明”。</w:t>
      </w:r>
    </w:p>
    <w:p>
      <w:pPr>
        <w:spacing w:before="280" w:after="120"/>
      </w:pPr>
      <w:r>
        <w:rPr>
          <w:rFonts w:ascii="Times New Roman" w:hAnsi="Times New Roman" w:eastAsia="SimHei"/>
          <w:b/>
          <w:sz w:val="28"/>
        </w:rPr>
        <w:t>四、家鸡遗传学研究技术的演进与资源基础</w:t>
      </w:r>
    </w:p>
    <w:p>
      <w:pPr>
        <w:spacing w:before="200" w:after="80"/>
      </w:pPr>
      <w:r>
        <w:rPr>
          <w:rFonts w:ascii="Times New Roman" w:hAnsi="Times New Roman" w:eastAsia="SimHei"/>
          <w:b/>
          <w:sz w:val="24"/>
        </w:rPr>
        <w:t>4.1 分子标记与遗传图谱的发展</w:t>
      </w:r>
    </w:p>
    <w:p>
      <w:pPr>
        <w:spacing w:line="360" w:lineRule="auto"/>
        <w:ind w:firstLine="420"/>
      </w:pPr>
      <w:r>
        <w:rPr>
          <w:rFonts w:ascii="Times New Roman" w:hAnsi="Times New Roman" w:eastAsia="SimSun"/>
          <w:sz w:val="22"/>
        </w:rPr>
        <w:t>家鸡分子遗传研究早期主要依赖RFLP、RAPD和微卫星等分子标记。Emara和Kim系统总结指出,这一阶段分子标记的主要用途包括遗传多样性分析、连锁图谱构建以及数量性状定位,其中RFLP和微卫星在20世纪90年代至21世纪初应用尤为广泛[34]。与表型标记相比,这类DNA标记显著提高了遗传分析的分辨率与可操作性,也为后续全基因组定位研究奠定了基础。</w:t>
      </w:r>
    </w:p>
    <w:p>
      <w:pPr>
        <w:spacing w:line="360" w:lineRule="auto"/>
        <w:ind w:firstLine="420"/>
      </w:pPr>
      <w:r>
        <w:rPr>
          <w:rFonts w:ascii="Times New Roman" w:hAnsi="Times New Roman" w:eastAsia="SimSun"/>
          <w:sz w:val="22"/>
        </w:rPr>
        <w:t>在遗传图谱构建方面,Groenen等于1998年构建了包含430个微卫星标记的家鸡连锁图谱,随后于2000年整合多个参考群体的数据,建立了包含1889个位点的家鸡共识连锁图谱[35][36]。前者标志着家鸡微卫星图谱进入较系统的发展阶段,后者则显著提高了基因组覆盖度和不同研究之间的可比性。但共识图谱研究同时指出,许多微染色体区域仍缺乏足够的微卫星标记,说明早期遗传图谱在小染色体和复杂区域上的覆盖仍然有限[36]。</w:t>
      </w:r>
    </w:p>
    <w:p>
      <w:pPr>
        <w:spacing w:line="360" w:lineRule="auto"/>
        <w:ind w:firstLine="420"/>
      </w:pPr>
      <w:r>
        <w:rPr>
          <w:rFonts w:ascii="Times New Roman" w:hAnsi="Times New Roman" w:eastAsia="SimSun"/>
          <w:sz w:val="22"/>
        </w:rPr>
        <w:t>进入SNP时代后,家鸡遗传图谱的分辨率进一步提升。Groenen等于2009年利用12 945个SNP构建了高密度SNP连锁图谱,2011年又发布了包含57 636个位点的60K SNP芯片[37][38]。其后,Kranis等开发出600K高密度芯片,显著增强了不同鸡群中的分型能力和全基因组扫描能力[39]。这一演进使家鸡遗传研究由“稀疏标记支持的连锁图谱”转向“高通量分型支持的全基因组分析”,并为后续GWAS、基因组选择和群体遗传分析提供了基础平台。</w:t>
      </w:r>
    </w:p>
    <w:p>
      <w:pPr>
        <w:spacing w:line="360" w:lineRule="auto"/>
        <w:ind w:firstLine="420"/>
      </w:pPr>
      <w:r>
        <w:rPr>
          <w:rFonts w:ascii="Times New Roman" w:hAnsi="Times New Roman" w:eastAsia="SimSun"/>
          <w:sz w:val="22"/>
        </w:rPr>
        <w:t>总体来看,家鸡分子标记与遗传图谱的发展经历了由RFLP和微卫星主导的低密度阶段,向SNP和高密度芯片主导的高通量阶段的转变。前一阶段的核心贡献在于建立基本连锁框架,后一阶段则显著提高了标记密度和基因组分辨率。然而,微染色体、高GC区和复杂重复序列区段仍然是早期遗传图谱与分型体系中的薄弱环节,这些问题后来也直接推动了更高质量基因组组装与图泛基因组策略的发展[7][8][49]。</w:t>
      </w:r>
    </w:p>
    <w:p>
      <w:pPr>
        <w:spacing w:before="200" w:after="80"/>
      </w:pPr>
      <w:r>
        <w:rPr>
          <w:rFonts w:ascii="Times New Roman" w:hAnsi="Times New Roman" w:eastAsia="SimHei"/>
          <w:b/>
          <w:sz w:val="24"/>
        </w:rPr>
        <w:t>4.2 连锁分析与QTL定位研究</w:t>
      </w:r>
    </w:p>
    <w:p>
      <w:pPr>
        <w:spacing w:line="360" w:lineRule="auto"/>
        <w:ind w:firstLine="420"/>
      </w:pPr>
      <w:r>
        <w:rPr>
          <w:rFonts w:ascii="Times New Roman" w:hAnsi="Times New Roman" w:eastAsia="SimSun"/>
          <w:sz w:val="22"/>
        </w:rPr>
        <w:t>在分子标记和遗传图谱逐步完善的基础上,家鸡复杂性状研究迅速进入了以连锁分析和数量性状位点(QTL)定位为核心的发展阶段。Abasht等综述指出,至2006年前后,家鸡中已报道大量与生长、脂肪沉积、蛋品质、行为和免疫性状相关的QTL,QTL定位由此成为连接经典数量遗传学与分子定位研究的重要环节[6]。</w:t>
      </w:r>
    </w:p>
    <w:p>
      <w:pPr>
        <w:spacing w:line="360" w:lineRule="auto"/>
        <w:ind w:firstLine="420"/>
      </w:pPr>
      <w:r>
        <w:rPr>
          <w:rFonts w:ascii="Times New Roman" w:hAnsi="Times New Roman" w:eastAsia="SimSun"/>
          <w:sz w:val="22"/>
        </w:rPr>
        <w:t>这一阶段的代表性研究包括:Kerje等在红原鸡与白来航鸡构建的F2资源群体中分析成体体型差异,提出两者体型差异主要可由有限数量的QTL解释[40];Ikeobi等在肉鸡与蛋鸡F2群体中检测到多个影响腹脂和皮下脂肪分布的QTL[41];Tuiskula-Haavisto等则在F2母鸡群体中定位到与蛋壳质量相关的QTL[42]。这些研究共同表明,家鸡重要经济性状虽然具有复杂遗传基础,但并非完全无法分解,而是能够通过连锁分析逐步定位到特定染色体区段。</w:t>
      </w:r>
    </w:p>
    <w:p>
      <w:pPr>
        <w:spacing w:line="360" w:lineRule="auto"/>
        <w:ind w:firstLine="420"/>
      </w:pPr>
      <w:r>
        <w:rPr>
          <w:rFonts w:ascii="Times New Roman" w:hAnsi="Times New Roman" w:eastAsia="SimSun"/>
          <w:sz w:val="22"/>
        </w:rPr>
        <w:t>从方法学发展来看,QTL研究经历了由早期单QTL模型与区间作图,向多QTL模型、复合区间作图以及高级互交系(advanced intercross line, AIL)设计演进的过程。通过增加重组次数和优化统计框架,研究者得以在一定程度上缩小QTL置信区间,提高定位精度。然而,传统QTL研究仍存在共同局限:实验群体规模通常有限,QTL区间往往较大;QTL效应容易受到性别、环境和群体遗传背景影响;同时,定位结果向商业群体外推时,效应稳定性并不总是理想[6][40-42]。这些局限决定了QTL研究后续必须与高密度基因型、重测序和功能注释资源结合,推动复杂性状研究由“区段定位”进一步走向“因果变异和调控机制解析”[11][54][56]。</w:t>
      </w:r>
    </w:p>
    <w:p>
      <w:pPr>
        <w:spacing w:before="200" w:after="80"/>
      </w:pPr>
      <w:r>
        <w:rPr>
          <w:rFonts w:ascii="Times New Roman" w:hAnsi="Times New Roman" w:eastAsia="SimHei"/>
          <w:b/>
          <w:sz w:val="24"/>
        </w:rPr>
        <w:t>4.3 GWAS与复杂性状的群体解析</w:t>
      </w:r>
    </w:p>
    <w:p>
      <w:pPr>
        <w:spacing w:line="360" w:lineRule="auto"/>
        <w:ind w:firstLine="420"/>
      </w:pPr>
      <w:r>
        <w:rPr>
          <w:rFonts w:ascii="Times New Roman" w:hAnsi="Times New Roman" w:eastAsia="SimSun"/>
          <w:sz w:val="22"/>
        </w:rPr>
        <w:t>如果说QTL定位主要依赖实验杂交群体中的连锁信息,那么全基因组关联分析(GWAS)则代表了家鸡复杂性状研究由“实验群体”走向“自然群体和育种群体”的关键阶段。随着60K和600K SNP芯片的应用,家鸡GWAS在2010年代迅速普及,并被广泛用于生长、产蛋、蛋品质、抗病性和肉品质等性状研究[38][39]。</w:t>
      </w:r>
    </w:p>
    <w:p>
      <w:pPr>
        <w:spacing w:line="360" w:lineRule="auto"/>
        <w:ind w:firstLine="420"/>
      </w:pPr>
      <w:r>
        <w:rPr>
          <w:rFonts w:ascii="Times New Roman" w:hAnsi="Times New Roman" w:eastAsia="SimSun"/>
          <w:sz w:val="22"/>
        </w:rPr>
        <w:t>在典型应用中,Liu等对385只白来航和361只褐壳矮小型母鸡开展全基因组SNP扫描,鉴定出8个全基因组显著SNP,并将其与产蛋和蛋品质性状相联系[43];Luo等在511只F2资源群体中分析新城疫病毒抗体反应,定位到靠近ROBO2的显著信号区域[44];Sun等则在北京油鸡与商品肉鸡构建的F2群体中识别出多个与肉品质相关的关联信号,并结合候选基因表达差异进行了初步验证[45]。其后,围绕肉鸡生长、饲料效率和地方适应性状的研究进一步表明,GWAS与高密度芯片、全基因组测序和选择信号分析相结合,能够在商业群体和地方品种中更有效地识别候选区域和候选基因[11][54-56]。</w:t>
      </w:r>
    </w:p>
    <w:p>
      <w:pPr>
        <w:spacing w:line="360" w:lineRule="auto"/>
        <w:ind w:firstLine="420"/>
      </w:pPr>
      <w:r>
        <w:rPr>
          <w:rFonts w:ascii="Times New Roman" w:hAnsi="Times New Roman" w:eastAsia="SimSun"/>
          <w:sz w:val="22"/>
        </w:rPr>
        <w:t>与QTL研究相比,GWAS的优势在于能够利用群体中长期积累的历史重组,从而在更小区段内定位关联信号,并直接面向现有育种群体开展研究。但GWAS本质上检测的是“标签SNP与表型的统计关联”,而非直接识别因果突变。连锁不平衡、群体结构、表型定义不一致,以及芯片对低频变异和结构变异捕获能力有限,都会影响结果解释和可重复性[43-45]。因此,近年来家鸡GWAS的发展趋势已由单纯的“寻找关联峰”,转向结合基因型填充、meta-GWAS、eQTL共定位和功能验证,构建“关联发现—精细定位—机制解释”的完整链条。</w:t>
      </w:r>
    </w:p>
    <w:p>
      <w:pPr>
        <w:spacing w:before="200" w:after="80"/>
      </w:pPr>
      <w:r>
        <w:rPr>
          <w:rFonts w:ascii="Times New Roman" w:hAnsi="Times New Roman" w:eastAsia="SimHei"/>
          <w:b/>
          <w:sz w:val="24"/>
        </w:rPr>
        <w:t>4.4 参考基因组与群体重测序资源</w:t>
      </w:r>
    </w:p>
    <w:p>
      <w:pPr>
        <w:spacing w:line="360" w:lineRule="auto"/>
        <w:ind w:firstLine="420"/>
      </w:pPr>
      <w:r>
        <w:rPr>
          <w:rFonts w:ascii="Times New Roman" w:hAnsi="Times New Roman" w:eastAsia="SimSun"/>
          <w:sz w:val="22"/>
        </w:rPr>
        <w:t>参考基因组的建立是家鸡遗传学进入基因组时代的关键标志。2004年,国际鸡基因组测序联盟发布红原鸡草图基因组,为家鸡变异检测、比较基因组分析和功能注释提供了统一坐标系;同年,国际鸡多态性图谱联盟又发表了包含280万个SNP的全基因组变异图谱,标志着鸡的群体变异研究进入规模化阶段[46][47]。这些资源使家鸡成为较早进入全基因组研究阶段的重要家养动物之一,也为后续芯片开发和重测序研究奠定了基础[150]。</w:t>
      </w:r>
    </w:p>
    <w:p>
      <w:pPr>
        <w:spacing w:line="360" w:lineRule="auto"/>
        <w:ind w:firstLine="420"/>
      </w:pPr>
      <w:r>
        <w:t>随着测序成本下降,群体重测序迅速成为研究家鸡驯化、选择信号和群体分化的重要手段。Rubin等通过对多个家鸡群体和红原鸡进行全基因组重测序,报告了超过700万个SNP和近1300个缺失,并鉴定到多个驯化和商业选择过程中发生选择扫荡的区域,其中TSHR位点被认为是家鸡驯化中的显著选择信号之一[48]。需要指出,TSHR作为“驯化关键位点”的解释在后续研究中已被部分修正:在更大群体和更多地方品种纳入后,TSHR区域的选择信号呈现出明显的群体异质性,并非在所有家鸡群体中均显示固定差异;Henriksen等以TSHR突变型与野生型同窝个体为材料,发现该突变在体重、孵化期、应激行为和甲状腺激素水平上有可检测效应,但效应量相对有限[164];Karlsson等进一步从光周期反应与繁殖去季节化角度评估TSHR突变,提示其作用更接近“驯化阶段被强选择的功能位点之一”,而非直接驱动驯化典型表型的“分子开关”[165];Fallahshahroudi等以基因敲入策略将家鸡TSHR等位变异回引至红原鸡背景,进一步指出该突变对HPT轴和行为表型的影响呈现“可检测但有限”的格局[166]。这一案例反映了早期重测序选择扫荡分析对结果“标志性叙事”的依赖,以及在采样规模扩大后对早期结论进行重新评估的必要性。该研究显著提升了人们对家鸡驯化历史、地方品种形成和经济性状相关选择区域的认识,也使候选基因挖掘由传统QTL区段转向更加精细的群体遗传证据。</w:t>
      </w:r>
    </w:p>
    <w:p>
      <w:pPr>
        <w:spacing w:line="360" w:lineRule="auto"/>
        <w:ind w:firstLine="420"/>
      </w:pPr>
      <w:r>
        <w:rPr>
          <w:rFonts w:ascii="Times New Roman" w:hAnsi="Times New Roman" w:eastAsia="SimSun"/>
          <w:sz w:val="22"/>
        </w:rPr>
        <w:t>与此同时,参考基因组本身也在持续更新。继早期草图基因组和Gallus_gallus-5.0之后,家鸡参考组装已进入以长读长测序为基础的高质量组装阶段,当前广泛使用的参考组装包括bGalGal1.mat.broiler.GRCg7b,其在连续性和注释完整度方面较旧版本有明显提升[7][60]。即便如此,微染色体、高GC区、重复序列丰富区段以及部分免疫相关复杂区域仍未被完全解决,提示家鸡参考基因组虽然已显著改进,但距离真正意义上的完全解析仍有一定距离。表 1 汇总了当前家鸡参考基因组与图泛基因组的关键资源版本及其主要特征。</w:t>
      </w:r>
    </w:p>
    <w:p>
      <w:pPr>
        <w:spacing w:before="120" w:after="120"/>
        <w:jc w:val="center"/>
      </w:pPr>
      <w:r>
        <w:rPr>
          <w:rFonts w:ascii="Times New Roman" w:hAnsi="Times New Roman" w:eastAsia="SimHei"/>
          <w:b/>
          <w:sz w:val="20"/>
        </w:rPr>
        <w:t>表 1 家鸡主要参考基因组与图泛基因组资源汇总</w:t>
      </w:r>
    </w:p>
    <w:tbl>
      <w:tblPr>
        <w:tblW w:type="auto" w:w="0"/>
        <w:tblLook w:firstColumn="0" w:firstRow="0" w:lastColumn="0" w:lastRow="0" w:noHBand="1" w:noVBand="1" w:val="04A0"/>
        <w:tblBorders>
          <w:top w:val="nil"/>
          <w:left w:val="nil"/>
          <w:bottom w:val="nil"/>
          <w:right w:val="nil"/>
          <w:insideH w:val="nil"/>
          <w:insideV w:val="nil"/>
        </w:tblBorders>
      </w:tblPr>
      <w:tblGrid>
        <w:gridCol w:w="1234"/>
        <w:gridCol w:w="1234"/>
        <w:gridCol w:w="1234"/>
        <w:gridCol w:w="1234"/>
        <w:gridCol w:w="1234"/>
        <w:gridCol w:w="1234"/>
        <w:gridCol w:w="1234"/>
      </w:tblGrid>
      <w:tr>
        <w:tc>
          <w:tcPr>
            <w:tcW w:type="dxa" w:w="1234"/>
            <w:tcBorders>
              <w:top w:val="single" w:sz="12" w:space="0" w:color="000000"/>
              <w:left w:val="nil"/>
              <w:bottom w:val="single" w:sz="6" w:space="0" w:color="000000"/>
              <w:right w:val="nil"/>
            </w:tcBorders>
            <w:shd w:val="clear" w:color="auto" w:fill="FFFFFF"/>
          </w:tcPr>
          <w:p>
            <w:r/>
            <w:r>
              <w:rPr>
                <w:rFonts w:ascii="Times New Roman" w:hAnsi="Times New Roman" w:eastAsia="SimSun"/>
                <w:b/>
                <w:sz w:val="18"/>
              </w:rPr>
              <w:t>资源/版本</w:t>
            </w:r>
          </w:p>
        </w:tc>
        <w:tc>
          <w:tcPr>
            <w:tcW w:type="dxa" w:w="1234"/>
            <w:tcBorders>
              <w:top w:val="single" w:sz="12" w:space="0" w:color="000000"/>
              <w:left w:val="nil"/>
              <w:bottom w:val="single" w:sz="6" w:space="0" w:color="000000"/>
              <w:right w:val="nil"/>
            </w:tcBorders>
            <w:shd w:val="clear" w:color="auto" w:fill="FFFFFF"/>
          </w:tcPr>
          <w:p>
            <w:r/>
            <w:r>
              <w:rPr>
                <w:rFonts w:ascii="Times New Roman" w:hAnsi="Times New Roman" w:eastAsia="SimSun"/>
                <w:b/>
                <w:sz w:val="18"/>
              </w:rPr>
              <w:t>发布年</w:t>
            </w:r>
          </w:p>
        </w:tc>
        <w:tc>
          <w:tcPr>
            <w:tcW w:type="dxa" w:w="1234"/>
            <w:tcBorders>
              <w:top w:val="single" w:sz="12" w:space="0" w:color="000000"/>
              <w:left w:val="nil"/>
              <w:bottom w:val="single" w:sz="6" w:space="0" w:color="000000"/>
              <w:right w:val="nil"/>
            </w:tcBorders>
            <w:shd w:val="clear" w:color="auto" w:fill="FFFFFF"/>
          </w:tcPr>
          <w:p>
            <w:r/>
            <w:r>
              <w:rPr>
                <w:rFonts w:ascii="Times New Roman" w:hAnsi="Times New Roman" w:eastAsia="SimSun"/>
                <w:b/>
                <w:sz w:val="18"/>
              </w:rPr>
              <w:t>测序/构建技术</w:t>
            </w:r>
          </w:p>
        </w:tc>
        <w:tc>
          <w:tcPr>
            <w:tcW w:type="dxa" w:w="1234"/>
            <w:tcBorders>
              <w:top w:val="single" w:sz="12" w:space="0" w:color="000000"/>
              <w:left w:val="nil"/>
              <w:bottom w:val="single" w:sz="6" w:space="0" w:color="000000"/>
              <w:right w:val="nil"/>
            </w:tcBorders>
            <w:shd w:val="clear" w:color="auto" w:fill="FFFFFF"/>
          </w:tcPr>
          <w:p>
            <w:r/>
            <w:r>
              <w:rPr>
                <w:rFonts w:ascii="Times New Roman" w:hAnsi="Times New Roman" w:eastAsia="SimSun"/>
                <w:b/>
                <w:sz w:val="18"/>
              </w:rPr>
              <w:t>主要特征</w:t>
            </w:r>
          </w:p>
        </w:tc>
        <w:tc>
          <w:tcPr>
            <w:tcW w:type="dxa" w:w="1234"/>
            <w:tcBorders>
              <w:top w:val="single" w:sz="12" w:space="0" w:color="000000"/>
              <w:left w:val="nil"/>
              <w:bottom w:val="single" w:sz="6" w:space="0" w:color="000000"/>
              <w:right w:val="nil"/>
            </w:tcBorders>
            <w:shd w:val="clear" w:color="auto" w:fill="FFFFFF"/>
          </w:tcPr>
          <w:p>
            <w:r/>
            <w:r>
              <w:rPr>
                <w:rFonts w:ascii="Times New Roman" w:hAnsi="Times New Roman" w:eastAsia="SimSun"/>
                <w:b/>
                <w:sz w:val="18"/>
              </w:rPr>
              <w:t>主要应用场景</w:t>
            </w:r>
          </w:p>
        </w:tc>
        <w:tc>
          <w:tcPr>
            <w:tcW w:type="dxa" w:w="1234"/>
            <w:tcBorders>
              <w:top w:val="single" w:sz="12" w:space="0" w:color="000000"/>
              <w:left w:val="nil"/>
              <w:bottom w:val="single" w:sz="6" w:space="0" w:color="000000"/>
              <w:right w:val="nil"/>
            </w:tcBorders>
            <w:shd w:val="clear" w:color="auto" w:fill="FFFFFF"/>
          </w:tcPr>
          <w:p>
            <w:r/>
            <w:r>
              <w:rPr>
                <w:rFonts w:ascii="Times New Roman" w:hAnsi="Times New Roman" w:eastAsia="SimSun"/>
                <w:b/>
                <w:sz w:val="18"/>
              </w:rPr>
              <w:t>主要局限</w:t>
            </w:r>
          </w:p>
        </w:tc>
        <w:tc>
          <w:tcPr>
            <w:tcW w:type="dxa" w:w="1234"/>
            <w:tcBorders>
              <w:top w:val="single" w:sz="12" w:space="0" w:color="000000"/>
              <w:left w:val="nil"/>
              <w:bottom w:val="single" w:sz="6" w:space="0" w:color="000000"/>
              <w:right w:val="nil"/>
            </w:tcBorders>
            <w:shd w:val="clear" w:color="auto" w:fill="FFFFFF"/>
          </w:tcPr>
          <w:p>
            <w:r/>
            <w:r>
              <w:rPr>
                <w:rFonts w:ascii="Times New Roman" w:hAnsi="Times New Roman" w:eastAsia="SimSun"/>
                <w:b/>
                <w:sz w:val="18"/>
              </w:rPr>
              <w:t>参考文献</w:t>
            </w:r>
          </w:p>
        </w:tc>
      </w:tr>
      <w:tr>
        <w:tc>
          <w:tcPr>
            <w:tcW w:type="dxa" w:w="1234"/>
            <w:tcBorders>
              <w:top w:val="nil"/>
              <w:left w:val="nil"/>
              <w:bottom w:val="nil"/>
              <w:right w:val="nil"/>
            </w:tcBorders>
            <w:shd w:val="clear" w:color="auto" w:fill="FFFFFF"/>
          </w:tcPr>
          <w:p>
            <w:r/>
            <w:r>
              <w:rPr>
                <w:rFonts w:ascii="Times New Roman" w:hAnsi="Times New Roman" w:eastAsia="SimSun"/>
                <w:sz w:val="18"/>
              </w:rPr>
              <w:t>WUGSC 2.1 (Red Junglefowl 草图基因组)</w:t>
            </w:r>
          </w:p>
        </w:tc>
        <w:tc>
          <w:tcPr>
            <w:tcW w:type="dxa" w:w="1234"/>
            <w:tcBorders>
              <w:top w:val="nil"/>
              <w:left w:val="nil"/>
              <w:bottom w:val="nil"/>
              <w:right w:val="nil"/>
            </w:tcBorders>
            <w:shd w:val="clear" w:color="auto" w:fill="FFFFFF"/>
          </w:tcPr>
          <w:p>
            <w:r/>
            <w:r>
              <w:rPr>
                <w:rFonts w:ascii="Times New Roman" w:hAnsi="Times New Roman" w:eastAsia="SimSun"/>
                <w:sz w:val="18"/>
              </w:rPr>
              <w:t>2004</w:t>
            </w:r>
          </w:p>
        </w:tc>
        <w:tc>
          <w:tcPr>
            <w:tcW w:type="dxa" w:w="1234"/>
            <w:tcBorders>
              <w:top w:val="nil"/>
              <w:left w:val="nil"/>
              <w:bottom w:val="nil"/>
              <w:right w:val="nil"/>
            </w:tcBorders>
            <w:shd w:val="clear" w:color="auto" w:fill="FFFFFF"/>
          </w:tcPr>
          <w:p>
            <w:r/>
            <w:r>
              <w:rPr>
                <w:rFonts w:ascii="Times New Roman" w:hAnsi="Times New Roman" w:eastAsia="SimSun"/>
                <w:sz w:val="18"/>
              </w:rPr>
              <w:t>Sanger 短读长 + BAC</w:t>
            </w:r>
          </w:p>
        </w:tc>
        <w:tc>
          <w:tcPr>
            <w:tcW w:type="dxa" w:w="1234"/>
            <w:tcBorders>
              <w:top w:val="nil"/>
              <w:left w:val="nil"/>
              <w:bottom w:val="nil"/>
              <w:right w:val="nil"/>
            </w:tcBorders>
            <w:shd w:val="clear" w:color="auto" w:fill="FFFFFF"/>
          </w:tcPr>
          <w:p>
            <w:r/>
            <w:r>
              <w:rPr>
                <w:rFonts w:ascii="Times New Roman" w:hAnsi="Times New Roman" w:eastAsia="SimSun"/>
                <w:sz w:val="18"/>
              </w:rPr>
              <w:t>首个鸡参考基因组,~1 Gb 拼接</w:t>
            </w:r>
          </w:p>
        </w:tc>
        <w:tc>
          <w:tcPr>
            <w:tcW w:type="dxa" w:w="1234"/>
            <w:tcBorders>
              <w:top w:val="nil"/>
              <w:left w:val="nil"/>
              <w:bottom w:val="nil"/>
              <w:right w:val="nil"/>
            </w:tcBorders>
            <w:shd w:val="clear" w:color="auto" w:fill="FFFFFF"/>
          </w:tcPr>
          <w:p>
            <w:r/>
            <w:r>
              <w:rPr>
                <w:rFonts w:ascii="Times New Roman" w:hAnsi="Times New Roman" w:eastAsia="SimSun"/>
                <w:sz w:val="18"/>
              </w:rPr>
              <w:t>奠定 SNP 芯片、QTL/GWAS、比较基因组学基础</w:t>
            </w:r>
          </w:p>
        </w:tc>
        <w:tc>
          <w:tcPr>
            <w:tcW w:type="dxa" w:w="1234"/>
            <w:tcBorders>
              <w:top w:val="nil"/>
              <w:left w:val="nil"/>
              <w:bottom w:val="nil"/>
              <w:right w:val="nil"/>
            </w:tcBorders>
            <w:shd w:val="clear" w:color="auto" w:fill="FFFFFF"/>
          </w:tcPr>
          <w:p>
            <w:r/>
            <w:r>
              <w:rPr>
                <w:rFonts w:ascii="Times New Roman" w:hAnsi="Times New Roman" w:eastAsia="SimSun"/>
                <w:sz w:val="18"/>
              </w:rPr>
              <w:t>微染色体大量缺口,注释不完整</w:t>
            </w:r>
          </w:p>
        </w:tc>
        <w:tc>
          <w:tcPr>
            <w:tcW w:type="dxa" w:w="1234"/>
            <w:tcBorders>
              <w:top w:val="nil"/>
              <w:left w:val="nil"/>
              <w:bottom w:val="nil"/>
              <w:right w:val="nil"/>
            </w:tcBorders>
            <w:shd w:val="clear" w:color="auto" w:fill="FFFFFF"/>
          </w:tcPr>
          <w:p>
            <w:r/>
            <w:r>
              <w:rPr>
                <w:rFonts w:ascii="Times New Roman" w:hAnsi="Times New Roman" w:eastAsia="SimSun"/>
                <w:sz w:val="18"/>
              </w:rPr>
              <w:t>[46]</w:t>
            </w:r>
          </w:p>
        </w:tc>
      </w:tr>
      <w:tr>
        <w:tc>
          <w:tcPr>
            <w:tcW w:type="dxa" w:w="1234"/>
            <w:tcBorders>
              <w:top w:val="nil"/>
              <w:left w:val="nil"/>
              <w:bottom w:val="nil"/>
              <w:right w:val="nil"/>
            </w:tcBorders>
            <w:shd w:val="clear" w:color="auto" w:fill="FFFFFF"/>
          </w:tcPr>
          <w:p>
            <w:r/>
            <w:r>
              <w:rPr>
                <w:rFonts w:ascii="Times New Roman" w:hAnsi="Times New Roman" w:eastAsia="SimSun"/>
                <w:sz w:val="18"/>
              </w:rPr>
              <w:t>ICPMC 变异图谱 (2.8M SNPs)</w:t>
            </w:r>
          </w:p>
        </w:tc>
        <w:tc>
          <w:tcPr>
            <w:tcW w:type="dxa" w:w="1234"/>
            <w:tcBorders>
              <w:top w:val="nil"/>
              <w:left w:val="nil"/>
              <w:bottom w:val="nil"/>
              <w:right w:val="nil"/>
            </w:tcBorders>
            <w:shd w:val="clear" w:color="auto" w:fill="FFFFFF"/>
          </w:tcPr>
          <w:p>
            <w:r/>
            <w:r>
              <w:rPr>
                <w:rFonts w:ascii="Times New Roman" w:hAnsi="Times New Roman" w:eastAsia="SimSun"/>
                <w:sz w:val="18"/>
              </w:rPr>
              <w:t>2004</w:t>
            </w:r>
          </w:p>
        </w:tc>
        <w:tc>
          <w:tcPr>
            <w:tcW w:type="dxa" w:w="1234"/>
            <w:tcBorders>
              <w:top w:val="nil"/>
              <w:left w:val="nil"/>
              <w:bottom w:val="nil"/>
              <w:right w:val="nil"/>
            </w:tcBorders>
            <w:shd w:val="clear" w:color="auto" w:fill="FFFFFF"/>
          </w:tcPr>
          <w:p>
            <w:r/>
            <w:r>
              <w:rPr>
                <w:rFonts w:ascii="Times New Roman" w:hAnsi="Times New Roman" w:eastAsia="SimSun"/>
                <w:sz w:val="18"/>
              </w:rPr>
              <w:t>短读长重测序</w:t>
            </w:r>
          </w:p>
        </w:tc>
        <w:tc>
          <w:tcPr>
            <w:tcW w:type="dxa" w:w="1234"/>
            <w:tcBorders>
              <w:top w:val="nil"/>
              <w:left w:val="nil"/>
              <w:bottom w:val="nil"/>
              <w:right w:val="nil"/>
            </w:tcBorders>
            <w:shd w:val="clear" w:color="auto" w:fill="FFFFFF"/>
          </w:tcPr>
          <w:p>
            <w:r/>
            <w:r>
              <w:rPr>
                <w:rFonts w:ascii="Times New Roman" w:hAnsi="Times New Roman" w:eastAsia="SimSun"/>
                <w:sz w:val="18"/>
              </w:rPr>
              <w:t>覆盖红原鸡、肉鸡、蛋鸡 3 个群体</w:t>
            </w:r>
          </w:p>
        </w:tc>
        <w:tc>
          <w:tcPr>
            <w:tcW w:type="dxa" w:w="1234"/>
            <w:tcBorders>
              <w:top w:val="nil"/>
              <w:left w:val="nil"/>
              <w:bottom w:val="nil"/>
              <w:right w:val="nil"/>
            </w:tcBorders>
            <w:shd w:val="clear" w:color="auto" w:fill="FFFFFF"/>
          </w:tcPr>
          <w:p>
            <w:r/>
            <w:r>
              <w:rPr>
                <w:rFonts w:ascii="Times New Roman" w:hAnsi="Times New Roman" w:eastAsia="SimSun"/>
                <w:sz w:val="18"/>
              </w:rPr>
              <w:t>SNP 芯片设计、群体多样性研究</w:t>
            </w:r>
          </w:p>
        </w:tc>
        <w:tc>
          <w:tcPr>
            <w:tcW w:type="dxa" w:w="1234"/>
            <w:tcBorders>
              <w:top w:val="nil"/>
              <w:left w:val="nil"/>
              <w:bottom w:val="nil"/>
              <w:right w:val="nil"/>
            </w:tcBorders>
            <w:shd w:val="clear" w:color="auto" w:fill="FFFFFF"/>
          </w:tcPr>
          <w:p>
            <w:r/>
            <w:r>
              <w:rPr>
                <w:rFonts w:ascii="Times New Roman" w:hAnsi="Times New Roman" w:eastAsia="SimSun"/>
                <w:sz w:val="18"/>
              </w:rPr>
              <w:t>SV 与低频变异未充分覆盖</w:t>
            </w:r>
          </w:p>
        </w:tc>
        <w:tc>
          <w:tcPr>
            <w:tcW w:type="dxa" w:w="1234"/>
            <w:tcBorders>
              <w:top w:val="nil"/>
              <w:left w:val="nil"/>
              <w:bottom w:val="nil"/>
              <w:right w:val="nil"/>
            </w:tcBorders>
            <w:shd w:val="clear" w:color="auto" w:fill="FFFFFF"/>
          </w:tcPr>
          <w:p>
            <w:r/>
            <w:r>
              <w:rPr>
                <w:rFonts w:ascii="Times New Roman" w:hAnsi="Times New Roman" w:eastAsia="SimSun"/>
                <w:sz w:val="18"/>
              </w:rPr>
              <w:t>[47]</w:t>
            </w:r>
          </w:p>
        </w:tc>
      </w:tr>
      <w:tr>
        <w:tc>
          <w:tcPr>
            <w:tcW w:type="dxa" w:w="1234"/>
            <w:tcBorders>
              <w:top w:val="nil"/>
              <w:left w:val="nil"/>
              <w:bottom w:val="nil"/>
              <w:right w:val="nil"/>
            </w:tcBorders>
            <w:shd w:val="clear" w:color="auto" w:fill="FFFFFF"/>
          </w:tcPr>
          <w:p>
            <w:r/>
            <w:r>
              <w:rPr>
                <w:rFonts w:ascii="Times New Roman" w:hAnsi="Times New Roman" w:eastAsia="SimSun"/>
                <w:sz w:val="18"/>
              </w:rPr>
              <w:t>Gallus_gallus-5.0</w:t>
            </w:r>
          </w:p>
        </w:tc>
        <w:tc>
          <w:tcPr>
            <w:tcW w:type="dxa" w:w="1234"/>
            <w:tcBorders>
              <w:top w:val="nil"/>
              <w:left w:val="nil"/>
              <w:bottom w:val="nil"/>
              <w:right w:val="nil"/>
            </w:tcBorders>
            <w:shd w:val="clear" w:color="auto" w:fill="FFFFFF"/>
          </w:tcPr>
          <w:p>
            <w:r/>
            <w:r>
              <w:rPr>
                <w:rFonts w:ascii="Times New Roman" w:hAnsi="Times New Roman" w:eastAsia="SimSun"/>
                <w:sz w:val="18"/>
              </w:rPr>
              <w:t>2015–2017</w:t>
            </w:r>
          </w:p>
        </w:tc>
        <w:tc>
          <w:tcPr>
            <w:tcW w:type="dxa" w:w="1234"/>
            <w:tcBorders>
              <w:top w:val="nil"/>
              <w:left w:val="nil"/>
              <w:bottom w:val="nil"/>
              <w:right w:val="nil"/>
            </w:tcBorders>
            <w:shd w:val="clear" w:color="auto" w:fill="FFFFFF"/>
          </w:tcPr>
          <w:p>
            <w:r/>
            <w:r>
              <w:rPr>
                <w:rFonts w:ascii="Times New Roman" w:hAnsi="Times New Roman" w:eastAsia="SimSun"/>
                <w:sz w:val="18"/>
              </w:rPr>
              <w:t>PacBio + 光学图谱</w:t>
            </w:r>
          </w:p>
        </w:tc>
        <w:tc>
          <w:tcPr>
            <w:tcW w:type="dxa" w:w="1234"/>
            <w:tcBorders>
              <w:top w:val="nil"/>
              <w:left w:val="nil"/>
              <w:bottom w:val="nil"/>
              <w:right w:val="nil"/>
            </w:tcBorders>
            <w:shd w:val="clear" w:color="auto" w:fill="FFFFFF"/>
          </w:tcPr>
          <w:p>
            <w:r/>
            <w:r>
              <w:rPr>
                <w:rFonts w:ascii="Times New Roman" w:hAnsi="Times New Roman" w:eastAsia="SimSun"/>
                <w:sz w:val="18"/>
              </w:rPr>
              <w:t>连续性显著提升,注释完整性更好</w:t>
            </w:r>
          </w:p>
        </w:tc>
        <w:tc>
          <w:tcPr>
            <w:tcW w:type="dxa" w:w="1234"/>
            <w:tcBorders>
              <w:top w:val="nil"/>
              <w:left w:val="nil"/>
              <w:bottom w:val="nil"/>
              <w:right w:val="nil"/>
            </w:tcBorders>
            <w:shd w:val="clear" w:color="auto" w:fill="FFFFFF"/>
          </w:tcPr>
          <w:p>
            <w:r/>
            <w:r>
              <w:rPr>
                <w:rFonts w:ascii="Times New Roman" w:hAnsi="Times New Roman" w:eastAsia="SimSun"/>
                <w:sz w:val="18"/>
              </w:rPr>
              <w:t>GWAS、群体重测序、功能注释统一坐标</w:t>
            </w:r>
          </w:p>
        </w:tc>
        <w:tc>
          <w:tcPr>
            <w:tcW w:type="dxa" w:w="1234"/>
            <w:tcBorders>
              <w:top w:val="nil"/>
              <w:left w:val="nil"/>
              <w:bottom w:val="nil"/>
              <w:right w:val="nil"/>
            </w:tcBorders>
            <w:shd w:val="clear" w:color="auto" w:fill="FFFFFF"/>
          </w:tcPr>
          <w:p>
            <w:r/>
            <w:r>
              <w:rPr>
                <w:rFonts w:ascii="Times New Roman" w:hAnsi="Times New Roman" w:eastAsia="SimSun"/>
                <w:sz w:val="18"/>
              </w:rPr>
              <w:t>部分微染色体仍有缺口</w:t>
            </w:r>
          </w:p>
        </w:tc>
        <w:tc>
          <w:tcPr>
            <w:tcW w:type="dxa" w:w="1234"/>
            <w:tcBorders>
              <w:top w:val="nil"/>
              <w:left w:val="nil"/>
              <w:bottom w:val="nil"/>
              <w:right w:val="nil"/>
            </w:tcBorders>
            <w:shd w:val="clear" w:color="auto" w:fill="FFFFFF"/>
          </w:tcPr>
          <w:p>
            <w:r/>
            <w:r>
              <w:rPr>
                <w:rFonts w:ascii="Times New Roman" w:hAnsi="Times New Roman" w:eastAsia="SimSun"/>
                <w:sz w:val="18"/>
              </w:rPr>
              <w:t>[7]</w:t>
            </w:r>
          </w:p>
        </w:tc>
      </w:tr>
      <w:tr>
        <w:tc>
          <w:tcPr>
            <w:tcW w:type="dxa" w:w="1234"/>
            <w:tcBorders>
              <w:top w:val="nil"/>
              <w:left w:val="nil"/>
              <w:bottom w:val="nil"/>
              <w:right w:val="nil"/>
            </w:tcBorders>
            <w:shd w:val="clear" w:color="auto" w:fill="FFFFFF"/>
          </w:tcPr>
          <w:p>
            <w:r/>
            <w:r>
              <w:rPr>
                <w:rFonts w:ascii="Times New Roman" w:hAnsi="Times New Roman" w:eastAsia="SimSun"/>
                <w:sz w:val="18"/>
              </w:rPr>
              <w:t>bGalGal1.mat.broiler.GRCg7b</w:t>
            </w:r>
          </w:p>
        </w:tc>
        <w:tc>
          <w:tcPr>
            <w:tcW w:type="dxa" w:w="1234"/>
            <w:tcBorders>
              <w:top w:val="nil"/>
              <w:left w:val="nil"/>
              <w:bottom w:val="nil"/>
              <w:right w:val="nil"/>
            </w:tcBorders>
            <w:shd w:val="clear" w:color="auto" w:fill="FFFFFF"/>
          </w:tcPr>
          <w:p>
            <w:r/>
            <w:r>
              <w:rPr>
                <w:rFonts w:ascii="Times New Roman" w:hAnsi="Times New Roman" w:eastAsia="SimSun"/>
                <w:sz w:val="18"/>
              </w:rPr>
              <w:t>2021</w:t>
            </w:r>
          </w:p>
        </w:tc>
        <w:tc>
          <w:tcPr>
            <w:tcW w:type="dxa" w:w="1234"/>
            <w:tcBorders>
              <w:top w:val="nil"/>
              <w:left w:val="nil"/>
              <w:bottom w:val="nil"/>
              <w:right w:val="nil"/>
            </w:tcBorders>
            <w:shd w:val="clear" w:color="auto" w:fill="FFFFFF"/>
          </w:tcPr>
          <w:p>
            <w:r/>
            <w:r>
              <w:rPr>
                <w:rFonts w:ascii="Times New Roman" w:hAnsi="Times New Roman" w:eastAsia="SimSun"/>
                <w:sz w:val="18"/>
              </w:rPr>
              <w:t>长读长 + Hi-C</w:t>
            </w:r>
          </w:p>
        </w:tc>
        <w:tc>
          <w:tcPr>
            <w:tcW w:type="dxa" w:w="1234"/>
            <w:tcBorders>
              <w:top w:val="nil"/>
              <w:left w:val="nil"/>
              <w:bottom w:val="nil"/>
              <w:right w:val="nil"/>
            </w:tcBorders>
            <w:shd w:val="clear" w:color="auto" w:fill="FFFFFF"/>
          </w:tcPr>
          <w:p>
            <w:r/>
            <w:r>
              <w:rPr>
                <w:rFonts w:ascii="Times New Roman" w:hAnsi="Times New Roman" w:eastAsia="SimSun"/>
                <w:sz w:val="18"/>
              </w:rPr>
              <w:t>当前主流参考基因组,T2T 级别接近</w:t>
            </w:r>
          </w:p>
        </w:tc>
        <w:tc>
          <w:tcPr>
            <w:tcW w:type="dxa" w:w="1234"/>
            <w:tcBorders>
              <w:top w:val="nil"/>
              <w:left w:val="nil"/>
              <w:bottom w:val="nil"/>
              <w:right w:val="nil"/>
            </w:tcBorders>
            <w:shd w:val="clear" w:color="auto" w:fill="FFFFFF"/>
          </w:tcPr>
          <w:p>
            <w:r/>
            <w:r>
              <w:rPr>
                <w:rFonts w:ascii="Times New Roman" w:hAnsi="Times New Roman" w:eastAsia="SimSun"/>
                <w:sz w:val="18"/>
              </w:rPr>
              <w:t>精细变异检测、多组学整合的标准坐标系</w:t>
            </w:r>
          </w:p>
        </w:tc>
        <w:tc>
          <w:tcPr>
            <w:tcW w:type="dxa" w:w="1234"/>
            <w:tcBorders>
              <w:top w:val="nil"/>
              <w:left w:val="nil"/>
              <w:bottom w:val="nil"/>
              <w:right w:val="nil"/>
            </w:tcBorders>
            <w:shd w:val="clear" w:color="auto" w:fill="FFFFFF"/>
          </w:tcPr>
          <w:p>
            <w:r/>
            <w:r>
              <w:rPr>
                <w:rFonts w:ascii="Times New Roman" w:hAnsi="Times New Roman" w:eastAsia="SimSun"/>
                <w:sz w:val="18"/>
              </w:rPr>
              <w:t>仍有少量复杂区域未完全解析</w:t>
            </w:r>
          </w:p>
        </w:tc>
        <w:tc>
          <w:tcPr>
            <w:tcW w:type="dxa" w:w="1234"/>
            <w:tcBorders>
              <w:top w:val="nil"/>
              <w:left w:val="nil"/>
              <w:bottom w:val="nil"/>
              <w:right w:val="nil"/>
            </w:tcBorders>
            <w:shd w:val="clear" w:color="auto" w:fill="FFFFFF"/>
          </w:tcPr>
          <w:p>
            <w:r/>
            <w:r>
              <w:rPr>
                <w:rFonts w:ascii="Times New Roman" w:hAnsi="Times New Roman" w:eastAsia="SimSun"/>
                <w:sz w:val="18"/>
              </w:rPr>
              <w:t>[7][60]</w:t>
            </w:r>
          </w:p>
        </w:tc>
      </w:tr>
      <w:tr>
        <w:tc>
          <w:tcPr>
            <w:tcW w:type="dxa" w:w="1234"/>
            <w:tcBorders>
              <w:top w:val="nil"/>
              <w:left w:val="nil"/>
              <w:bottom w:val="nil"/>
              <w:right w:val="nil"/>
            </w:tcBorders>
            <w:shd w:val="clear" w:color="auto" w:fill="FFFFFF"/>
          </w:tcPr>
          <w:p>
            <w:r/>
            <w:r>
              <w:rPr>
                <w:rFonts w:ascii="Times New Roman" w:hAnsi="Times New Roman" w:eastAsia="SimSun"/>
                <w:sz w:val="18"/>
              </w:rPr>
              <w:t>鸡泛基因组 (Wang 等)</w:t>
            </w:r>
          </w:p>
        </w:tc>
        <w:tc>
          <w:tcPr>
            <w:tcW w:type="dxa" w:w="1234"/>
            <w:tcBorders>
              <w:top w:val="nil"/>
              <w:left w:val="nil"/>
              <w:bottom w:val="nil"/>
              <w:right w:val="nil"/>
            </w:tcBorders>
            <w:shd w:val="clear" w:color="auto" w:fill="FFFFFF"/>
          </w:tcPr>
          <w:p>
            <w:r/>
            <w:r>
              <w:rPr>
                <w:rFonts w:ascii="Times New Roman" w:hAnsi="Times New Roman" w:eastAsia="SimSun"/>
                <w:sz w:val="18"/>
              </w:rPr>
              <w:t>2021</w:t>
            </w:r>
          </w:p>
        </w:tc>
        <w:tc>
          <w:tcPr>
            <w:tcW w:type="dxa" w:w="1234"/>
            <w:tcBorders>
              <w:top w:val="nil"/>
              <w:left w:val="nil"/>
              <w:bottom w:val="nil"/>
              <w:right w:val="nil"/>
            </w:tcBorders>
            <w:shd w:val="clear" w:color="auto" w:fill="FFFFFF"/>
          </w:tcPr>
          <w:p>
            <w:r/>
            <w:r>
              <w:rPr>
                <w:rFonts w:ascii="Times New Roman" w:hAnsi="Times New Roman" w:eastAsia="SimSun"/>
                <w:sz w:val="18"/>
              </w:rPr>
              <w:t>20 个基因组组装合并</w:t>
            </w:r>
          </w:p>
        </w:tc>
        <w:tc>
          <w:tcPr>
            <w:tcW w:type="dxa" w:w="1234"/>
            <w:tcBorders>
              <w:top w:val="nil"/>
              <w:left w:val="nil"/>
              <w:bottom w:val="nil"/>
              <w:right w:val="nil"/>
            </w:tcBorders>
            <w:shd w:val="clear" w:color="auto" w:fill="FFFFFF"/>
          </w:tcPr>
          <w:p>
            <w:r/>
            <w:r>
              <w:rPr>
                <w:rFonts w:ascii="Times New Roman" w:hAnsi="Times New Roman" w:eastAsia="SimSun"/>
                <w:sz w:val="18"/>
              </w:rPr>
              <w:t>揭示参考缺失序列与基因内容变异</w:t>
            </w:r>
          </w:p>
        </w:tc>
        <w:tc>
          <w:tcPr>
            <w:tcW w:type="dxa" w:w="1234"/>
            <w:tcBorders>
              <w:top w:val="nil"/>
              <w:left w:val="nil"/>
              <w:bottom w:val="nil"/>
              <w:right w:val="nil"/>
            </w:tcBorders>
            <w:shd w:val="clear" w:color="auto" w:fill="FFFFFF"/>
          </w:tcPr>
          <w:p>
            <w:r/>
            <w:r>
              <w:rPr>
                <w:rFonts w:ascii="Times New Roman" w:hAnsi="Times New Roman" w:eastAsia="SimSun"/>
                <w:sz w:val="18"/>
              </w:rPr>
              <w:t>SV 发现,IGF2BP1 启动子缺失等案例</w:t>
            </w:r>
          </w:p>
        </w:tc>
        <w:tc>
          <w:tcPr>
            <w:tcW w:type="dxa" w:w="1234"/>
            <w:tcBorders>
              <w:top w:val="nil"/>
              <w:left w:val="nil"/>
              <w:bottom w:val="nil"/>
              <w:right w:val="nil"/>
            </w:tcBorders>
            <w:shd w:val="clear" w:color="auto" w:fill="FFFFFF"/>
          </w:tcPr>
          <w:p>
            <w:r/>
            <w:r>
              <w:rPr>
                <w:rFonts w:ascii="Times New Roman" w:hAnsi="Times New Roman" w:eastAsia="SimSun"/>
                <w:sz w:val="18"/>
              </w:rPr>
              <w:t>样本对地方品种代表性不足</w:t>
            </w:r>
          </w:p>
        </w:tc>
        <w:tc>
          <w:tcPr>
            <w:tcW w:type="dxa" w:w="1234"/>
            <w:tcBorders>
              <w:top w:val="nil"/>
              <w:left w:val="nil"/>
              <w:bottom w:val="nil"/>
              <w:right w:val="nil"/>
            </w:tcBorders>
            <w:shd w:val="clear" w:color="auto" w:fill="FFFFFF"/>
          </w:tcPr>
          <w:p>
            <w:r/>
            <w:r>
              <w:rPr>
                <w:rFonts w:ascii="Times New Roman" w:hAnsi="Times New Roman" w:eastAsia="SimSun"/>
                <w:sz w:val="18"/>
              </w:rPr>
              <w:t>[8]</w:t>
            </w:r>
          </w:p>
        </w:tc>
      </w:tr>
      <w:tr>
        <w:tc>
          <w:tcPr>
            <w:tcW w:type="dxa" w:w="1234"/>
            <w:tcBorders>
              <w:top w:val="nil"/>
              <w:left w:val="nil"/>
              <w:bottom w:val="nil"/>
              <w:right w:val="nil"/>
            </w:tcBorders>
            <w:shd w:val="clear" w:color="auto" w:fill="FFFFFF"/>
          </w:tcPr>
          <w:p>
            <w:r/>
            <w:r>
              <w:rPr>
                <w:rFonts w:ascii="Times New Roman" w:hAnsi="Times New Roman" w:eastAsia="SimSun"/>
                <w:sz w:val="18"/>
              </w:rPr>
              <w:t>鸡图泛基因组 (Rice 等)</w:t>
            </w:r>
          </w:p>
        </w:tc>
        <w:tc>
          <w:tcPr>
            <w:tcW w:type="dxa" w:w="1234"/>
            <w:tcBorders>
              <w:top w:val="nil"/>
              <w:left w:val="nil"/>
              <w:bottom w:val="nil"/>
              <w:right w:val="nil"/>
            </w:tcBorders>
            <w:shd w:val="clear" w:color="auto" w:fill="FFFFFF"/>
          </w:tcPr>
          <w:p>
            <w:r/>
            <w:r>
              <w:rPr>
                <w:rFonts w:ascii="Times New Roman" w:hAnsi="Times New Roman" w:eastAsia="SimSun"/>
                <w:sz w:val="18"/>
              </w:rPr>
              <w:t>2023</w:t>
            </w:r>
          </w:p>
        </w:tc>
        <w:tc>
          <w:tcPr>
            <w:tcW w:type="dxa" w:w="1234"/>
            <w:tcBorders>
              <w:top w:val="nil"/>
              <w:left w:val="nil"/>
              <w:bottom w:val="nil"/>
              <w:right w:val="nil"/>
            </w:tcBorders>
            <w:shd w:val="clear" w:color="auto" w:fill="FFFFFF"/>
          </w:tcPr>
          <w:p>
            <w:r/>
            <w:r>
              <w:rPr>
                <w:rFonts w:ascii="Times New Roman" w:hAnsi="Times New Roman" w:eastAsia="SimSun"/>
                <w:sz w:val="18"/>
              </w:rPr>
              <w:t>30 个基因组 + 图结构</w:t>
            </w:r>
          </w:p>
        </w:tc>
        <w:tc>
          <w:tcPr>
            <w:tcW w:type="dxa" w:w="1234"/>
            <w:tcBorders>
              <w:top w:val="nil"/>
              <w:left w:val="nil"/>
              <w:bottom w:val="nil"/>
              <w:right w:val="nil"/>
            </w:tcBorders>
            <w:shd w:val="clear" w:color="auto" w:fill="FFFFFF"/>
          </w:tcPr>
          <w:p>
            <w:r/>
            <w:r>
              <w:rPr>
                <w:rFonts w:ascii="Times New Roman" w:hAnsi="Times New Roman" w:eastAsia="SimSun"/>
                <w:sz w:val="18"/>
              </w:rPr>
              <w:t>参考偏倚下降 ~38%,可分型大型 SV</w:t>
            </w:r>
          </w:p>
        </w:tc>
        <w:tc>
          <w:tcPr>
            <w:tcW w:type="dxa" w:w="1234"/>
            <w:tcBorders>
              <w:top w:val="nil"/>
              <w:left w:val="nil"/>
              <w:bottom w:val="nil"/>
              <w:right w:val="nil"/>
            </w:tcBorders>
            <w:shd w:val="clear" w:color="auto" w:fill="FFFFFF"/>
          </w:tcPr>
          <w:p>
            <w:r/>
            <w:r>
              <w:rPr>
                <w:rFonts w:ascii="Times New Roman" w:hAnsi="Times New Roman" w:eastAsia="SimSun"/>
                <w:sz w:val="18"/>
              </w:rPr>
              <w:t>短读长比对 + 复杂结构变异分型</w:t>
            </w:r>
          </w:p>
        </w:tc>
        <w:tc>
          <w:tcPr>
            <w:tcW w:type="dxa" w:w="1234"/>
            <w:tcBorders>
              <w:top w:val="nil"/>
              <w:left w:val="nil"/>
              <w:bottom w:val="nil"/>
              <w:right w:val="nil"/>
            </w:tcBorders>
            <w:shd w:val="clear" w:color="auto" w:fill="FFFFFF"/>
          </w:tcPr>
          <w:p>
            <w:r/>
            <w:r>
              <w:rPr>
                <w:rFonts w:ascii="Times New Roman" w:hAnsi="Times New Roman" w:eastAsia="SimSun"/>
                <w:sz w:val="18"/>
              </w:rPr>
              <w:t>计算成本高,坐标标准化未统一</w:t>
            </w:r>
          </w:p>
        </w:tc>
        <w:tc>
          <w:tcPr>
            <w:tcW w:type="dxa" w:w="1234"/>
            <w:tcBorders>
              <w:top w:val="nil"/>
              <w:left w:val="nil"/>
              <w:bottom w:val="nil"/>
              <w:right w:val="nil"/>
            </w:tcBorders>
            <w:shd w:val="clear" w:color="auto" w:fill="FFFFFF"/>
          </w:tcPr>
          <w:p>
            <w:r/>
            <w:r>
              <w:rPr>
                <w:rFonts w:ascii="Times New Roman" w:hAnsi="Times New Roman" w:eastAsia="SimSun"/>
                <w:sz w:val="18"/>
              </w:rPr>
              <w:t>[49]</w:t>
            </w:r>
          </w:p>
        </w:tc>
      </w:tr>
      <w:tr>
        <w:tc>
          <w:tcPr>
            <w:tcW w:type="dxa" w:w="1234"/>
            <w:tcBorders>
              <w:top w:val="nil"/>
              <w:left w:val="nil"/>
              <w:bottom w:val="nil"/>
              <w:right w:val="nil"/>
            </w:tcBorders>
            <w:shd w:val="clear" w:color="auto" w:fill="FFFFFF"/>
          </w:tcPr>
          <w:p>
            <w:r/>
            <w:r>
              <w:rPr>
                <w:rFonts w:ascii="Times New Roman" w:hAnsi="Times New Roman" w:eastAsia="SimSun"/>
                <w:sz w:val="18"/>
              </w:rPr>
              <w:t>ChickenGTEx 跨组织表达调控图谱</w:t>
            </w:r>
          </w:p>
        </w:tc>
        <w:tc>
          <w:tcPr>
            <w:tcW w:type="dxa" w:w="1234"/>
            <w:tcBorders>
              <w:top w:val="nil"/>
              <w:left w:val="nil"/>
              <w:bottom w:val="nil"/>
              <w:right w:val="nil"/>
            </w:tcBorders>
            <w:shd w:val="clear" w:color="auto" w:fill="FFFFFF"/>
          </w:tcPr>
          <w:p>
            <w:r/>
            <w:r>
              <w:rPr>
                <w:rFonts w:ascii="Times New Roman" w:hAnsi="Times New Roman" w:eastAsia="SimSun"/>
                <w:sz w:val="18"/>
              </w:rPr>
              <w:t>2025</w:t>
            </w:r>
          </w:p>
        </w:tc>
        <w:tc>
          <w:tcPr>
            <w:tcW w:type="dxa" w:w="1234"/>
            <w:tcBorders>
              <w:top w:val="nil"/>
              <w:left w:val="nil"/>
              <w:bottom w:val="nil"/>
              <w:right w:val="nil"/>
            </w:tcBorders>
            <w:shd w:val="clear" w:color="auto" w:fill="FFFFFF"/>
          </w:tcPr>
          <w:p>
            <w:r/>
            <w:r>
              <w:rPr>
                <w:rFonts w:ascii="Times New Roman" w:hAnsi="Times New Roman" w:eastAsia="SimSun"/>
                <w:sz w:val="18"/>
              </w:rPr>
              <w:t>多组织 RNA-seq + 全基因组</w:t>
            </w:r>
          </w:p>
        </w:tc>
        <w:tc>
          <w:tcPr>
            <w:tcW w:type="dxa" w:w="1234"/>
            <w:tcBorders>
              <w:top w:val="nil"/>
              <w:left w:val="nil"/>
              <w:bottom w:val="nil"/>
              <w:right w:val="nil"/>
            </w:tcBorders>
            <w:shd w:val="clear" w:color="auto" w:fill="FFFFFF"/>
          </w:tcPr>
          <w:p>
            <w:r/>
            <w:r>
              <w:rPr>
                <w:rFonts w:ascii="Times New Roman" w:hAnsi="Times New Roman" w:eastAsia="SimSun"/>
                <w:sz w:val="18"/>
              </w:rPr>
              <w:t>覆盖多组织 eQTL/sQTL,大群体调控数据</w:t>
            </w:r>
          </w:p>
        </w:tc>
        <w:tc>
          <w:tcPr>
            <w:tcW w:type="dxa" w:w="1234"/>
            <w:tcBorders>
              <w:top w:val="nil"/>
              <w:left w:val="nil"/>
              <w:bottom w:val="nil"/>
              <w:right w:val="nil"/>
            </w:tcBorders>
            <w:shd w:val="clear" w:color="auto" w:fill="FFFFFF"/>
          </w:tcPr>
          <w:p>
            <w:r/>
            <w:r>
              <w:rPr>
                <w:rFonts w:ascii="Times New Roman" w:hAnsi="Times New Roman" w:eastAsia="SimSun"/>
                <w:sz w:val="18"/>
              </w:rPr>
              <w:t>GWAS 后机制解释、调控变异先验</w:t>
            </w:r>
          </w:p>
        </w:tc>
        <w:tc>
          <w:tcPr>
            <w:tcW w:type="dxa" w:w="1234"/>
            <w:tcBorders>
              <w:top w:val="nil"/>
              <w:left w:val="nil"/>
              <w:bottom w:val="nil"/>
              <w:right w:val="nil"/>
            </w:tcBorders>
            <w:shd w:val="clear" w:color="auto" w:fill="FFFFFF"/>
          </w:tcPr>
          <w:p>
            <w:r/>
            <w:r>
              <w:rPr>
                <w:rFonts w:ascii="Times New Roman" w:hAnsi="Times New Roman" w:eastAsia="SimSun"/>
                <w:sz w:val="18"/>
              </w:rPr>
              <w:t>组织覆盖仍偏向少数主要器官</w:t>
            </w:r>
          </w:p>
        </w:tc>
        <w:tc>
          <w:tcPr>
            <w:tcW w:type="dxa" w:w="1234"/>
            <w:tcBorders>
              <w:top w:val="nil"/>
              <w:left w:val="nil"/>
              <w:bottom w:val="nil"/>
              <w:right w:val="nil"/>
            </w:tcBorders>
            <w:shd w:val="clear" w:color="auto" w:fill="FFFFFF"/>
          </w:tcPr>
          <w:p>
            <w:r/>
            <w:r>
              <w:rPr>
                <w:rFonts w:ascii="Times New Roman" w:hAnsi="Times New Roman" w:eastAsia="SimSun"/>
                <w:sz w:val="18"/>
              </w:rPr>
              <w:t>[11]</w:t>
            </w:r>
          </w:p>
        </w:tc>
      </w:tr>
      <w:tr>
        <w:tc>
          <w:tcPr>
            <w:tcW w:type="dxa" w:w="1234"/>
            <w:tcBorders>
              <w:top w:val="nil"/>
              <w:left w:val="nil"/>
              <w:bottom w:val="single" w:sz="12" w:space="0" w:color="000000"/>
              <w:right w:val="nil"/>
            </w:tcBorders>
            <w:shd w:val="clear" w:color="auto" w:fill="FFFFFF"/>
          </w:tcPr>
          <w:p>
            <w:r/>
            <w:r>
              <w:t>T2T 与长读测序前沿资源</w:t>
            </w:r>
          </w:p>
        </w:tc>
        <w:tc>
          <w:tcPr>
            <w:tcW w:type="dxa" w:w="1234"/>
            <w:tcBorders>
              <w:top w:val="nil"/>
              <w:left w:val="nil"/>
              <w:bottom w:val="single" w:sz="12" w:space="0" w:color="000000"/>
              <w:right w:val="nil"/>
            </w:tcBorders>
            <w:shd w:val="clear" w:color="auto" w:fill="FFFFFF"/>
          </w:tcPr>
          <w:p>
            <w:r/>
            <w:r>
              <w:t>2024—</w:t>
            </w:r>
          </w:p>
        </w:tc>
        <w:tc>
          <w:tcPr>
            <w:tcW w:type="dxa" w:w="1234"/>
            <w:tcBorders>
              <w:top w:val="nil"/>
              <w:left w:val="nil"/>
              <w:bottom w:val="single" w:sz="12" w:space="0" w:color="000000"/>
              <w:right w:val="nil"/>
            </w:tcBorders>
            <w:shd w:val="clear" w:color="auto" w:fill="FFFFFF"/>
          </w:tcPr>
          <w:p>
            <w:r/>
            <w:r>
              <w:t>PacBio HiFi + ONT + Hi-C</w:t>
            </w:r>
          </w:p>
        </w:tc>
        <w:tc>
          <w:tcPr>
            <w:tcW w:type="dxa" w:w="1234"/>
            <w:tcBorders>
              <w:top w:val="nil"/>
              <w:left w:val="nil"/>
              <w:bottom w:val="single" w:sz="12" w:space="0" w:color="000000"/>
              <w:right w:val="nil"/>
            </w:tcBorders>
            <w:shd w:val="clear" w:color="auto" w:fill="FFFFFF"/>
          </w:tcPr>
          <w:p>
            <w:r/>
            <w:r>
              <w:t>面向微染色体、着丝粒附近重复区段的近 T2T 装配,显著提升微染色体与高 GC 区变异捕获能力</w:t>
            </w:r>
          </w:p>
        </w:tc>
        <w:tc>
          <w:tcPr>
            <w:tcW w:type="dxa" w:w="1234"/>
            <w:tcBorders>
              <w:top w:val="nil"/>
              <w:left w:val="nil"/>
              <w:bottom w:val="single" w:sz="12" w:space="0" w:color="000000"/>
              <w:right w:val="nil"/>
            </w:tcBorders>
            <w:shd w:val="clear" w:color="auto" w:fill="FFFFFF"/>
          </w:tcPr>
          <w:p>
            <w:r/>
            <w:r>
              <w:t>微染色体精细变异、复杂结构变异、调控元件重新注释</w:t>
            </w:r>
          </w:p>
        </w:tc>
        <w:tc>
          <w:tcPr>
            <w:tcW w:type="dxa" w:w="1234"/>
            <w:tcBorders>
              <w:top w:val="nil"/>
              <w:left w:val="nil"/>
              <w:bottom w:val="single" w:sz="12" w:space="0" w:color="000000"/>
              <w:right w:val="nil"/>
            </w:tcBorders>
            <w:shd w:val="clear" w:color="auto" w:fill="FFFFFF"/>
          </w:tcPr>
          <w:p>
            <w:r/>
            <w:r>
              <w:t>尚未形成被广泛采用的统一参考版本;不同团队组装可比性有待加强</w:t>
            </w:r>
          </w:p>
        </w:tc>
        <w:tc>
          <w:tcPr>
            <w:tcW w:type="dxa" w:w="1234"/>
            <w:tcBorders>
              <w:top w:val="nil"/>
              <w:left w:val="nil"/>
              <w:bottom w:val="single" w:sz="12" w:space="0" w:color="000000"/>
              <w:right w:val="nil"/>
            </w:tcBorders>
            <w:shd w:val="clear" w:color="auto" w:fill="FFFFFF"/>
          </w:tcPr>
          <w:p>
            <w:r/>
            <w:r>
              <w:t>[7][8][49];本文 7.6 预判 1</w:t>
            </w:r>
          </w:p>
        </w:tc>
      </w:tr>
    </w:tbl>
    <w:p/>
    <w:p>
      <w:pPr>
        <w:spacing w:before="200" w:after="80"/>
      </w:pPr>
      <w:r>
        <w:rPr>
          <w:rFonts w:ascii="Times New Roman" w:hAnsi="Times New Roman" w:eastAsia="SimHei"/>
          <w:b/>
          <w:sz w:val="24"/>
        </w:rPr>
        <w:t>4.5 泛基因组与结构变异研究</w:t>
      </w:r>
    </w:p>
    <w:p>
      <w:pPr>
        <w:spacing w:line="360" w:lineRule="auto"/>
        <w:ind w:firstLine="420"/>
      </w:pPr>
      <w:r>
        <w:rPr>
          <w:rFonts w:ascii="Times New Roman" w:hAnsi="Times New Roman" w:eastAsia="SimSun"/>
          <w:sz w:val="22"/>
        </w:rPr>
        <w:t>随着研究深入,家鸡遗传学研究逐渐认识到,单一参考基因组并不能充分代表物种内部广泛存在的序列多样性。特别是在地方品种、商业品系和野生祖先群体之间,存在大量参考基因组未能完全覆盖的可变序列和复杂结构变异。由此,泛基因组与结构变异研究成为家鸡基因组学的重要发展方向。</w:t>
      </w:r>
    </w:p>
    <w:p>
      <w:pPr>
        <w:spacing w:line="360" w:lineRule="auto"/>
        <w:ind w:firstLine="420"/>
      </w:pPr>
      <w:r>
        <w:rPr>
          <w:rFonts w:ascii="Times New Roman" w:hAnsi="Times New Roman" w:eastAsia="SimSun"/>
          <w:sz w:val="22"/>
        </w:rPr>
        <w:t>在这一方向上,Wang等于2021年构建了鸡泛基因组,揭示出显著的基因内容变异和参考缺失序列,并进一步鉴定到影响体型的IGF2BP1启动子缺失变异[8];Rice等基于30个鸡基因组构建图泛基因组参考,表明将100只鸡的短读长数据比对到该图参考后,参考偏倚可下降38%,并能够更有效地对大型、复杂结构变异进行分型[49]。这些研究说明,泛基因组不仅补充了单一参考遗漏的序列,而且正在改变家鸡复杂变异识别的整体技术框架。</w:t>
      </w:r>
    </w:p>
    <w:p>
      <w:pPr>
        <w:spacing w:line="360" w:lineRule="auto"/>
        <w:ind w:firstLine="420"/>
      </w:pPr>
      <w:r>
        <w:rPr>
          <w:rFonts w:ascii="Times New Roman" w:hAnsi="Times New Roman" w:eastAsia="SimSun"/>
          <w:sz w:val="22"/>
        </w:rPr>
        <w:t>然而,泛基因组与结构变异研究在家鸡中仍处于快速发展阶段。图参考构建和维护的计算成本较高,线性参考与图参考之间的坐标转换尚未完全标准化;同时,许多结构变异虽然在统计上与性状相关,但其真实功能效应和调控机制仍缺乏足够实验验证[8][49]。此外,泛基因组结果高度依赖采样策略,不同品种、地理区域和育种类型的纳入程度会直接影响可变序列覆盖范围和变异发现率。未来,这一方向仍需在采样代表性、结构变异标准化分型和功能验证等方面进一步完善。</w:t>
      </w:r>
    </w:p>
    <w:p>
      <w:pPr>
        <w:spacing w:before="200" w:after="80"/>
      </w:pPr>
      <w:r>
        <w:rPr>
          <w:rFonts w:ascii="Times New Roman" w:hAnsi="Times New Roman" w:eastAsia="SimHei"/>
          <w:b/>
          <w:sz w:val="24"/>
        </w:rPr>
        <w:t>4.6 功能基因组、表观遗传与调控元件注释</w:t>
      </w:r>
    </w:p>
    <w:p>
      <w:pPr>
        <w:spacing w:line="360" w:lineRule="auto"/>
        <w:ind w:firstLine="420"/>
      </w:pPr>
      <w:r>
        <w:rPr>
          <w:rFonts w:ascii="Times New Roman" w:hAnsi="Times New Roman" w:eastAsia="SimSun"/>
          <w:sz w:val="22"/>
        </w:rPr>
        <w:t>随着定位技术和变异资源的不断丰富,家鸡遗传学研究的重点已经不再仅限于“位点在哪里”,而更多转向“这些位点如何影响基因调控与表型形成”。这一转变推动了功能基因组学成为当前家鸡遗传研究的核心方向。Kern等依托FAANG框架,对鸡、猪和牛的多个组织开展联合功能注释,提供了转录组、染色质状态和调控元件等多层次数据,标志着家鸡功能注释进入标准化、系统化阶段[9]。</w:t>
      </w:r>
    </w:p>
    <w:p>
      <w:pPr>
        <w:spacing w:line="360" w:lineRule="auto"/>
        <w:ind w:firstLine="420"/>
      </w:pPr>
      <w:r>
        <w:rPr>
          <w:rFonts w:ascii="Times New Roman" w:hAnsi="Times New Roman" w:eastAsia="SimSun"/>
          <w:sz w:val="22"/>
        </w:rPr>
        <w:t>在更具体的家鸡资源建设方面,Zhu等构建了覆盖11种组织、53个ATAC-seq样本的鸡染色质开放性图谱[50];Pan等进一步整合377个组学数据集,系统注释了约157万个鸡调控元件,并预测了约120万个增强子—基因配对[10]。这些资源显著提高了家鸡复杂性状关联信号的解释能力,也使得将GWAS和QTL结果映射到调控元件层面成为可能[151]。</w:t>
      </w:r>
    </w:p>
    <w:p>
      <w:pPr>
        <w:spacing w:line="360" w:lineRule="auto"/>
        <w:ind w:firstLine="420"/>
      </w:pPr>
      <w:r>
        <w:t>除开放染色质和调控元件图谱外,表观遗传学研究在家鸡复杂性状解析中也发挥着越来越重要的作用。DNA甲基化、组蛋白修饰以及染色质状态变化为理解组织分化、环境应激和驯化选择过程中的基因表达调控提供了新的证据层面。例如,全基因组DNA甲基化研究已揭示骨骼肌发育过程中甲基化状态与关键生长相关基因表达重塑之间的紧密联系;基于最新GRCg7b组装构建的lncRNA增强型基因图谱也进一步扩展了鸡基因组中非编码转录本和潜在调控元件的注释范围[60][61]。在此之上,非编码RNA已成为家鸡功能基因组研究中独立于“染色质开放性—调控元件”的第三个调控层,其在多个经济性状的研究中以ceRNA(竞争性内源RNA)“海绵”机制重复出现,具有跨性状的方法学统一性。在骨骼肌发育领域,经典myomiR家族(miR-1、miR-133、miR-206等)和肌肉特异性lncRNA已被证明参与成肌细胞增殖和分化的精细调控;在脂质沉积领域,Zhang等鉴定到的肌内脂肪lncRNA IMFNCR通过吸附miR-128-3p和miR-27b-3p解除其对PPARG的转录后抑制,从而促进肌内脂肪细胞分化,是家鸡ceRNA网络中机制证据最完整的案例之一[77];在腹脂沉积领域,Jing等基于分化选择肉鸡构建的腹脂lncRNA / circRNA图谱进一步揭示出非编码RNA与脂肪沉积品系差异的密切关联[62];Yu等以肝脏为切入点,显示高/低腹脂沉积品系间lncRNA、miRNA和mRNA的协同表达差异,提示肝脏内ncRNA网络可能通过远端信号参与腹脂调控[63];Ma等则证明lncRNA 6302通过靶向SLC22A16参与鸡前脂肪细胞分化[64]。更具方法学意义的是,这些散见于不同性状的ncRNA案例呈现出几个共同特征:(a)ceRNA海绵机制在多个性状中重复出现,提示它可能是家鸡复杂性状调控网络中的一种通用模块,而非个别基因的偶然现象;(b)多数功能验证仅在体外细胞模型(如成肌细胞、脂肪前体细胞)中完成,体内活性和育种相关性仍需进一步证据;(c)当前家鸡ncRNA研究高度集中于骨骼肌和脂肪两类组织,在卵泡发育、壳腺矿化、免疫器官等组织中的覆盖明显不足;(d)与ChickenGTEx等大规模eQTL资源相比,sQTL(剪接QTL)和针对ncRNA的mol-QTL资源在家鸡中仍处于起步阶段[11]。因此,从综述层面看,家鸡功能基因组研究的真正完整框架已由“染色质—调控元件—mRNA表达”扩展到“染色质—调控元件—mRNA—ncRNA—mol-QTL”五层结构;但当前不同层之间的整合仍以个案为主,系统性的“多层调控因果整合”在家鸡中尚属空白。</w:t>
      </w:r>
    </w:p>
    <w:p>
      <w:pPr>
        <w:spacing w:line="360" w:lineRule="auto"/>
        <w:ind w:firstLine="420"/>
      </w:pPr>
      <w:r>
        <w:rPr>
          <w:rFonts w:ascii="Times New Roman" w:hAnsi="Times New Roman" w:eastAsia="SimSun"/>
          <w:sz w:val="22"/>
        </w:rPr>
        <w:t>在此基础上,ChickenGTEx Consortium于2025年发布的跨组织表达调控图谱,系统描绘了鸡多组织中的eQTL、sQTL及其他分子QTL,为“基因型—转录调控—表型”之间的联系提供了大规模公共资源[11]。综合来看,家鸡功能基因组研究已经由单一的表达差异分析,拓展到调控元件注释、表观遗传层面的调控解释以及分子QTL整合,为复杂性状的后GWAS解释提供了重要支撑。</w:t>
      </w:r>
    </w:p>
    <w:p>
      <w:pPr>
        <w:spacing w:before="200" w:after="80"/>
      </w:pPr>
      <w:r>
        <w:rPr>
          <w:rFonts w:ascii="Times New Roman" w:hAnsi="Times New Roman" w:eastAsia="SimHei"/>
          <w:b/>
          <w:sz w:val="24"/>
        </w:rPr>
        <w:t>4.7 单细胞组学与多组学整合</w:t>
      </w:r>
    </w:p>
    <w:p>
      <w:pPr>
        <w:spacing w:line="360" w:lineRule="auto"/>
        <w:ind w:firstLine="420"/>
      </w:pPr>
      <w:r>
        <w:rPr>
          <w:rFonts w:ascii="Times New Roman" w:hAnsi="Times New Roman" w:eastAsia="SimSun"/>
          <w:sz w:val="22"/>
        </w:rPr>
        <w:t>近年来,单细胞RNA测序、单细胞染色质可及性分析以及空间转录组等技术的引入,进一步提升了家鸡遗传学研究的分辨率。与传统组织水平的转录组分析相比,单细胞组学能够识别不同细胞类型和发育阶段的特异性表达模式,从而避免组织异质性对信号解析的干扰。Estermann等利用鸡胚性腺单细胞测序分析了性分化过程中的细胞类型组成和表达程序,为鸡性腺发育研究提供了高分辨率图谱[51];Wang等进一步分析了鸡胚左右卵巢非对称发育的单细胞转录组特征,揭示了不同发育阶段细胞谱系和调控路径的差异[52];Li等又在达恒肉鸡和藏鸡胚胎骨骼肌中揭示了不同品种的肌肉发育轨迹差异[53]。这些研究表明,单细胞组学已开始为家鸡发育、生长和繁殖相关性状研究提供新的解释框架。</w:t>
      </w:r>
    </w:p>
    <w:p>
      <w:pPr>
        <w:spacing w:line="360" w:lineRule="auto"/>
        <w:ind w:firstLine="420"/>
      </w:pPr>
      <w:r>
        <w:rPr>
          <w:rFonts w:ascii="Times New Roman" w:hAnsi="Times New Roman" w:eastAsia="SimSun"/>
          <w:sz w:val="22"/>
        </w:rPr>
        <w:t>在此基础上,多组学整合正成为连接“统计定位”与“机制解释”的关键路径。近年的研究开始将高级互交系、共定位分析和调控变异解释结合起来,在复杂性状中建立由QTL到调控变异再到候选基因的网络化解析框架[56]。与此同时,基于PGC体系的CRISPR/Cas9基因编辑、CRISPRa/i调控工具以及鸡胚与生殖系编辑平台的发展,正在逐步形成“候选变异发现—功能证据整合—实验验证”的闭环[12][57-59]。因此,单细胞组学与多组学整合正在把家鸡遗传学由“统计定位”进一步推向“细胞类型特异的机制解释”。</w:t>
      </w:r>
    </w:p>
    <w:p>
      <w:pPr>
        <w:spacing w:before="200" w:after="80"/>
      </w:pPr>
      <w:r>
        <w:rPr>
          <w:rFonts w:ascii="Times New Roman" w:hAnsi="Times New Roman" w:eastAsia="SimHei"/>
          <w:b/>
          <w:sz w:val="24"/>
        </w:rPr>
        <w:t>4.8 基因组选择与宿主—微生物互作</w:t>
      </w:r>
    </w:p>
    <w:p>
      <w:pPr>
        <w:spacing w:line="360" w:lineRule="auto"/>
        <w:ind w:firstLine="420"/>
      </w:pPr>
      <w:r>
        <w:rPr>
          <w:rFonts w:ascii="Times New Roman" w:hAnsi="Times New Roman" w:eastAsia="SimSun"/>
          <w:sz w:val="22"/>
        </w:rPr>
        <w:t>随着60K、600K芯片和重测序数据的普及,家鸡育种的统计框架也由基于系谱关系的传统BLUP逐步转向基于分子标记信息的GBLUP和单步GBLUP(ssGBLUP)。基因组选择(genomic selection, GS)使大量微效位点的信息能够被同时纳入育种值预测,从而提高复杂性状尤其是低遗传力性状的早期选择效率。已有研究和综述表明,GS已在蛋鸡和肉鸡育种中进入实际应用阶段[65]。近年来针对鸡群体的比较研究显示,ssGBLUP在部分生产性状上的预测准确性优于传统PBLUP,机器学习方法也开始被尝试用于处理高维基因组数据,以提高复杂表型的预测精度[66-68]。然而,这些方法在不同品种、不同参考密度和不同育种体系中的稳定性仍需进一步评估。</w:t>
      </w:r>
    </w:p>
    <w:p>
      <w:pPr>
        <w:spacing w:line="360" w:lineRule="auto"/>
        <w:ind w:firstLine="420"/>
      </w:pPr>
      <w:r>
        <w:rPr>
          <w:rFonts w:ascii="Times New Roman" w:hAnsi="Times New Roman" w:eastAsia="SimSun"/>
          <w:sz w:val="22"/>
        </w:rPr>
        <w:t>与此同时,宿主遗传背景对肠道微生物群组成和功能的塑造作用开始受到关注。近年的研究表明,宿主基因组与肠道微生物群能够共同影响晚产蛋期蛋鸡的饲料效率;以微生物丰度作为数量性状开展mGWAS分析,也为理解饲料转化率和肠道健康的宿主—微生物组互作提供了新的研究方向[69][70]。这一方向虽仍处于起步阶段,但已显示出将宿主基因组学、多组学和微生物组研究相结合的潜力。</w:t>
      </w:r>
    </w:p>
    <w:p>
      <w:pPr>
        <w:spacing w:before="200" w:after="80"/>
      </w:pPr>
      <w:r>
        <w:rPr>
          <w:rFonts w:ascii="Times New Roman" w:hAnsi="Times New Roman" w:eastAsia="SimHei"/>
          <w:b/>
          <w:sz w:val="24"/>
        </w:rPr>
        <w:t>4.9 本节小结</w:t>
      </w:r>
    </w:p>
    <w:p>
      <w:pPr>
        <w:spacing w:line="360" w:lineRule="auto"/>
        <w:ind w:firstLine="420"/>
      </w:pPr>
      <w:r>
        <w:rPr>
          <w:rFonts w:ascii="Times New Roman" w:hAnsi="Times New Roman" w:eastAsia="SimSun"/>
          <w:sz w:val="22"/>
        </w:rPr>
        <w:t>总体来看,家鸡遗传学技术体系已经完成了从低密度分子标记到高通量组学整合的深刻演进。RFLP和微卫星标记奠定了遗传图谱与连锁分析基础,QTL和GWAS推动了复杂性状的大规模定位研究,参考基因组与群体重测序构建了系统的变异资源,泛基因组和结构变异研究突破了单一线性参考的局限,而功能基因组学、表观遗传学、单细胞组学和多组学整合则推动家鸡遗传研究由“位点发现”迈向“机制解释”。</w:t>
      </w:r>
    </w:p>
    <w:p>
      <w:pPr>
        <w:spacing w:line="360" w:lineRule="auto"/>
        <w:ind w:firstLine="420"/>
      </w:pPr>
      <w:r>
        <w:rPr>
          <w:rFonts w:ascii="Times New Roman" w:hAnsi="Times New Roman" w:eastAsia="SimSun"/>
          <w:sz w:val="22"/>
        </w:rPr>
        <w:t>若要进一步提升家鸡遗传学研究的深度和转化价值,仍需重点解决若干关键问题,包括:微染色体和复杂区域的变异覆盖不足;跨参考版本和历史研究结果难以整合;稀有变异与结构变异在大样本研究中的系统性漏检;以及多组学数据间因果关系解析与高通量功能验证能力不足等。未来,随着长读长测序、图泛基因组、单细胞组学、空间转录组、表观组学和基因编辑平台的进一步发展,家鸡遗传学有望建立更加完整的“变异发现—统计定位—功能注释—实验验证—育种转化”技术链条。</w:t>
      </w:r>
    </w:p>
    <w:p>
      <w:pPr>
        <w:spacing w:before="280" w:after="120"/>
      </w:pPr>
      <w:r>
        <w:rPr>
          <w:rFonts w:ascii="Times New Roman" w:hAnsi="Times New Roman" w:eastAsia="SimHei"/>
          <w:b/>
          <w:sz w:val="28"/>
        </w:rPr>
        <w:t>五、家鸡主要经济性状的遗传学研究进展</w:t>
      </w:r>
    </w:p>
    <w:p>
      <w:pPr>
        <w:spacing w:before="120" w:after="120"/>
        <w:jc w:val="center"/>
      </w:pPr>
      <w:r>
        <w:rPr>
          <w:rFonts w:ascii="Times New Roman" w:hAnsi="Times New Roman" w:eastAsia="SimHei"/>
          <w:b/>
          <w:sz w:val="20"/>
        </w:rPr>
        <w:t>[图 3] 家鸡复杂性状“基因型—调控—表型”多层解析框架(本文图 3)。详见附录“图表说明”。</w:t>
      </w:r>
    </w:p>
    <w:p>
      <w:pPr>
        <w:spacing w:before="200" w:after="80"/>
      </w:pPr>
      <w:r>
        <w:rPr>
          <w:rFonts w:ascii="Times New Roman" w:hAnsi="Times New Roman" w:eastAsia="SimHei"/>
          <w:b/>
          <w:sz w:val="24"/>
        </w:rPr>
        <w:t>5.1 生长与胴体性状</w:t>
      </w:r>
    </w:p>
    <w:p>
      <w:pPr>
        <w:spacing w:line="360" w:lineRule="auto"/>
        <w:ind w:firstLine="420"/>
      </w:pPr>
      <w:r>
        <w:rPr>
          <w:rFonts w:ascii="Times New Roman" w:hAnsi="Times New Roman" w:eastAsia="SimSun"/>
          <w:sz w:val="22"/>
        </w:rPr>
        <w:t>生长与胴体性状是家鸡遗传学研究中最早、也是应用价值最直接的方向之一,主要涉及体重增长、骨骼肌发育、产肉性能、脂肪沉积和肉质形成等多个方面。长期高强度人工选择显著提高了现代肉鸡的生长速度和胸肌产量,但同时也带来了腹脂过度沉积、骨骼异常和肉质下降等问题。因此,解析这些性状背后的遗传基础及其分子调控机制,对于实现肉鸡高产、优质与健康的协同改良具有重要意义[71]。</w:t>
      </w:r>
    </w:p>
    <w:p>
      <w:pPr>
        <w:spacing w:line="360" w:lineRule="auto"/>
        <w:ind w:firstLine="420"/>
      </w:pPr>
      <w:r>
        <w:rPr>
          <w:rFonts w:ascii="Times New Roman" w:hAnsi="Times New Roman" w:eastAsia="SimSun"/>
          <w:sz w:val="22"/>
        </w:rPr>
        <w:t>从骨骼肌发育与产肉性能来看,家鸡骨骼肌形成是由成肌细胞增殖、分化和肌纤维肥大共同构成的连续过程,其遗传调控网络涉及多个经典候选基因和关键信号通路。已有研究表明,MSTN、IGF1、IGF1R、GHR以及MYOD1、MYF5、MYOG、MYF6等成肌调控因子在家鸡肌肉生长中具有重要作用,而mTOR、Wnt、MAPK和PI3K-Akt则被认为是骨骼肌生长的核心调控网络[40][71][72]。早期QTL研究显示,红原鸡与白来航鸡成体体型的显著差异可主要由少数几个主效QTL解释,这一结果奠定了家鸡生长性状“可分解、可定位”的认识基础[40]。其后,针对胸肌发育的GWAS进一步在快长型Cobb500肉鸡与慢长型大围山微型鸡构建的F2资源群体中鉴定到与胸肌重量和发育显著相关的新位点,提示ALOX5AP、USPL1、CHRNA9和EFNA5等基因可能参与调控胸肌发育[73]。Liu等在北京油鸡群体中开展体组成和肉质性状GWAS时,也提出GJA1可能是影响胸肌发育和胸肌产量的重要功能基因[74]。</w:t>
      </w:r>
    </w:p>
    <w:p>
      <w:pPr>
        <w:spacing w:line="360" w:lineRule="auto"/>
        <w:ind w:firstLine="420"/>
      </w:pPr>
      <w:r>
        <w:rPr>
          <w:rFonts w:ascii="Times New Roman" w:hAnsi="Times New Roman" w:eastAsia="SimSun"/>
          <w:sz w:val="22"/>
        </w:rPr>
        <w:t>脂肪沉积是胴体性状研究中的另一重点。腹脂和肌内脂肪虽同属脂肪性状,但在育种中的意义并不相同:腹脂过度沉积会降低饲料转化效率并影响胴体加工品质,而肌内脂肪则与鸡肉嫩度、多汁性和风味密切相关。已有GWAS研究表明,商业肉鸡群体中体重和饲料效率相关位点能够在实际育种背景下被有效识别,说明这类性状已具备直接进入商业育种群体解析的条件[55]。在脂肪沉积方面,Moreira等结合GWAS和全基因组测序对鸡腹脂沉积相关区域进行了更高分辨率解析,进一步丰富了候选位点与候选基因的信息[54]。Shen等更进一步,整合基因组、表观组、3D基因组和转录组数据,构建了鸡腹脂沉积的调控网络,并提出rs734209466可作为等位基因特异性增强子,通过影响IGFBP2和IGFBP5的远程调控参与脂前体细胞分化与增殖[75]。这一研究表明,脂肪沉积性状的遗传基础不仅体现在编码区变异,更与远程调控元件和染色质互作密切相关。围绕肌内脂肪(IMF)的研究也日益深入:FABP3、FABP4、PPARG、LPL、ELOVL3等基因在肌内脂肪形成中发挥重要作用,其中H-FABP的多态性与不同鸡群胸肌和腿肌中的IMF含量显著相关[76];lncRNA IMFNCR还可通过吸附miR-128-3p和miR-27b-3p解除对PPARG的转录后抑制,从而促进鸡肌内脂肪细胞分化[77]。</w:t>
      </w:r>
    </w:p>
    <w:p>
      <w:pPr>
        <w:spacing w:line="360" w:lineRule="auto"/>
        <w:ind w:firstLine="420"/>
      </w:pPr>
      <w:r>
        <w:rPr>
          <w:rFonts w:ascii="Times New Roman" w:hAnsi="Times New Roman" w:eastAsia="SimSun"/>
          <w:sz w:val="22"/>
        </w:rPr>
        <w:t>近年来,生长与胴体性状研究已进一步从“SNP层面的关联定位”转向“多类型变异联合解释”。Wang等构建的鸡泛基因组显示,不同鸡群之间存在显著的基因内容变异和参考缺失序列,并进一步鉴定到影响体型的重要变异——位于IGF2BP1启动子区域的缺失突变;该缺失能够提高IGF2BP1的转录活性和表达水平,并与商业鸡体型增大相关[8]。这一结果具有代表性,因为它说明家鸡生长性状的重要遗传基础并不完全存在于常规SNP芯片容易捕获的变异中,结构变异与参考缺失序列同样可能发挥关键作用。</w:t>
      </w:r>
    </w:p>
    <w:p>
      <w:pPr>
        <w:spacing w:line="360" w:lineRule="auto"/>
        <w:ind w:firstLine="420"/>
      </w:pPr>
      <w:r>
        <w:rPr>
          <w:rFonts w:ascii="Times New Roman" w:hAnsi="Times New Roman" w:eastAsia="SimSun"/>
          <w:sz w:val="22"/>
        </w:rPr>
        <w:t>除脂肪沉积外,肉质形成还受到嫩度、持水力和风味物质代谢等因素影响。宰后肌肉向可食肉转化过程中,钙蛋白酶系统在肌原纤维蛋白降解和肉质嫩化中发挥关键作用。已有研究表明,CAPN1是影响鸡肉嫩度的重要候选基因,其多个SNP与剪切力显著相关;相应地,内源性钙蛋白酶抑制蛋白CAST的多态性也会影响胴体重量和宰后肉质特征[78][79]。此外,肌苷酸(IMP)是鸡肉鲜味的重要前体物质,ADSL作为嘌呤代谢中的关键酶,其基因多态性可影响肌肉中IMP沉积水平,因此在优质地方鸡肉质改良中具有潜在应用价值[80]。</w:t>
      </w:r>
    </w:p>
    <w:p>
      <w:pPr>
        <w:spacing w:line="360" w:lineRule="auto"/>
        <w:ind w:firstLine="420"/>
      </w:pPr>
      <w:r>
        <w:rPr>
          <w:rFonts w:ascii="Times New Roman" w:hAnsi="Times New Roman" w:eastAsia="SimSun"/>
          <w:sz w:val="22"/>
        </w:rPr>
        <w:t>总体来看,家鸡生长与胴体性状研究已由早期单一性状关联分析,逐步发展为围绕骨骼肌发育、脂肪分配和肉质形成的综合调控网络解析。未来这一方向的关键,不仅在于继续发现新的候选位点,更在于通过整合QTL、GWAS、重测序、表达调控和功能验证,阐明不同变异如何在组织和发育阶段特异性背景下共同塑造生长、产肉和肉质表型。</w:t>
      </w:r>
    </w:p>
    <w:p>
      <w:r>
        <w:t>Box 1 ┃ IGF2BP1启动子缺失:家鸡复杂性状研究的“全链条”样板</w:t>
      </w:r>
    </w:p>
    <w:p>
      <w:r>
        <w:t>家鸡生长性状研究中,真正能够将“选择信号 → 精细定位 → 因果变异 → 调控机制 → 表型效应 → 群体频率 → 育种潜力”完整打通的案例并不多,IGF2BP1启动子区缺失是其中最具代表性的一例。围绕这一位点的研究脉络,可以清晰反映家鸡复杂性状解析所经历的方法学跃迁,因此值得作为独立案例展开。</w:t>
      </w:r>
    </w:p>
    <w:p>
      <w:r>
        <w:t>(1)从选择信号到候选区段。在Wang等基于多个家鸡群体与红原鸡构建的泛基因组分析中,GGA27上一段约数百kb的区域在商业肉鸡群体中表现出显著的选择信号,且在线性参考基因组上呈现出与商业体型增长相伴随的核苷酸多样性下降[8]。这一区段的最初识别得益于群体重测序与选择信号扫描[48][8],但仅靠SNP层面的关联分析并不足以指认其因果变异。</w:t>
      </w:r>
    </w:p>
    <w:p>
      <w:r>
        <w:t>(2)从短读GWAS到泛基因组的“识别力跃迁”。真正的突破出现在泛基因组层面:Wang等通过对20个鸡基因组进行从头组装并合并构建鸡泛基因组,发现该区段在商业肉鸡中存在一段位于IGF2BP1启动子区的缺失,而该缺失在常规短读SNP芯片上几乎不可见[8]。这一发现具有典型的方法学含义:它直接证明,家鸡部分关键经济性状的因果变异并不存在于以往GWAS关注的SNP空间内,而需要泛基因组或图泛基因组才能捕获。</w:t>
      </w:r>
    </w:p>
    <w:p>
      <w:r>
        <w:t>(3)从结构变异到功能机制。报告基因实验显示,缺失型启动子较野生型具有更高的转录活性,从而提高IGF2BP1在胚胎及发育期肌肉组织中的表达[8]。IGF2BP1是IGF2 mRNA的稳定结合蛋白,可通过调节IGF通路mRNA半衰期与翻译效率,影响细胞增殖和组织生长——因此该缺失实际上是通过“调节关键发育调控因子的表达剂量”间接放大了生长信号通路的整体输出。</w:t>
      </w:r>
    </w:p>
    <w:p>
      <w:r>
        <w:t>(4)从单一变异到群体遗传图景。该缺失型在现代商业肉鸡群体中频率接近固定,而在红原鸡及部分中国地方鸡种中频率较低或缺失[8]。这一频率梯度本身即构成“近代强人工选择留下的化石痕迹”,并暗示该位点在20世纪商业肉鸡的体型选育中可能扮演了关键角色。</w:t>
      </w:r>
    </w:p>
    <w:p>
      <w:r>
        <w:t>(5)从机制证据到育种意义。IGF2BP1启动子缺失的存在改变了家鸡生长性状研究的两个判断:一是基于线性参考的GS模型在缺乏对该结构变异的直接编码时,会以邻近SNP的连锁不平衡间接捕获其效应,这意味着将该SV显式纳入预测模型可能进一步提高生长性状的预测精度;二是该缺失为“通过CRISPR编辑启动子调控元件实现可控体型改良”提供了天然候选靶点,而非依赖编码区敲除/敲入。</w:t>
      </w:r>
    </w:p>
    <w:p>
      <w:r>
        <w:t>(6)未解决的问题。尽管这一案例被广泛引用为家鸡SV研究的标志性发现,但若干关键问题仍待回答:该缺失是否还影响其他性状(肌肉品质、骨骼发育、繁殖性能等)?其在商业肉鸡中接近固定的状态是否已构成对其他性状的“选择代价”?在地方鸡种中保留低频缺失型的群体是否表现出潜在的体型改良空间?这些问题的回答需要更多群体的长读重测序和针对性的功能验证。</w:t>
      </w:r>
    </w:p>
    <w:p>
      <w:r>
        <w:t>该案例的方法学启示是:家鸡复杂性状的“完整因果链条”并非不可触及,但目前能够走完这一链条的位点仍极少;其稀缺性,反映的不是变异本身少见,而是从“统计关联”到“机制证据”之间的工具链尚未充分自动化。</w:t>
      </w:r>
    </w:p>
    <w:p>
      <w:r>
        <w:t>5.1.5 饲料效率与代谢相关性状</w:t>
      </w:r>
    </w:p>
    <w:p>
      <w:r>
        <w:t>饲料效率是肉鸡和蛋鸡育种中具有最大经济价值的复杂性状之一,但同时也是遗传基础最为多元、表型测定最为复杂的性状之一。常用指标包括饲料转化率(FCR)、剩余采食量(RFI)和剩余采食增重(RFG),其中RFI与体重和采食水平在表型层面相对独立,被认为更能反映“独立于生产水平的代谢效率”,在多组学研究中受到广泛关注[55][160]。</w:t>
      </w:r>
    </w:p>
    <w:p>
      <w:r>
        <w:t>从遗传结构上看,家鸡饲料效率多数指标的遗传力集中在0.2—0.4区间,介于生长性状和繁殖性状之间[55][160]。Mebratie等在商业肉鸡群体中开展的GWAS表明,体重和饲料效率相关位点能够在实际育种背景下被有效识别,但单一位点解释的表型方差通常较低,提示饲料效率以多基因微效作用为主[55]。已报道的候选基因主要分布在三个层面:(i)生长信号通路相关基因如GHR、IGF1与IGF1R,通过影响整体能量分配间接作用于饲料效率;(ii)能量代谢相关基因如PRKAA2(AMPK家族)、TBC1D1、PLIN1等,直接参与脂肪氧化和糖代谢;(iii)肠道吸收和细胞稳态相关基因如SLC家族转运体和线粒体功能基因[160][161]。</w:t>
      </w:r>
    </w:p>
    <w:p>
      <w:r>
        <w:t>值得注意的是,饲料效率研究是当前家鸡复杂性状中最早开展系统性“宿主—微生物联合分析”的方向之一。Zhang等通过对蛋鸡晚产期开展宿主基因组与肠道菌群的联合分析,提出宿主SNP、菌群组成和饲料效率之间存在协同调节关系,并通过将菌群丰度作为数量性状开展mGWAS,识别出若干微生物—宿主互作位点[69];Zhang等针对中国地方鸡群体的研究进一步提示,部分体重差异可能由肠道菌群结构差异介导,而非完全由宿主基因型直接驱动[70]。这些研究开启了一种新的研究范式:宿主基因组并非饲料效率的唯一决定因素,微生物组应被视为与宿主基因型并列的“第二基因组”。</w:t>
      </w:r>
    </w:p>
    <w:p>
      <w:r>
        <w:t>不过,饲料效率研究也面临三个突出问题。第一,表型测定的高成本严重限制了样本规模:RFI测定需要个体采食量记录,通常依赖配备RFID或称重式自动采食器的高成本饲养系统,因此即便在国际育种公司的核心群中,具备完整RFI表型记录的个体数量仍远低于体重和产蛋数等指标。第二,饲料效率高度依赖营养水平、饲粮组成和环境条件,基因型—环境互作(G×E)显著:同一遗传背景在不同饲粮条件下的RFI排名可能发生重排,这使得GWAS信号的可重复性受到挑战。第三,作为典型的“过程性性状”,饲料效率本身不是发育终点,而是消化、吸收、能量转化、运动消耗等多个过程的复合结果;这意味着即便能在GWAS中找到候选基因,其因果机制也很难像蛋壳颜色或体型缺失那样被简单还原为单一调控通路。</w:t>
      </w:r>
    </w:p>
    <w:p>
      <w:r>
        <w:t>未来,饲料效率研究的关键突破可能并不来自更大样本的GWAS,而来自三个方向的协同:(a)在长读测序与图泛基因组背景下重新审视已有显著区域的SV贡献;(b)将宿主基因组、肠道菌群、肠道形态学与代谢组学整合到统一的因果推断框架;(c)围绕代谢能流动建立“中间表型”(intermediate phenotype)体系,使因果路径研究有切入点。</w:t>
      </w:r>
    </w:p>
    <w:p>
      <w:pPr>
        <w:spacing w:before="200" w:after="80"/>
      </w:pPr>
      <w:r>
        <w:rPr>
          <w:rFonts w:ascii="Times New Roman" w:hAnsi="Times New Roman" w:eastAsia="SimHei"/>
          <w:b/>
          <w:sz w:val="24"/>
        </w:rPr>
        <w:t>5.2 繁殖与产蛋性状</w:t>
      </w:r>
    </w:p>
    <w:p>
      <w:pPr>
        <w:spacing w:line="360" w:lineRule="auto"/>
        <w:ind w:firstLine="420"/>
      </w:pPr>
      <w:r>
        <w:rPr>
          <w:rFonts w:ascii="Times New Roman" w:hAnsi="Times New Roman" w:eastAsia="SimSun"/>
          <w:sz w:val="22"/>
        </w:rPr>
        <w:t>家鸡的繁殖与产蛋性状是蛋鸡和兼用型鸡种改良中的核心目标,主要包括开产日龄、产蛋数、产蛋持续性、连产性状、蛋重以及与下丘脑—垂体—卵巢(HPO)轴相关的内分泌调控性状。与生长性状相比,繁殖性状通常具有更复杂的生理基础和更明显的时序动态特征,其遗传力多处于中等或偏低水平,因此长期以来一直是家鸡复杂性状研究中的重点和难点[81-85]。近年来,随着多组织GWAS、重测序、表观组学和分子QTL资源的发展,研究者对产蛋性状的认识已逐步由“统计关联”转向“组织特异性调控与功能变异解析”。</w:t>
      </w:r>
    </w:p>
    <w:p>
      <w:pPr>
        <w:spacing w:line="360" w:lineRule="auto"/>
        <w:ind w:firstLine="420"/>
      </w:pPr>
      <w:r>
        <w:rPr>
          <w:rFonts w:ascii="Times New Roman" w:hAnsi="Times New Roman" w:eastAsia="SimSun"/>
          <w:sz w:val="22"/>
        </w:rPr>
        <w:t>从调控层面看,产蛋性状的分子基础首先体现在HPO轴及其与肝脏等代谢器官之间的协同作用。Wang等对高产和低产蛋鸡开展多组织、多组学整合研究,围绕下丘脑、垂体、卵巢和肝脏构建了与产蛋差异相关的分子网络,识别出TFPI2、CAMK2D和OSTN等关键候选基因。其中,TFPI2与下丘脑GnRH分泌相关,CAMK2D促进垂体FSHB和LHB的表达,而OSTN则与卵巢颗粒细胞增殖及类固醇激素合成有关。该研究还指出,肝源因子APOA4和脂肪因子ANGPTL2可通过组织间通讯共同影响产蛋表型,说明产蛋性能并非仅由HPO轴内部调控决定,而是与机体整体代谢状态密切相关[81]。</w:t>
      </w:r>
    </w:p>
    <w:p>
      <w:pPr>
        <w:spacing w:line="360" w:lineRule="auto"/>
        <w:ind w:firstLine="420"/>
      </w:pPr>
      <w:r>
        <w:rPr>
          <w:rFonts w:ascii="Times New Roman" w:hAnsi="Times New Roman" w:eastAsia="SimSun"/>
          <w:sz w:val="22"/>
        </w:rPr>
        <w:t>在此基础上,ChickenGTEx针对产蛋性状的扩展资源进一步提升了繁殖性状研究的分辨率。相关研究构建了覆盖产蛋不同阶段的鸡产蛋特异性ChickenGTEx图谱,整合了下丘脑、垂体、卵巢和肝脏等关键组织的RNA-seq与全基因组变异数据,在大群体中识别出多个与繁殖性状显著相关的位点及其共定位调控效应[82]。这表明,产蛋性状的遗传调控具有明显的阶段依赖性,单一时间点或单一组织的分析往往难以完整解释其分子基础。因此,繁殖与产蛋性状研究正从“静态关联位点挖掘”走向“阶段特异性调控网络解析”。</w:t>
      </w:r>
    </w:p>
    <w:p>
      <w:pPr>
        <w:spacing w:line="360" w:lineRule="auto"/>
        <w:ind w:firstLine="420"/>
      </w:pPr>
      <w:r>
        <w:rPr>
          <w:rFonts w:ascii="Times New Roman" w:hAnsi="Times New Roman" w:eastAsia="SimSun"/>
          <w:sz w:val="22"/>
        </w:rPr>
        <w:t>除宏观网络解析外,功能变异层面的研究也在近年取得了实质性进展。Wang等在整合既往候选变异、转录组和表观组信息的基础上,筛选出一批可能驱动产蛋差异的潜在功能变异(potential functional variants, PFVs),涉及下丘脑中的ZNF804B、DPP10、NEO1、GABRG1,垂体中的DPP10、GNG7,以及卵巢中的PHIP、OSTN、GADD45B、NFXL1和ADAMTS17等基因。进一步分析表明,位于PHIP第3内含子的chr3:79510218A&gt;T位点可通过增强与转录因子FOXI1的结合上调PHIP表达;PHIP表达升高又能够促进颗粒细胞增殖并提高孕酮分泌[83]。这一工作为非编码区功能位点如何影响家鸡产蛋性状提供了较为清晰的机制证据。</w:t>
      </w:r>
    </w:p>
    <w:p>
      <w:pPr>
        <w:spacing w:line="360" w:lineRule="auto"/>
        <w:ind w:firstLine="420"/>
      </w:pPr>
      <w:r>
        <w:t>群体遗传学和GWAS研究为不同品种繁殖性状的遗传基础提供了更广泛的群体证据。Gao等在灵昆鸡中将GAL、CENPF、GPC2、PEMT、TFAP2D和CPQ与产蛋数和蛋品质相联系[84];Wolc等在商业层鸡群体中识别出与产蛋数和蛋品质稳定相关的多个区段[85];Liu等针对整个产蛋期的全基因组关联分析进一步揭示出产蛋性状的遗传效应在不同阶段呈现显著的“动态信号”特征,即同一染色体区域在早期和晚期产蛋阶段的关联强度可显著变化[86];双莲鸡[89]、莱芜黑鸡[90]、Baicheng-You鸡[91]、林甸鸡[92]以及F2资源群体[93]的工作进一步丰富了候选区域。将上述十余项研究横向比较,可以提炼出三点跨研究的综合判断,这些判断在原始单篇研究中并不显见。第一,真正在多研究中重复出现的“硬信号”数量有限。在产蛋数和开产日龄性状上,GGA1上覆盖PRLR邻近区域、GGA4上NCAPG–FAM184B区段以及GGAZ上的多处区段在多个独立群体中均出现过名义显著或全基因组显著信号[85][86][89-91][93];而绝大多数其他候选基因(如GAL、CENPF、GPC2等)目前仅在单一品种或单一研究中出现,其外推性仍待验证。这种“少数硬信号 + 大量软信号”的分布,是当前家鸡产蛋GWAS文献最值得关注的现象,但也很少被研究者本身明确指出。第二,真正进入功能验证的位点比例极低。在已发表的产蛋相关GWAS / 重测序候选位点中,具有报告基因、CRISPR或细胞实验级功能证据的至今仅有PHIP内含子chr3:79510218A&gt;T一例[83],其余候选基因绝大多数停留在“统计关联 + 候选基因临近”层面。这一点直接呼应了第七章将讨论的“关联易得、因果难证”瓶颈。第三,品种特异性信号背后,部分可能是表型定义不一致而非真实的遗传差异。不同研究对“产蛋数”采用了30周龄、43周龄、72周龄等不同截止点,对“开产日龄”也采用了不同行为学标准,这使得跨研究比较时难以判断“同一性状的不同信号”还是“不同性状的相似信号”。因此,产蛋性状研究的下一阶段重点,与其继续在新群体中开展GWAS,不如建立可比的标准化表型框架,并对已有的少数硬信号进行精细定位与功能验证。</w:t>
      </w:r>
    </w:p>
    <w:p>
      <w:pPr>
        <w:spacing w:line="360" w:lineRule="auto"/>
        <w:ind w:firstLine="420"/>
      </w:pPr>
      <w:r>
        <w:rPr>
          <w:rFonts w:ascii="Times New Roman" w:hAnsi="Times New Roman" w:eastAsia="SimSun"/>
          <w:sz w:val="22"/>
        </w:rPr>
        <w:t>从育种应用角度看,近年来针对连产性和产蛋节律的研究也逐渐增多。Yang等在北京油鸡中估计了开产日龄、产蛋数和多个连产相关指标的遗传参数,发现平均连产长度和最大连产长度具有中等至较高遗传力,而平均停产长度的遗传力较低,提示连产性状可作为地方鸡产蛋改良的重要辅助指标[87]。Zhang等进一步在北京油鸡中分析了个体产蛋模式、排卵间隔和相关遗传参数,指出开产日龄、平均连产长度和排卵间隔可作为改良总产蛋数的有效选择指标[88];Liu等在林甸鸡中也发现,开产日龄、早期产蛋数和平均连产长度对后期总产蛋表现具有较好的预测意义[92]。这些研究提示,繁殖性状研究正在由传统的“总产蛋数”评价,转向纳入连产节律和阶段性产蛋模式的更精细表型框架,这对于提高低产地方鸡的育种效率具有现实意义。</w:t>
      </w:r>
    </w:p>
    <w:p>
      <w:pPr>
        <w:spacing w:line="360" w:lineRule="auto"/>
        <w:ind w:firstLine="420"/>
      </w:pPr>
      <w:r>
        <w:rPr>
          <w:rFonts w:ascii="Times New Roman" w:hAnsi="Times New Roman" w:eastAsia="SimSun"/>
          <w:sz w:val="22"/>
        </w:rPr>
        <w:t>总体来看,家鸡繁殖与产蛋性状的遗传学研究已由早期围绕开产日龄和产蛋数的统计分析,逐步发展为整合HPO轴、肝脏代谢、阶段特异性调控、功能变异验证以及连产节律表型的综合研究体系。未来这一方向的关键,不仅在于继续发现新的关联位点,更在于将多组织、多时间点的调控信息与功能验证相结合,明确哪些遗传变异真正参与卵泡发育、激素分泌和持续产蛋能力的形成,并进一步服务于蛋鸡和地方鸡的精准改良。</w:t>
      </w:r>
    </w:p>
    <w:p>
      <w:pPr>
        <w:spacing w:before="200" w:after="80"/>
      </w:pPr>
      <w:r>
        <w:rPr>
          <w:rFonts w:ascii="Times New Roman" w:hAnsi="Times New Roman" w:eastAsia="SimHei"/>
          <w:b/>
          <w:sz w:val="24"/>
        </w:rPr>
        <w:t>5.3 蛋品质性状</w:t>
      </w:r>
    </w:p>
    <w:p>
      <w:pPr>
        <w:spacing w:line="360" w:lineRule="auto"/>
        <w:ind w:firstLine="420"/>
      </w:pPr>
      <w:r>
        <w:rPr>
          <w:rFonts w:ascii="Times New Roman" w:hAnsi="Times New Roman" w:eastAsia="SimSun"/>
          <w:sz w:val="22"/>
        </w:rPr>
        <w:t>蛋品质性状直接影响鲜蛋的商品价值、运输破损率、货架期和加工适用性,是蛋鸡育种中与产蛋数并列的重要目标。蛋品质通常分为外部品质和内部品质两大类:前者主要包括蛋壳强度、壳厚、壳重、壳色和壳面结构,后者主要包括蛋白高度、哈夫单位、蛋黄比例及其相关理化特征。近年来,家鸡蛋品质研究已由传统遗传参数估计和单性状关联分析,逐步发展为整合GWAS、重测序、转录组、单细胞组学和多组学的综合解析框架[43][94-96]。</w:t>
      </w:r>
    </w:p>
    <w:p>
      <w:pPr>
        <w:spacing w:line="360" w:lineRule="auto"/>
        <w:ind w:firstLine="420"/>
      </w:pPr>
      <w:r>
        <w:rPr>
          <w:rFonts w:ascii="Times New Roman" w:hAnsi="Times New Roman" w:eastAsia="SimSun"/>
          <w:sz w:val="22"/>
        </w:rPr>
        <w:t>从总体遗传结构看,蛋品质性状多数具有中等遗传力,但不同性状之间的遗传相关性并不完全一致。Zhang等在褐壳矮小型蛋鸡中发现,蛋重、蛋壳重、蛋白重和蛋黄重等性状之间通常具有较高遗传相关,而蛋壳颜色与多数内部和外部物理品质指标的遗传相关性相对较低,说明蛋壳颜色在一定程度上可以作为相对独立的改良目标[95]。这一结果与后续研究的总体认识一致,即蛋品质并非单一综合性状,而是由多个相互联系但可部分分离的生物学过程共同决定。</w:t>
      </w:r>
    </w:p>
    <w:p>
      <w:pPr>
        <w:spacing w:line="360" w:lineRule="auto"/>
        <w:ind w:firstLine="420"/>
      </w:pPr>
      <w:r>
        <w:rPr>
          <w:rFonts w:ascii="Times New Roman" w:hAnsi="Times New Roman" w:eastAsia="SimSun"/>
          <w:sz w:val="22"/>
        </w:rPr>
        <w:t>在蛋壳品质方面,蛋壳强度和壳厚一直是研究重点。早期GWAS已在白来航和褐壳矮小型蛋鸡中识别出一批与蛋品质相关的显著位点,提示蛋壳质量具有明确的基因组基础[43]。针对晚产蛋期蛋品质下降的研究进一步表明,在72和80周龄的蛋鸡群体中,GGA13上的一段较窄区域与蛋白高度和哈夫单位显著相关,而MSX2和DRD1被提出为有潜力的候选基因[96]。Chen等在延长产蛋周期的Rhode Island Red鸡群中,对蛋壳强度、壳厚、壳色和壳面光泽进行了跨多个周龄点的系统分析,结果显示蛋壳品质在后期产蛋阶段下降最明显,遗传力也随之下降;同时,GGA1上的多个区域与蛋壳强度显著或提示性相关,且与壳腺和肾脏特异性增强子元件富集有关[97]。这些研究说明,蛋壳品质不仅受结构基因影响,还与年龄相关的组织特异性调控变化密切相关。</w:t>
      </w:r>
    </w:p>
    <w:p>
      <w:pPr>
        <w:spacing w:line="360" w:lineRule="auto"/>
        <w:ind w:firstLine="420"/>
      </w:pPr>
      <w:r>
        <w:rPr>
          <w:rFonts w:ascii="Times New Roman" w:hAnsi="Times New Roman" w:eastAsia="SimSun"/>
          <w:sz w:val="22"/>
        </w:rPr>
        <w:t>在机制层面,蛋壳形成实质上是一个高度精密的生物矿化过程,涉及钙离子跨膜转运、碳酸盐供应、壳基质蛋白沉积以及壳腺上皮细胞分泌活动等多个环节。近年综述与多组学研究普遍认为,CALB1、CA2、OC-116、OCX-32、OCX-36等基因或蛋白在钙转运、晶体成核和壳基质结构维持中具有重要作用[94][98]。Zhang等通过整合壳强差异群体的转录组和全基因组重测序数据,筛选出一批与蛋壳质量相关的关键基因和候选突变,进一步支持蛋壳形成是“结构蛋白—离子运输—局部调控网络”共同作用的结果[98]。因此,蛋壳品质研究已经由“测量壳厚和壳强”走向“解析壳腺矿化网络”的阶段。</w:t>
      </w:r>
    </w:p>
    <w:p>
      <w:pPr>
        <w:spacing w:line="360" w:lineRule="auto"/>
        <w:ind w:firstLine="420"/>
      </w:pPr>
      <w:r>
        <w:rPr>
          <w:rFonts w:ascii="Times New Roman" w:hAnsi="Times New Roman" w:eastAsia="SimSun"/>
          <w:sz w:val="22"/>
        </w:rPr>
        <w:t>蛋壳颜色是蛋品质研究中另一个十分活跃的方向。蓝壳和绿壳鸡的研究已经形成了较清晰的分子机制框架。Wang等证明,SLCO1B3 5'侧翼区域的EAV-HP插入可导致该基因在壳腺中异常表达,是蓝壳形成的关键原因[99];其后又发现,壳腺中HMOX1的高表达与胆绿素生成增加有关,从而进一步促进蓝壳表型形成[100]。因此,蛋壳颜色既是经典孟德尔遗传的代表案例,也是研究调控变异和复杂修饰效应的重要模型。</w:t>
      </w:r>
    </w:p>
    <w:p>
      <w:pPr>
        <w:spacing w:line="360" w:lineRule="auto"/>
        <w:ind w:firstLine="420"/>
      </w:pPr>
      <w:r>
        <w:rPr>
          <w:rFonts w:ascii="Times New Roman" w:hAnsi="Times New Roman" w:eastAsia="SimSun"/>
          <w:sz w:val="22"/>
        </w:rPr>
        <w:t>内部品质方面,蛋白高度和哈夫单位是最常用的评价指标。Honkatukia等早在F2群体中就通过QTL定位发现,蛋白品质相关QTL可定位于多个染色体区域,且其中部分区域与蛋壳相关QTL重叠,提示蛋白质量不仅受蛋白本身分泌影响,也可能与蛋壳膜和蛋壳形成过程有关[101]。Qu等利用GWAS识别出一批与蛋白品质相关的候选区域和基因,为后续研究提供了更高分辨率的位点信息[102]。最新的多组学研究进一步显示,随着母鸡老化,蛋白质量下降并伴随更大的个体差异。Gao等2025年的研究中整合GWAS、eQTL、转录组和输卵管膨大部单细胞转录组数据,识别出CISD1、NQO2、SLC22A23和CMTM6等与哈夫单位变化密切相关的基因,并提出ADAMTSL1高表达上皮细胞和特定浆细胞群体可能参与老龄蛋鸡蛋白品质下降过程[103]。这表明,蛋白品质研究已开始由“宏观指标关联分析”转向“细胞类型和分子机制解析”。</w:t>
      </w:r>
    </w:p>
    <w:p>
      <w:pPr>
        <w:spacing w:line="360" w:lineRule="auto"/>
        <w:ind w:firstLine="420"/>
      </w:pPr>
      <w:r>
        <w:rPr>
          <w:rFonts w:ascii="Times New Roman" w:hAnsi="Times New Roman" w:eastAsia="SimSun"/>
          <w:sz w:val="22"/>
        </w:rPr>
        <w:t>除壳和蛋白外,蛋黄比例、蛋黄重量以及与营养组成相关的性状也越来越受到重视。现有研究表明,蛋黄相关性状与肝脏脂质合成、卵黄前体蛋白转运及卵泡发育之间存在紧密联系,涉及FASN、FGF9、PIAS1、NOX5等多个候选基因和代谢通路[94]。这些结果提示,蛋品质性状的研究对象已不再局限于“蛋壳够不够硬”或“蛋白够不够稠”,而是逐步扩展到蛋壳矿化、色素沉积、蛋白稳定性和蛋黄营养形成等多个层面的综合品质框架。</w:t>
      </w:r>
    </w:p>
    <w:p>
      <w:pPr>
        <w:spacing w:line="360" w:lineRule="auto"/>
        <w:ind w:firstLine="420"/>
      </w:pPr>
      <w:r>
        <w:rPr>
          <w:rFonts w:ascii="Times New Roman" w:hAnsi="Times New Roman" w:eastAsia="SimSun"/>
          <w:sz w:val="22"/>
        </w:rPr>
        <w:t>总体来看,家鸡蛋品质性状的遗传学研究已经由传统的遗传参数估计和局部QTL定位,发展为围绕蛋壳矿化、蛋壳颜色、蛋白品质和蛋黄形成的多层次解析体系。未来这一方向的关键,在于将不同周龄阶段的表型变化、壳腺和膨大部等关键组织的表达调控、候选变异的功能验证以及单细胞层面的细胞异质性信息整合起来,从而更准确地识别真正能够用于育种改良的因果位点和调控网络。</w:t>
      </w:r>
    </w:p>
    <w:p>
      <w:pPr>
        <w:spacing w:before="200" w:after="80"/>
      </w:pPr>
      <w:r>
        <w:rPr>
          <w:rFonts w:ascii="Times New Roman" w:hAnsi="Times New Roman" w:eastAsia="SimHei"/>
          <w:b/>
          <w:sz w:val="24"/>
        </w:rPr>
        <w:t>5.4 抗病与免疫性状</w:t>
      </w:r>
    </w:p>
    <w:p>
      <w:pPr>
        <w:spacing w:line="360" w:lineRule="auto"/>
        <w:ind w:firstLine="420"/>
      </w:pPr>
      <w:r>
        <w:rPr>
          <w:rFonts w:ascii="Times New Roman" w:hAnsi="Times New Roman" w:eastAsia="SimSun"/>
          <w:sz w:val="22"/>
        </w:rPr>
        <w:t>抗病与免疫性状是家鸡遗传改良中最具现实意义、同时也最复杂的研究方向之一。随着集约化养殖程度不断提高,马立克氏病、新城疫、禽流感、球虫病和传染性支气管炎等传染性疾病持续威胁家禽生产。与依赖疫苗和生物安全措施的传统防控模式相比,遗传改良能够从宿主基础抗性和免疫反应差异出发,为疾病防控提供更稳定的长期策略。因此,围绕主要组织相容性复合体(major histocompatibility complex, MHC)、非MHC效应位点、免疫应答通路和功能基因编辑开展研究,已成为家鸡抗病育种的重要方向[104-106]。鸡的MHC位于16号染色体,是家鸡抗病遗传研究中最经典的区域之一,其不同单倍型与多种病毒、细菌和寄生虫病的抵抗或易感表型相关[105][106]。</w:t>
      </w:r>
    </w:p>
    <w:p>
      <w:pPr>
        <w:spacing w:line="360" w:lineRule="auto"/>
        <w:ind w:firstLine="420"/>
      </w:pPr>
      <w:r>
        <w:rPr>
          <w:rFonts w:ascii="Times New Roman" w:hAnsi="Times New Roman" w:eastAsia="SimSun"/>
          <w:sz w:val="22"/>
        </w:rPr>
        <w:t>在家鸡抗病遗传研究中,MHC-B区域长期被视为核心位点。Lamont较早指出,鸡群的遗传背景会深刻影响其疾病抵抗力,而MHC是其中最明确、研究最深入的遗传系统之一[104];Miller和Taylor进一步系统总结了鸡MHC在染色体16上的结构特点及其与多类疾病抗性的关系,强调鸡MHC结构相对紧凑,更容易呈现清晰的“单倍型—表型”关联[105]。围绕传染性支气管炎病毒(IBV)的综述也指出,MHC相关基因与宿主炎症反应、先天免疫和疾病结局之间联系紧密,但这并不意味着MHC是唯一决定因素,非MHC区域同样参与了抗病表型的塑造[106]。早期对MHC样区域Rfp-Y的研究甚至提示,并非所有免疫相关区域都能在不同鸡群中重复显示稳定效应,这从侧面说明家鸡抗病性状具有明显的复杂遗传基础[107]。</w:t>
      </w:r>
    </w:p>
    <w:p>
      <w:pPr>
        <w:spacing w:line="360" w:lineRule="auto"/>
        <w:ind w:firstLine="420"/>
      </w:pPr>
      <w:r>
        <w:rPr>
          <w:rFonts w:ascii="Times New Roman" w:hAnsi="Times New Roman" w:eastAsia="SimSun"/>
          <w:sz w:val="22"/>
        </w:rPr>
        <w:t>在病毒性疾病中,马立克氏病(Marek's disease, MD)仍是研究最深入的模型之一。Boodhoo等综述指出,MD由MDV引起,是家禽业中具有重要经济影响的肿瘤性疾病,其防控虽然依赖疫苗,但宿主遗传背景仍深刻影响疾病结局[108]。Smith等通过QTL定位和候选基因分析,在多个染色体上鉴定出与MDV抗性相关的区域和候选变异,提示该性状具有明显的多基因控制特征[109]。Warren等利用单细胞RNA测序比较抗病和易感鸡在感染MDV后脾脏免疫细胞的反应,发现T细胞、巨噬细胞和粒细胞等细胞类型在组成和转录响应上存在显著差异,说明马立克氏病抗性不仅体现为“是否携带某个抗病位点”,还与感染后免疫系统的细胞类型特异性反应密切相关[110]。</w:t>
      </w:r>
    </w:p>
    <w:p>
      <w:pPr>
        <w:spacing w:line="360" w:lineRule="auto"/>
        <w:ind w:firstLine="420"/>
      </w:pPr>
      <w:r>
        <w:rPr>
          <w:rFonts w:ascii="Times New Roman" w:hAnsi="Times New Roman" w:eastAsia="SimSun"/>
          <w:sz w:val="22"/>
        </w:rPr>
        <w:t>除马立克氏病外,新城疫和禽流感也是家鸡抗病研究的代表方向。Luo等在F2资源群体中开展新城疫病毒抗体应答GWAS,表明宿主对NDV的抗体反应具有可检测的基因组基础[44]。相比传统关联研究,近年来对禽流感的研究已进入功能验证阶段:Idoko-Akoh等通过CRISPR/Cas9编辑ANP32基因家族,构建出对低剂量流感病毒挑战具有明显抵抗力的基因编辑鸡;但同一研究也显示,在更高病毒剂量下仍可出现突破性感染,且病毒可通过适应性突变利用其他ANP32家族成员完成复制[111]。这一结果表明,家鸡抗病研究正由“发现候选位点”逐步转向“直接干预宿主关键因子”的功能验证阶段,但也提示真正稳定的抗病改良可能需要多位点、多层级干预。</w:t>
      </w:r>
    </w:p>
    <w:p>
      <w:pPr>
        <w:spacing w:line="360" w:lineRule="auto"/>
        <w:ind w:firstLine="420"/>
      </w:pPr>
      <w:r>
        <w:rPr>
          <w:rFonts w:ascii="Times New Roman" w:hAnsi="Times New Roman" w:eastAsia="SimSun"/>
          <w:sz w:val="22"/>
        </w:rPr>
        <w:t>在寄生虫病方面,球虫病仍是肠道健康和饲料效率的重要限制因素。Lillehoj等较早从肠道细胞免疫和细胞因子调控角度总结了鸡对Eimeria感染的免疫反应特点,指出球虫病防控高度依赖宿主细胞免疫机制[112]。最新研究进一步将这一方向推进到具体遗传系统层面:Niraula等发现,MHC-B以及A、D、E和I等同种异体抗原系统的不同单倍型,与增重、料重比、病灶评分和卵囊排出量等球虫病相关指标显著相关,说明球虫病抗性并非单一免疫反应结果,而是由多个免疫遗传系统共同塑造[113]。在呼吸道病毒方面,Banat等对不同MHC-B单倍型鸡开展IBV感染研究,发现不同单倍型在临床症状严重程度和病毒清除能力上存在明显差异,进一步强化了“宿主遗传背景影响疾病结局”的认识[114]。</w:t>
      </w:r>
    </w:p>
    <w:p>
      <w:pPr>
        <w:spacing w:line="360" w:lineRule="auto"/>
        <w:ind w:firstLine="420"/>
      </w:pPr>
      <w:r>
        <w:rPr>
          <w:rFonts w:ascii="Times New Roman" w:hAnsi="Times New Roman" w:eastAsia="SimSun"/>
          <w:sz w:val="22"/>
        </w:rPr>
        <w:t>总体来看,家鸡抗病与免疫性状研究正呈现出由经典MHC单倍型分析、QTL/GWAS定位,向单细胞免疫图谱、多组学整合和基因编辑验证并行推进的趋势。未来这一方向的关键,不仅在于继续识别新的抗病相关位点,更在于明确不同遗传变异如何通过先天免疫、抗体应答、细胞免疫及组织特异性调控共同塑造宿主抗病表型,并在不损害生产性能的前提下,将这些成果更有效地纳入现代育种体系。</w:t>
      </w:r>
    </w:p>
    <w:p>
      <w:pPr>
        <w:spacing w:before="200" w:after="80"/>
      </w:pPr>
      <w:r>
        <w:rPr>
          <w:rFonts w:ascii="Times New Roman" w:hAnsi="Times New Roman" w:eastAsia="SimHei"/>
          <w:b/>
          <w:sz w:val="24"/>
        </w:rPr>
        <w:t>5.5 羽色、冠型及其他特色表型</w:t>
      </w:r>
    </w:p>
    <w:p>
      <w:pPr>
        <w:spacing w:line="360" w:lineRule="auto"/>
        <w:ind w:firstLine="420"/>
      </w:pPr>
      <w:r>
        <w:rPr>
          <w:rFonts w:ascii="Times New Roman" w:hAnsi="Times New Roman" w:eastAsia="SimSun"/>
          <w:sz w:val="22"/>
        </w:rPr>
        <w:t>羽色、皮肤颜色、冠型以及羽毛形态等特色表型,是家鸡遗传学研究中最具代表性的内容之一。与生长、产蛋等复杂数量性状相比,这类表型通常具有较清晰的遗传基础,因此在家鸡遗传学发展过程中长期承担着连接经典孟德尔遗传与现代分子机制解析的桥梁作用。近年综述进一步表明,许多鸡的可见表型差异已经能够被定位到具体基因及致因突变,且突变类型十分多样,包括单核苷酸变异、重复、缺失、倒位、内源性逆转录病毒插入及复杂结构变异等。这些表型不仅具有品种鉴别和观赏价值,也为理解发育调控、基因互作与结构变异如何塑造表型提供了重要模型[115]。</w:t>
      </w:r>
    </w:p>
    <w:p>
      <w:pPr>
        <w:spacing w:line="360" w:lineRule="auto"/>
        <w:ind w:firstLine="420"/>
      </w:pPr>
      <w:r>
        <w:rPr>
          <w:rFonts w:ascii="Times New Roman" w:hAnsi="Times New Roman" w:eastAsia="SimSun"/>
          <w:sz w:val="22"/>
        </w:rPr>
        <w:t>在颜色相关性状中,黄色皮肤和纤维黑变是最经典的两个案例。黄色皮肤并非由蛋白编码序列改变引起,而是源于BCDO2的顺式调控变异:该变异抑制皮肤中类胡萝卜素裂解,从而导致黄色素沉积;这一发现还提示家鸡黄色皮肤单倍型与灰原鸡存在遗传联系[22]。另一类广受关注的表型是乌骨鸡等品种中的纤维黑变(fibromelanosis),其致因基础是涉及EDN3位点的复杂基因组重排,该重排导致EDN3异常高表达,进而促进真皮和结缔组织中黑色素细胞增殖与沉积[116]。此外,Dominant white、Dun和Smoky等羽色变异已被证明与PMEL17/PMEL的插入/缺失多态性相关,说明家鸡羽色和皮肤颜色的形成往往涉及色素代谢、黑素体形成以及顺式调控的多层次变化[117]。</w:t>
      </w:r>
    </w:p>
    <w:p>
      <w:pPr>
        <w:spacing w:line="360" w:lineRule="auto"/>
        <w:ind w:firstLine="420"/>
      </w:pPr>
      <w:r>
        <w:rPr>
          <w:rFonts w:ascii="Times New Roman" w:hAnsi="Times New Roman" w:eastAsia="SimSun"/>
          <w:sz w:val="22"/>
        </w:rPr>
        <w:t>冠型性状是家鸡外貌表型中最典型的结构变异案例之一。Pea-comb由SOX5第1内含子中的拷贝数变异引起,该重复扩增导致SOX5在鸡冠形态发生过程中异位表达,从而改变冠部间充质的发育命运[118];Rose-comb由大片段倒位引起,这一结构重排导致MNR2异位表达,并与CCDC108区域受损相关,因此不仅改变冠型,还可能影响雄性生殖力[119];Duplex-comb的两种表型则与染色体2上一段串联重复相关,该重复影响EOMES的异常表达[120]。可见,鸡冠型变异的核心机制并不主要是蛋白编码区改变,而是发育调控基因在时空表达上的异常激活,这与近年综述对鸡表型多样性分子基础的总结相一致[115][118-120]。</w:t>
      </w:r>
    </w:p>
    <w:p>
      <w:pPr>
        <w:spacing w:line="360" w:lineRule="auto"/>
        <w:ind w:firstLine="420"/>
      </w:pPr>
      <w:r>
        <w:t>在羽毛形态相关表型中,Crest、Frizzle、Muff and beard、Naked neck、Scaleless和Silky都是经典例子。Crest(凤头)表型的因果变异定位过程本身具有方法学意义。早期研究将该性状定位至HOXC基因簇附近的较大候选区段,但当时对具体因果变异的指认存在分歧;Li等基于更精细的群体测序与功能分析,将因果变异精细化为HOXC10第1内含子内的一段约197 bp重复,该重复被认为通过影响局部增强子活性导致HOXC基因簇在颅顶发育过程中异位表达[121]。Crest因果变异从“区段定位”到“具体重复变异”的修正过程,反映了家鸡特色表型研究中“早期候选基因”与“后续精细定位”之间常见的差距,也提示对其他若干尚未达到精细定位深度的特色表型,目前给出的“候选基因”判断同样具有被未来研究修正的可能;Frizzle表型由α-角蛋白基因KRT75的功能突变引起,该突变导致羽轴(rachis)发育缺陷,使羽毛呈现卷曲外观[123];Muff and beard由染色体27上的复杂结构变异引起,该变异导致HOXB8在面部皮肤中异位表达,从而形成颊羽和胡须[122];Naked neck则由一段插入介导,该插入对BMP12/GDF7产生远程顺式调控效应,提高其在胚胎皮肤中的表达,并抑制颈部羽毛原基形成[124];Scaleless由FGF20的无义突变导致,直接影响表皮原基稳定和后续羽毛形成[125];Silky(hookless)则与PDSS2上游调控位点变异有关,其结果是羽枝小钩形成缺陷,使羽毛呈现丝状外观[126]。因此,羽毛形态变异的形成既可能涉及结构蛋白本身,也可能由发育信号通路和局部调控元件改变所驱动[115][121-126]。</w:t>
      </w:r>
    </w:p>
    <w:p>
      <w:pPr>
        <w:spacing w:line="360" w:lineRule="auto"/>
        <w:ind w:firstLine="420"/>
      </w:pPr>
      <w:r>
        <w:rPr>
          <w:rFonts w:ascii="Times New Roman" w:hAnsi="Times New Roman" w:eastAsia="SimSun"/>
          <w:sz w:val="22"/>
        </w:rPr>
        <w:t>总体来看,羽色、冠型及其他特色表型研究已经从早期的表型描述和遗传分离分析,发展为能够在分子水平解析其致因变异、突变类型和发育机制的成熟方向。与多数复杂经济性状相比,这类表型往往具有更明确的主效位点,因此在方法学上持续为结构变异鉴定、调控变异解释和功能验证提供清晰案例。未来,这一方向仍可在两个层面继续推进:一是利用更多地方品种和历史品种挖掘新的表型变异资源;二是将单细胞组学和发育功能实验引入这些经典表型研究,以进一步解析其时空特异性的分子基础。</w:t>
      </w:r>
    </w:p>
    <w:p>
      <w:pPr>
        <w:spacing w:before="200" w:after="80"/>
      </w:pPr>
      <w:r>
        <w:rPr>
          <w:rFonts w:ascii="Times New Roman" w:hAnsi="Times New Roman" w:eastAsia="SimHei"/>
          <w:b/>
          <w:sz w:val="24"/>
        </w:rPr>
        <w:t>5.6 地方品种与环境适应</w:t>
      </w:r>
    </w:p>
    <w:p>
      <w:pPr>
        <w:spacing w:line="360" w:lineRule="auto"/>
        <w:ind w:firstLine="420"/>
      </w:pPr>
      <w:r>
        <w:rPr>
          <w:rFonts w:ascii="Times New Roman" w:hAnsi="Times New Roman" w:eastAsia="SimSun"/>
          <w:sz w:val="22"/>
        </w:rPr>
        <w:t>地方品种环境适应性状的研究,是当前家鸡遗传学中兼具遗传资源保护价值与育种应用意义的重要方向。与现代商业品系相比,地方鸡种长期处于特定生态环境和饲养制度之中,在自然选择与人工选择的共同作用下,积累了大量与局部环境相适应的遗传变异。这些变异不仅体现在耐粗饲、抗逆性和独特外貌等方面,也反映在对高海拔低氧、寒冷环境、热带高温高湿以及复杂病原压力等生态挑战的适应过程中。近年来,随着群体基因组学、重测序和环境基因组学的发展,地方鸡种已不再仅仅被视为“具有地方特色表型的品种”,而逐步成为研究环境适应、遗传多样性及地方化演化的重要模型[127][138-141]。</w:t>
      </w:r>
    </w:p>
    <w:p>
      <w:pPr>
        <w:spacing w:line="360" w:lineRule="auto"/>
        <w:ind w:firstLine="420"/>
      </w:pPr>
      <w:r>
        <w:rPr>
          <w:rFonts w:ascii="Times New Roman" w:hAnsi="Times New Roman" w:eastAsia="SimSun"/>
          <w:sz w:val="22"/>
        </w:rPr>
        <w:t>高海拔适应是地方鸡环境适应研究中最具代表性的方向之一。Wang等通过藏鸡全基因组分析发现,钙信号通路相关基因在藏鸡高海拔适应中表现出明显选择痕迹,提示低氧适应并非单一位点作用,而与细胞信号调控网络密切相关[127];Zhang等基于高地与低地鸡群重测序进一步指出,藏鸡在高海拔环境中形成了与低氧及高紫外辐射相关的独特适应模式[128];Li等发现,不同藏鸡亚群的候选选择区域并不完全重叠,但RYR2和CAMK2D在多个亚群中重复出现,提示不同群体可能通过功能相近而路径并不完全一致的遗传机制实现高原适应[129];Xue等从胚胎肝脏代谢组和转录组水平表明,低氧条件下藏鸡发生了与能量代谢和氨基酸代谢相关的显著重塑,说明其适应机制已由群体遗传层面延伸到发育与代谢调控层面[130]。整体来看,藏鸡高海拔适应体现为群体分化、信号通路调节与代谢重构共同作用的结果。</w:t>
      </w:r>
    </w:p>
    <w:p>
      <w:pPr>
        <w:spacing w:line="360" w:lineRule="auto"/>
        <w:ind w:firstLine="420"/>
      </w:pPr>
      <w:r>
        <w:rPr>
          <w:rFonts w:ascii="Times New Roman" w:hAnsi="Times New Roman" w:eastAsia="SimSun"/>
          <w:sz w:val="22"/>
        </w:rPr>
        <w:t>除高海拔外,寒冷地区地方鸡的低温适应同样是环境适应研究的重要内容。以俄罗斯白鸡为代表的抗寒地方资源表明,耐寒性具有较清晰的分子基础。Fedorova等在俄罗斯白鸡研究中鉴定出与脂质代谢、体温维持、非颤抖产热及肌肉发育相关的候选基因,如ADIPOQ、GCGR、TRPM2、RYR2和CAMK2G,提示家鸡耐寒适应与能量代谢重编程和产热调控密切相关[131];Romanov等对分化选择鸡种的基因组扫描进一步指出,Ushanka和Orloff Mille Fleur等俄罗斯地方鸡属于典型冷适应资源,说明耐寒并非俄罗斯白鸡的孤立特征,而是若干地方品种在长期寒冷环境中形成的共同遗传特征[132]。Fleming等对非洲与北欧地方鸡的比较基因组分析表明,北欧鸡群所受选择压力更偏向于与能量稳态相关的生物学过程,而非洲鸡群则更突出应激信号和血管生成相关过程,这进一步支持了寒冷环境适应主要依赖能量代谢与体热维持机制的观点[133]。</w:t>
      </w:r>
    </w:p>
    <w:p>
      <w:pPr>
        <w:spacing w:line="360" w:lineRule="auto"/>
        <w:ind w:firstLine="420"/>
      </w:pPr>
      <w:r>
        <w:rPr>
          <w:rFonts w:ascii="Times New Roman" w:hAnsi="Times New Roman" w:eastAsia="SimSun"/>
          <w:sz w:val="22"/>
        </w:rPr>
        <w:t>在耐热适应研究中,裸颈鸡(naked neck chicken)是极具代表性的材料。Fernandes等综述指出,裸颈性状由常染色体不完全显性的Na基因控制,该性状能够缓解热应激对生产性能和繁殖表现的不利影响,因此可被视为一种重要的遗传性抗热策略[134];Cahaner等的研究表明,裸颈基因造成的羽毛覆盖减少可显著改善高温条件下鸡只的散热表现,其“遗传性减羽”效应与热环境下的生产维持密切相关[135]。因此,裸颈鸡不仅是形态变异的典型材料,也为解析“外貌性状—体热调节—环境适应”之间的关系提供了直接证据。</w:t>
      </w:r>
    </w:p>
    <w:p>
      <w:pPr>
        <w:spacing w:line="360" w:lineRule="auto"/>
        <w:ind w:firstLine="420"/>
      </w:pPr>
      <w:r>
        <w:rPr>
          <w:rFonts w:ascii="Times New Roman" w:hAnsi="Times New Roman" w:eastAsia="SimSun"/>
          <w:sz w:val="22"/>
        </w:rPr>
        <w:t>非洲地方鸡进一步说明,地方品种的环境适应通常不是对单一热应激的反应,而是对高温、干旱、高湿、低投入饲养和持续病原压力的综合适应。Rachman等对尼日利亚地方鸡开展大规模全基因组分析发现,这些鸡群虽然群体分化程度较低,但保留了较高遗传多样性,并检测到与热耐受和免疫反应相关的候选基因,如HSF1、CDC37、HIF3A、SLC44A2和ILF3,说明其耐热性具有明确的基因组基础[136];Gheyas等对埃塞俄比亚地方鸡进行环境—基因组整合分析,指出温度、降雨、海拔、土壤和土地利用等环境因素共同驱动地方鸡局部适应,凸显了多环境变量共同塑造地方鸡遗传结构的特点[137]。Elbeltagy等在非洲地方鸡研究中发现,Fayoumi鸡与新城疫病毒抗性相关,而Dandarawi鸡则显示出与强太阳辐射适应相关的选择信号,进一步表明部分非洲地方鸡兼具抗热与抗病双重适应价值[138]。Mpenda等综述也指出,非洲地方鸡群具有较高遗传多样性,且能够在严酷环境和持续病原暴露下长期存活,因此是未来抗病育种与地方资源利用的重要基因库[139]。</w:t>
      </w:r>
    </w:p>
    <w:p>
      <w:pPr>
        <w:spacing w:line="360" w:lineRule="auto"/>
        <w:ind w:firstLine="420"/>
      </w:pPr>
      <w:r>
        <w:rPr>
          <w:rFonts w:ascii="Times New Roman" w:hAnsi="Times New Roman" w:eastAsia="SimSun"/>
          <w:sz w:val="22"/>
        </w:rPr>
        <w:t>在中国地方鸡种中,地方化与环境适应研究也在快速积累。Gu等对文昌鸡开展群体基因组分析,发现不同资源群体在群体结构和遗传背景上存在明显差异,并识别出与热带岛屿环境适应、羽色和生产性状相关的候选基因[140]。Tan等建立了涵盖中国13个地方鸡种、209个个体的全基因组变异数据集,鉴定出超过1900万个SNP和近200万个InDel,为地方鸡遗传多样性、群体历史、局部适应及候选变异筛选提供了重要的基础资源[141]。与单一品种研究相比,这类跨品种数据集更有利于从全国尺度理解中国地方鸡资源的遗传组成及其环境适应潜力,也为今后图泛基因组构建和地方品种精准改良提供了数据支撑。</w:t>
      </w:r>
    </w:p>
    <w:p>
      <w:pPr>
        <w:spacing w:line="360" w:lineRule="auto"/>
        <w:ind w:firstLine="420"/>
      </w:pPr>
      <w:r>
        <w:rPr>
          <w:rFonts w:ascii="Times New Roman" w:hAnsi="Times New Roman" w:eastAsia="SimSun"/>
          <w:sz w:val="22"/>
        </w:rPr>
        <w:t>总体来看,地方品种与环境适应研究的意义已不再局限于描述某一地方鸡种的外貌和生产特征,而是逐步转向更具机制性和应用性的问题:哪些遗传变异真正参与了高海拔、低温、耐热及病原压力下的适应过程;这些适应性变异能否与现代生产性能改良协同利用;以及如何在遗传资源保护与育种开发之间实现平衡。未来,这一方向尤其值得从三个层面继续推进:一是将更多地方品种纳入系统性的全基因组与多组学比较框架;二是将环境变量、精准表型测定与功能验证结合起来,提升地方适应性研究的可解释性;三是围绕耐热、耐寒、抗病等关键性状,推动地方鸡优异等位变异向育种利用转化。</w:t>
      </w:r>
    </w:p>
    <w:p>
      <w:pPr>
        <w:spacing w:line="360" w:lineRule="auto"/>
        <w:ind w:firstLine="420"/>
      </w:pPr>
      <w:r>
        <w:rPr>
          <w:rFonts w:ascii="Times New Roman" w:hAnsi="Times New Roman" w:eastAsia="SimSun"/>
          <w:sz w:val="22"/>
        </w:rPr>
        <w:t>为便于查阅,本章涉及的主要候选基因及功能机制汇总于表 2,代表性地方鸡种及其环境适应特征汇总于表 3。</w:t>
      </w:r>
    </w:p>
    <w:p>
      <w:pPr>
        <w:spacing w:before="120" w:after="120"/>
        <w:jc w:val="center"/>
      </w:pPr>
      <w:r>
        <w:rPr>
          <w:rFonts w:ascii="Times New Roman" w:hAnsi="Times New Roman" w:eastAsia="SimHei"/>
          <w:b/>
          <w:sz w:val="20"/>
        </w:rPr>
        <w:t>表 2 家鸡主要经济性状关键候选基因与机制汇总</w:t>
      </w:r>
    </w:p>
    <w:tbl>
      <w:tblPr>
        <w:tblW w:type="auto" w:w="0"/>
        <w:tblLook w:firstColumn="0" w:firstRow="0" w:lastColumn="0" w:lastRow="0" w:noHBand="1" w:noVBand="1" w:val="04A0"/>
        <w:tblBorders>
          <w:top w:val="nil"/>
          <w:left w:val="nil"/>
          <w:bottom w:val="nil"/>
          <w:right w:val="nil"/>
          <w:insideH w:val="nil"/>
          <w:insideV w:val="nil"/>
        </w:tblBorders>
      </w:tblPr>
      <w:tblGrid>
        <w:gridCol w:w="1234"/>
        <w:gridCol w:w="1234"/>
        <w:gridCol w:w="1234"/>
        <w:gridCol w:w="1234"/>
        <w:gridCol w:w="1234"/>
        <w:gridCol w:w="1234"/>
        <w:gridCol w:w="1234"/>
      </w:tblGrid>
      <w:tr>
        <w:tc>
          <w:tcPr>
            <w:tcW w:type="dxa" w:w="1234"/>
            <w:tcBorders>
              <w:top w:val="single" w:sz="12" w:space="0" w:color="000000"/>
              <w:left w:val="nil"/>
              <w:bottom w:val="single" w:sz="6" w:space="0" w:color="000000"/>
              <w:right w:val="nil"/>
            </w:tcBorders>
            <w:shd w:val="clear" w:color="auto" w:fill="FFFFFF"/>
          </w:tcPr>
          <w:p>
            <w:r/>
            <w:r>
              <w:rPr>
                <w:rFonts w:ascii="Times New Roman" w:hAnsi="Times New Roman" w:eastAsia="SimSun"/>
                <w:b/>
                <w:sz w:val="18"/>
              </w:rPr>
              <w:t>性状类别</w:t>
            </w:r>
          </w:p>
        </w:tc>
        <w:tc>
          <w:tcPr>
            <w:tcW w:type="dxa" w:w="1234"/>
            <w:tcBorders>
              <w:top w:val="single" w:sz="12" w:space="0" w:color="000000"/>
              <w:left w:val="nil"/>
              <w:bottom w:val="single" w:sz="6" w:space="0" w:color="000000"/>
              <w:right w:val="nil"/>
            </w:tcBorders>
            <w:shd w:val="clear" w:color="auto" w:fill="FFFFFF"/>
          </w:tcPr>
          <w:p>
            <w:r/>
            <w:r>
              <w:rPr>
                <w:rFonts w:ascii="Times New Roman" w:hAnsi="Times New Roman" w:eastAsia="SimSun"/>
                <w:b/>
                <w:sz w:val="18"/>
              </w:rPr>
              <w:t>子性状</w:t>
            </w:r>
          </w:p>
        </w:tc>
        <w:tc>
          <w:tcPr>
            <w:tcW w:type="dxa" w:w="1234"/>
            <w:tcBorders>
              <w:top w:val="single" w:sz="12" w:space="0" w:color="000000"/>
              <w:left w:val="nil"/>
              <w:bottom w:val="single" w:sz="6" w:space="0" w:color="000000"/>
              <w:right w:val="nil"/>
            </w:tcBorders>
            <w:shd w:val="clear" w:color="auto" w:fill="FFFFFF"/>
          </w:tcPr>
          <w:p>
            <w:r/>
            <w:r>
              <w:rPr>
                <w:rFonts w:ascii="Times New Roman" w:hAnsi="Times New Roman" w:eastAsia="SimSun"/>
                <w:b/>
                <w:sz w:val="18"/>
              </w:rPr>
              <w:t>关键基因/位点</w:t>
            </w:r>
          </w:p>
        </w:tc>
        <w:tc>
          <w:tcPr>
            <w:tcW w:type="dxa" w:w="1234"/>
            <w:tcBorders>
              <w:top w:val="single" w:sz="12" w:space="0" w:color="000000"/>
              <w:left w:val="nil"/>
              <w:bottom w:val="single" w:sz="6" w:space="0" w:color="000000"/>
              <w:right w:val="nil"/>
            </w:tcBorders>
            <w:shd w:val="clear" w:color="auto" w:fill="FFFFFF"/>
          </w:tcPr>
          <w:p>
            <w:r/>
            <w:r>
              <w:rPr>
                <w:rFonts w:ascii="Times New Roman" w:hAnsi="Times New Roman" w:eastAsia="SimSun"/>
                <w:b/>
                <w:sz w:val="18"/>
              </w:rPr>
              <w:t>变异类型</w:t>
            </w:r>
          </w:p>
        </w:tc>
        <w:tc>
          <w:tcPr>
            <w:tcW w:type="dxa" w:w="1234"/>
            <w:tcBorders>
              <w:top w:val="single" w:sz="12" w:space="0" w:color="000000"/>
              <w:left w:val="nil"/>
              <w:bottom w:val="single" w:sz="6" w:space="0" w:color="000000"/>
              <w:right w:val="nil"/>
            </w:tcBorders>
            <w:shd w:val="clear" w:color="auto" w:fill="FFFFFF"/>
          </w:tcPr>
          <w:p>
            <w:r/>
            <w:r>
              <w:rPr>
                <w:rFonts w:ascii="Times New Roman" w:hAnsi="Times New Roman" w:eastAsia="SimSun"/>
                <w:b/>
                <w:sz w:val="18"/>
              </w:rPr>
              <w:t>主要调控/作用机制</w:t>
            </w:r>
          </w:p>
        </w:tc>
        <w:tc>
          <w:tcPr>
            <w:tcW w:type="dxa" w:w="1234"/>
            <w:tcBorders>
              <w:top w:val="single" w:sz="12" w:space="0" w:color="000000"/>
              <w:left w:val="nil"/>
              <w:bottom w:val="single" w:sz="6" w:space="0" w:color="000000"/>
              <w:right w:val="nil"/>
            </w:tcBorders>
            <w:shd w:val="clear" w:color="auto" w:fill="FFFFFF"/>
          </w:tcPr>
          <w:p>
            <w:r/>
            <w:r>
              <w:rPr>
                <w:rFonts w:ascii="Times New Roman" w:hAnsi="Times New Roman" w:eastAsia="SimSun"/>
                <w:b/>
                <w:sz w:val="18"/>
              </w:rPr>
              <w:t>代表性群体</w:t>
            </w:r>
          </w:p>
        </w:tc>
        <w:tc>
          <w:tcPr>
            <w:tcW w:type="dxa" w:w="1234"/>
            <w:tcBorders>
              <w:top w:val="single" w:sz="12" w:space="0" w:color="000000"/>
              <w:left w:val="nil"/>
              <w:bottom w:val="single" w:sz="6" w:space="0" w:color="000000"/>
              <w:right w:val="nil"/>
            </w:tcBorders>
            <w:shd w:val="clear" w:color="auto" w:fill="FFFFFF"/>
          </w:tcPr>
          <w:p>
            <w:r/>
            <w:r>
              <w:rPr>
                <w:rFonts w:ascii="Times New Roman" w:hAnsi="Times New Roman" w:eastAsia="SimSun"/>
                <w:b/>
                <w:sz w:val="18"/>
              </w:rPr>
              <w:t>参考文献</w:t>
            </w:r>
          </w:p>
        </w:tc>
      </w:tr>
      <w:tr>
        <w:tc>
          <w:tcPr>
            <w:tcW w:type="dxa" w:w="1234"/>
            <w:tcBorders>
              <w:top w:val="nil"/>
              <w:left w:val="nil"/>
              <w:bottom w:val="nil"/>
              <w:right w:val="nil"/>
            </w:tcBorders>
            <w:shd w:val="clear" w:color="auto" w:fill="FFFFFF"/>
          </w:tcPr>
          <w:p>
            <w:r/>
            <w:r>
              <w:rPr>
                <w:rFonts w:ascii="Times New Roman" w:hAnsi="Times New Roman" w:eastAsia="SimSun"/>
                <w:sz w:val="18"/>
              </w:rPr>
              <w:t>生长与胴体</w:t>
            </w:r>
          </w:p>
        </w:tc>
        <w:tc>
          <w:tcPr>
            <w:tcW w:type="dxa" w:w="1234"/>
            <w:tcBorders>
              <w:top w:val="nil"/>
              <w:left w:val="nil"/>
              <w:bottom w:val="nil"/>
              <w:right w:val="nil"/>
            </w:tcBorders>
            <w:shd w:val="clear" w:color="auto" w:fill="FFFFFF"/>
          </w:tcPr>
          <w:p>
            <w:r/>
            <w:r>
              <w:rPr>
                <w:rFonts w:ascii="Times New Roman" w:hAnsi="Times New Roman" w:eastAsia="SimSun"/>
                <w:sz w:val="18"/>
              </w:rPr>
              <w:t>体型/胸肌发育</w:t>
            </w:r>
          </w:p>
        </w:tc>
        <w:tc>
          <w:tcPr>
            <w:tcW w:type="dxa" w:w="1234"/>
            <w:tcBorders>
              <w:top w:val="nil"/>
              <w:left w:val="nil"/>
              <w:bottom w:val="nil"/>
              <w:right w:val="nil"/>
            </w:tcBorders>
            <w:shd w:val="clear" w:color="auto" w:fill="FFFFFF"/>
          </w:tcPr>
          <w:p>
            <w:r/>
            <w:r>
              <w:rPr>
                <w:rFonts w:ascii="Times New Roman" w:hAnsi="Times New Roman" w:eastAsia="SimSun"/>
                <w:sz w:val="18"/>
              </w:rPr>
              <w:t>MSTN, IGF1, IGF1R, GHR</w:t>
            </w:r>
          </w:p>
        </w:tc>
        <w:tc>
          <w:tcPr>
            <w:tcW w:type="dxa" w:w="1234"/>
            <w:tcBorders>
              <w:top w:val="nil"/>
              <w:left w:val="nil"/>
              <w:bottom w:val="nil"/>
              <w:right w:val="nil"/>
            </w:tcBorders>
            <w:shd w:val="clear" w:color="auto" w:fill="FFFFFF"/>
          </w:tcPr>
          <w:p>
            <w:r/>
            <w:r>
              <w:rPr>
                <w:rFonts w:ascii="Times New Roman" w:hAnsi="Times New Roman" w:eastAsia="SimSun"/>
                <w:sz w:val="18"/>
              </w:rPr>
              <w:t>编码区/调控区 SNP</w:t>
            </w:r>
          </w:p>
        </w:tc>
        <w:tc>
          <w:tcPr>
            <w:tcW w:type="dxa" w:w="1234"/>
            <w:tcBorders>
              <w:top w:val="nil"/>
              <w:left w:val="nil"/>
              <w:bottom w:val="nil"/>
              <w:right w:val="nil"/>
            </w:tcBorders>
            <w:shd w:val="clear" w:color="auto" w:fill="FFFFFF"/>
          </w:tcPr>
          <w:p>
            <w:r/>
            <w:r>
              <w:rPr>
                <w:rFonts w:ascii="Times New Roman" w:hAnsi="Times New Roman" w:eastAsia="SimSun"/>
                <w:sz w:val="18"/>
              </w:rPr>
              <w:t>抑制肌生长 / IGF-Akt-mTOR 通路</w:t>
            </w:r>
          </w:p>
        </w:tc>
        <w:tc>
          <w:tcPr>
            <w:tcW w:type="dxa" w:w="1234"/>
            <w:tcBorders>
              <w:top w:val="nil"/>
              <w:left w:val="nil"/>
              <w:bottom w:val="nil"/>
              <w:right w:val="nil"/>
            </w:tcBorders>
            <w:shd w:val="clear" w:color="auto" w:fill="FFFFFF"/>
          </w:tcPr>
          <w:p>
            <w:r/>
            <w:r>
              <w:rPr>
                <w:rFonts w:ascii="Times New Roman" w:hAnsi="Times New Roman" w:eastAsia="SimSun"/>
                <w:sz w:val="18"/>
              </w:rPr>
              <w:t>商业肉鸡、F2 群体</w:t>
            </w:r>
          </w:p>
        </w:tc>
        <w:tc>
          <w:tcPr>
            <w:tcW w:type="dxa" w:w="1234"/>
            <w:tcBorders>
              <w:top w:val="nil"/>
              <w:left w:val="nil"/>
              <w:bottom w:val="nil"/>
              <w:right w:val="nil"/>
            </w:tcBorders>
            <w:shd w:val="clear" w:color="auto" w:fill="FFFFFF"/>
          </w:tcPr>
          <w:p>
            <w:r/>
            <w:r>
              <w:rPr>
                <w:rFonts w:ascii="Times New Roman" w:hAnsi="Times New Roman" w:eastAsia="SimSun"/>
                <w:sz w:val="18"/>
              </w:rPr>
              <w:t>[40][71]</w:t>
            </w:r>
          </w:p>
        </w:tc>
      </w:tr>
      <w:tr>
        <w:tc>
          <w:tcPr>
            <w:tcW w:type="dxa" w:w="1234"/>
            <w:tcBorders>
              <w:top w:val="nil"/>
              <w:left w:val="nil"/>
              <w:bottom w:val="nil"/>
              <w:right w:val="nil"/>
            </w:tcBorders>
            <w:shd w:val="clear" w:color="auto" w:fill="FFFFFF"/>
          </w:tcPr>
          <w:p>
            <w:r/>
            <w:r>
              <w:rPr>
                <w:rFonts w:ascii="Times New Roman" w:hAnsi="Times New Roman" w:eastAsia="SimSun"/>
                <w:sz w:val="18"/>
              </w:rPr>
              <w:t>生长与胴体</w:t>
            </w:r>
          </w:p>
        </w:tc>
        <w:tc>
          <w:tcPr>
            <w:tcW w:type="dxa" w:w="1234"/>
            <w:tcBorders>
              <w:top w:val="nil"/>
              <w:left w:val="nil"/>
              <w:bottom w:val="nil"/>
              <w:right w:val="nil"/>
            </w:tcBorders>
            <w:shd w:val="clear" w:color="auto" w:fill="FFFFFF"/>
          </w:tcPr>
          <w:p>
            <w:r/>
            <w:r>
              <w:rPr>
                <w:rFonts w:ascii="Times New Roman" w:hAnsi="Times New Roman" w:eastAsia="SimSun"/>
                <w:sz w:val="18"/>
              </w:rPr>
              <w:t>成肌分化</w:t>
            </w:r>
          </w:p>
        </w:tc>
        <w:tc>
          <w:tcPr>
            <w:tcW w:type="dxa" w:w="1234"/>
            <w:tcBorders>
              <w:top w:val="nil"/>
              <w:left w:val="nil"/>
              <w:bottom w:val="nil"/>
              <w:right w:val="nil"/>
            </w:tcBorders>
            <w:shd w:val="clear" w:color="auto" w:fill="FFFFFF"/>
          </w:tcPr>
          <w:p>
            <w:r/>
            <w:r>
              <w:rPr>
                <w:rFonts w:ascii="Times New Roman" w:hAnsi="Times New Roman" w:eastAsia="SimSun"/>
                <w:sz w:val="18"/>
              </w:rPr>
              <w:t>MYOD1, MYF5, MYOG, MYF6</w:t>
            </w:r>
          </w:p>
        </w:tc>
        <w:tc>
          <w:tcPr>
            <w:tcW w:type="dxa" w:w="1234"/>
            <w:tcBorders>
              <w:top w:val="nil"/>
              <w:left w:val="nil"/>
              <w:bottom w:val="nil"/>
              <w:right w:val="nil"/>
            </w:tcBorders>
            <w:shd w:val="clear" w:color="auto" w:fill="FFFFFF"/>
          </w:tcPr>
          <w:p>
            <w:r/>
            <w:r>
              <w:rPr>
                <w:rFonts w:ascii="Times New Roman" w:hAnsi="Times New Roman" w:eastAsia="SimSun"/>
                <w:sz w:val="18"/>
              </w:rPr>
              <w:t>编码区 SNP</w:t>
            </w:r>
          </w:p>
        </w:tc>
        <w:tc>
          <w:tcPr>
            <w:tcW w:type="dxa" w:w="1234"/>
            <w:tcBorders>
              <w:top w:val="nil"/>
              <w:left w:val="nil"/>
              <w:bottom w:val="nil"/>
              <w:right w:val="nil"/>
            </w:tcBorders>
            <w:shd w:val="clear" w:color="auto" w:fill="FFFFFF"/>
          </w:tcPr>
          <w:p>
            <w:r/>
            <w:r>
              <w:rPr>
                <w:rFonts w:ascii="Times New Roman" w:hAnsi="Times New Roman" w:eastAsia="SimSun"/>
                <w:sz w:val="18"/>
              </w:rPr>
              <w:t>成肌调控因子级联</w:t>
            </w:r>
          </w:p>
        </w:tc>
        <w:tc>
          <w:tcPr>
            <w:tcW w:type="dxa" w:w="1234"/>
            <w:tcBorders>
              <w:top w:val="nil"/>
              <w:left w:val="nil"/>
              <w:bottom w:val="nil"/>
              <w:right w:val="nil"/>
            </w:tcBorders>
            <w:shd w:val="clear" w:color="auto" w:fill="FFFFFF"/>
          </w:tcPr>
          <w:p>
            <w:r/>
            <w:r>
              <w:rPr>
                <w:rFonts w:ascii="Times New Roman" w:hAnsi="Times New Roman" w:eastAsia="SimSun"/>
                <w:sz w:val="18"/>
              </w:rPr>
              <w:t>多种鸡群</w:t>
            </w:r>
          </w:p>
        </w:tc>
        <w:tc>
          <w:tcPr>
            <w:tcW w:type="dxa" w:w="1234"/>
            <w:tcBorders>
              <w:top w:val="nil"/>
              <w:left w:val="nil"/>
              <w:bottom w:val="nil"/>
              <w:right w:val="nil"/>
            </w:tcBorders>
            <w:shd w:val="clear" w:color="auto" w:fill="FFFFFF"/>
          </w:tcPr>
          <w:p>
            <w:r/>
            <w:r>
              <w:rPr>
                <w:rFonts w:ascii="Times New Roman" w:hAnsi="Times New Roman" w:eastAsia="SimSun"/>
                <w:sz w:val="18"/>
              </w:rPr>
              <w:t>[71][72]</w:t>
            </w:r>
          </w:p>
        </w:tc>
      </w:tr>
      <w:tr>
        <w:tc>
          <w:tcPr>
            <w:tcW w:type="dxa" w:w="1234"/>
            <w:tcBorders>
              <w:top w:val="nil"/>
              <w:left w:val="nil"/>
              <w:bottom w:val="nil"/>
              <w:right w:val="nil"/>
            </w:tcBorders>
            <w:shd w:val="clear" w:color="auto" w:fill="FFFFFF"/>
          </w:tcPr>
          <w:p>
            <w:r/>
            <w:r>
              <w:rPr>
                <w:rFonts w:ascii="Times New Roman" w:hAnsi="Times New Roman" w:eastAsia="SimSun"/>
                <w:sz w:val="18"/>
              </w:rPr>
              <w:t>生长与胴体</w:t>
            </w:r>
          </w:p>
        </w:tc>
        <w:tc>
          <w:tcPr>
            <w:tcW w:type="dxa" w:w="1234"/>
            <w:tcBorders>
              <w:top w:val="nil"/>
              <w:left w:val="nil"/>
              <w:bottom w:val="nil"/>
              <w:right w:val="nil"/>
            </w:tcBorders>
            <w:shd w:val="clear" w:color="auto" w:fill="FFFFFF"/>
          </w:tcPr>
          <w:p>
            <w:r/>
            <w:r>
              <w:rPr>
                <w:rFonts w:ascii="Times New Roman" w:hAnsi="Times New Roman" w:eastAsia="SimSun"/>
                <w:sz w:val="18"/>
              </w:rPr>
              <w:t>胸肌发育</w:t>
            </w:r>
          </w:p>
        </w:tc>
        <w:tc>
          <w:tcPr>
            <w:tcW w:type="dxa" w:w="1234"/>
            <w:tcBorders>
              <w:top w:val="nil"/>
              <w:left w:val="nil"/>
              <w:bottom w:val="nil"/>
              <w:right w:val="nil"/>
            </w:tcBorders>
            <w:shd w:val="clear" w:color="auto" w:fill="FFFFFF"/>
          </w:tcPr>
          <w:p>
            <w:r/>
            <w:r>
              <w:rPr>
                <w:rFonts w:ascii="Times New Roman" w:hAnsi="Times New Roman" w:eastAsia="SimSun"/>
                <w:sz w:val="18"/>
              </w:rPr>
              <w:t>ALOX5AP, USPL1, CHRNA9, EFNA5, GJA1</w:t>
            </w:r>
          </w:p>
        </w:tc>
        <w:tc>
          <w:tcPr>
            <w:tcW w:type="dxa" w:w="1234"/>
            <w:tcBorders>
              <w:top w:val="nil"/>
              <w:left w:val="nil"/>
              <w:bottom w:val="nil"/>
              <w:right w:val="nil"/>
            </w:tcBorders>
            <w:shd w:val="clear" w:color="auto" w:fill="FFFFFF"/>
          </w:tcPr>
          <w:p>
            <w:r/>
            <w:r>
              <w:rPr>
                <w:rFonts w:ascii="Times New Roman" w:hAnsi="Times New Roman" w:eastAsia="SimSun"/>
                <w:sz w:val="18"/>
              </w:rPr>
              <w:t>SNP</w:t>
            </w:r>
          </w:p>
        </w:tc>
        <w:tc>
          <w:tcPr>
            <w:tcW w:type="dxa" w:w="1234"/>
            <w:tcBorders>
              <w:top w:val="nil"/>
              <w:left w:val="nil"/>
              <w:bottom w:val="nil"/>
              <w:right w:val="nil"/>
            </w:tcBorders>
            <w:shd w:val="clear" w:color="auto" w:fill="FFFFFF"/>
          </w:tcPr>
          <w:p>
            <w:r/>
            <w:r>
              <w:rPr>
                <w:rFonts w:ascii="Times New Roman" w:hAnsi="Times New Roman" w:eastAsia="SimSun"/>
                <w:sz w:val="18"/>
              </w:rPr>
              <w:t>胸肌发育 GWAS 候选基因</w:t>
            </w:r>
          </w:p>
        </w:tc>
        <w:tc>
          <w:tcPr>
            <w:tcW w:type="dxa" w:w="1234"/>
            <w:tcBorders>
              <w:top w:val="nil"/>
              <w:left w:val="nil"/>
              <w:bottom w:val="nil"/>
              <w:right w:val="nil"/>
            </w:tcBorders>
            <w:shd w:val="clear" w:color="auto" w:fill="FFFFFF"/>
          </w:tcPr>
          <w:p>
            <w:r/>
            <w:r>
              <w:rPr>
                <w:rFonts w:ascii="Times New Roman" w:hAnsi="Times New Roman" w:eastAsia="SimSun"/>
                <w:sz w:val="18"/>
              </w:rPr>
              <w:t>F2 群体、北京油鸡</w:t>
            </w:r>
          </w:p>
        </w:tc>
        <w:tc>
          <w:tcPr>
            <w:tcW w:type="dxa" w:w="1234"/>
            <w:tcBorders>
              <w:top w:val="nil"/>
              <w:left w:val="nil"/>
              <w:bottom w:val="nil"/>
              <w:right w:val="nil"/>
            </w:tcBorders>
            <w:shd w:val="clear" w:color="auto" w:fill="FFFFFF"/>
          </w:tcPr>
          <w:p>
            <w:r/>
            <w:r>
              <w:rPr>
                <w:rFonts w:ascii="Times New Roman" w:hAnsi="Times New Roman" w:eastAsia="SimSun"/>
                <w:sz w:val="18"/>
              </w:rPr>
              <w:t>[73][74]</w:t>
            </w:r>
          </w:p>
        </w:tc>
      </w:tr>
      <w:tr>
        <w:tc>
          <w:tcPr>
            <w:tcW w:type="dxa" w:w="1234"/>
            <w:tcBorders>
              <w:top w:val="nil"/>
              <w:left w:val="nil"/>
              <w:bottom w:val="nil"/>
              <w:right w:val="nil"/>
            </w:tcBorders>
            <w:shd w:val="clear" w:color="auto" w:fill="FFFFFF"/>
          </w:tcPr>
          <w:p>
            <w:r/>
            <w:r>
              <w:rPr>
                <w:rFonts w:ascii="Times New Roman" w:hAnsi="Times New Roman" w:eastAsia="SimSun"/>
                <w:sz w:val="18"/>
              </w:rPr>
              <w:t>生长与胴体</w:t>
            </w:r>
          </w:p>
        </w:tc>
        <w:tc>
          <w:tcPr>
            <w:tcW w:type="dxa" w:w="1234"/>
            <w:tcBorders>
              <w:top w:val="nil"/>
              <w:left w:val="nil"/>
              <w:bottom w:val="nil"/>
              <w:right w:val="nil"/>
            </w:tcBorders>
            <w:shd w:val="clear" w:color="auto" w:fill="FFFFFF"/>
          </w:tcPr>
          <w:p>
            <w:r/>
            <w:r>
              <w:rPr>
                <w:rFonts w:ascii="Times New Roman" w:hAnsi="Times New Roman" w:eastAsia="SimSun"/>
                <w:sz w:val="18"/>
              </w:rPr>
              <w:t>体型</w:t>
            </w:r>
          </w:p>
        </w:tc>
        <w:tc>
          <w:tcPr>
            <w:tcW w:type="dxa" w:w="1234"/>
            <w:tcBorders>
              <w:top w:val="nil"/>
              <w:left w:val="nil"/>
              <w:bottom w:val="nil"/>
              <w:right w:val="nil"/>
            </w:tcBorders>
            <w:shd w:val="clear" w:color="auto" w:fill="FFFFFF"/>
          </w:tcPr>
          <w:p>
            <w:r/>
            <w:r>
              <w:rPr>
                <w:rFonts w:ascii="Times New Roman" w:hAnsi="Times New Roman" w:eastAsia="SimSun"/>
                <w:sz w:val="18"/>
              </w:rPr>
              <w:t>IGF2BP1</w:t>
            </w:r>
          </w:p>
        </w:tc>
        <w:tc>
          <w:tcPr>
            <w:tcW w:type="dxa" w:w="1234"/>
            <w:tcBorders>
              <w:top w:val="nil"/>
              <w:left w:val="nil"/>
              <w:bottom w:val="nil"/>
              <w:right w:val="nil"/>
            </w:tcBorders>
            <w:shd w:val="clear" w:color="auto" w:fill="FFFFFF"/>
          </w:tcPr>
          <w:p>
            <w:r/>
            <w:r>
              <w:rPr>
                <w:rFonts w:ascii="Times New Roman" w:hAnsi="Times New Roman" w:eastAsia="SimSun"/>
                <w:sz w:val="18"/>
              </w:rPr>
              <w:t>启动子缺失 (SV)</w:t>
            </w:r>
          </w:p>
        </w:tc>
        <w:tc>
          <w:tcPr>
            <w:tcW w:type="dxa" w:w="1234"/>
            <w:tcBorders>
              <w:top w:val="nil"/>
              <w:left w:val="nil"/>
              <w:bottom w:val="nil"/>
              <w:right w:val="nil"/>
            </w:tcBorders>
            <w:shd w:val="clear" w:color="auto" w:fill="FFFFFF"/>
          </w:tcPr>
          <w:p>
            <w:r/>
            <w:r>
              <w:rPr>
                <w:rFonts w:ascii="Times New Roman" w:hAnsi="Times New Roman" w:eastAsia="SimSun"/>
                <w:sz w:val="18"/>
              </w:rPr>
              <w:t>提高 IGF2BP1 转录,促进体型增大</w:t>
            </w:r>
          </w:p>
        </w:tc>
        <w:tc>
          <w:tcPr>
            <w:tcW w:type="dxa" w:w="1234"/>
            <w:tcBorders>
              <w:top w:val="nil"/>
              <w:left w:val="nil"/>
              <w:bottom w:val="nil"/>
              <w:right w:val="nil"/>
            </w:tcBorders>
            <w:shd w:val="clear" w:color="auto" w:fill="FFFFFF"/>
          </w:tcPr>
          <w:p>
            <w:r/>
            <w:r>
              <w:t>商业肉鸡、泛基因组样本;详见 Box 1</w:t>
            </w:r>
          </w:p>
        </w:tc>
        <w:tc>
          <w:tcPr>
            <w:tcW w:type="dxa" w:w="1234"/>
            <w:tcBorders>
              <w:top w:val="nil"/>
              <w:left w:val="nil"/>
              <w:bottom w:val="nil"/>
              <w:right w:val="nil"/>
            </w:tcBorders>
            <w:shd w:val="clear" w:color="auto" w:fill="FFFFFF"/>
          </w:tcPr>
          <w:p>
            <w:r/>
            <w:r>
              <w:rPr>
                <w:rFonts w:ascii="Times New Roman" w:hAnsi="Times New Roman" w:eastAsia="SimSun"/>
                <w:sz w:val="18"/>
              </w:rPr>
              <w:t>[8]</w:t>
            </w:r>
          </w:p>
        </w:tc>
      </w:tr>
      <w:tr>
        <w:tc>
          <w:tcPr>
            <w:tcW w:type="dxa" w:w="1234"/>
            <w:tcBorders>
              <w:top w:val="nil"/>
              <w:left w:val="nil"/>
              <w:bottom w:val="nil"/>
              <w:right w:val="nil"/>
            </w:tcBorders>
            <w:shd w:val="clear" w:color="auto" w:fill="FFFFFF"/>
          </w:tcPr>
          <w:p>
            <w:r/>
            <w:r>
              <w:rPr>
                <w:rFonts w:ascii="Times New Roman" w:hAnsi="Times New Roman" w:eastAsia="SimSun"/>
                <w:sz w:val="18"/>
              </w:rPr>
              <w:t>生长与胴体</w:t>
            </w:r>
          </w:p>
        </w:tc>
        <w:tc>
          <w:tcPr>
            <w:tcW w:type="dxa" w:w="1234"/>
            <w:tcBorders>
              <w:top w:val="nil"/>
              <w:left w:val="nil"/>
              <w:bottom w:val="nil"/>
              <w:right w:val="nil"/>
            </w:tcBorders>
            <w:shd w:val="clear" w:color="auto" w:fill="FFFFFF"/>
          </w:tcPr>
          <w:p>
            <w:r/>
            <w:r>
              <w:rPr>
                <w:rFonts w:ascii="Times New Roman" w:hAnsi="Times New Roman" w:eastAsia="SimSun"/>
                <w:sz w:val="18"/>
              </w:rPr>
              <w:t>腹脂沉积</w:t>
            </w:r>
          </w:p>
        </w:tc>
        <w:tc>
          <w:tcPr>
            <w:tcW w:type="dxa" w:w="1234"/>
            <w:tcBorders>
              <w:top w:val="nil"/>
              <w:left w:val="nil"/>
              <w:bottom w:val="nil"/>
              <w:right w:val="nil"/>
            </w:tcBorders>
            <w:shd w:val="clear" w:color="auto" w:fill="FFFFFF"/>
          </w:tcPr>
          <w:p>
            <w:r/>
            <w:r>
              <w:rPr>
                <w:rFonts w:ascii="Times New Roman" w:hAnsi="Times New Roman" w:eastAsia="SimSun"/>
                <w:sz w:val="18"/>
              </w:rPr>
              <w:t>IGFBP2, IGFBP5 (rs734209466 增强子)</w:t>
            </w:r>
          </w:p>
        </w:tc>
        <w:tc>
          <w:tcPr>
            <w:tcW w:type="dxa" w:w="1234"/>
            <w:tcBorders>
              <w:top w:val="nil"/>
              <w:left w:val="nil"/>
              <w:bottom w:val="nil"/>
              <w:right w:val="nil"/>
            </w:tcBorders>
            <w:shd w:val="clear" w:color="auto" w:fill="FFFFFF"/>
          </w:tcPr>
          <w:p>
            <w:r/>
            <w:r>
              <w:rPr>
                <w:rFonts w:ascii="Times New Roman" w:hAnsi="Times New Roman" w:eastAsia="SimSun"/>
                <w:sz w:val="18"/>
              </w:rPr>
              <w:t>非编码调控变异</w:t>
            </w:r>
          </w:p>
        </w:tc>
        <w:tc>
          <w:tcPr>
            <w:tcW w:type="dxa" w:w="1234"/>
            <w:tcBorders>
              <w:top w:val="nil"/>
              <w:left w:val="nil"/>
              <w:bottom w:val="nil"/>
              <w:right w:val="nil"/>
            </w:tcBorders>
            <w:shd w:val="clear" w:color="auto" w:fill="FFFFFF"/>
          </w:tcPr>
          <w:p>
            <w:r/>
            <w:r>
              <w:rPr>
                <w:rFonts w:ascii="Times New Roman" w:hAnsi="Times New Roman" w:eastAsia="SimSun"/>
                <w:sz w:val="18"/>
              </w:rPr>
              <w:t>等位特异性增强子 → 远程调控脂前体细胞</w:t>
            </w:r>
          </w:p>
        </w:tc>
        <w:tc>
          <w:tcPr>
            <w:tcW w:type="dxa" w:w="1234"/>
            <w:tcBorders>
              <w:top w:val="nil"/>
              <w:left w:val="nil"/>
              <w:bottom w:val="nil"/>
              <w:right w:val="nil"/>
            </w:tcBorders>
            <w:shd w:val="clear" w:color="auto" w:fill="FFFFFF"/>
          </w:tcPr>
          <w:p>
            <w:r/>
            <w:r>
              <w:rPr>
                <w:rFonts w:ascii="Times New Roman" w:hAnsi="Times New Roman" w:eastAsia="SimSun"/>
                <w:sz w:val="18"/>
              </w:rPr>
              <w:t>分化选择肉鸡群</w:t>
            </w:r>
          </w:p>
        </w:tc>
        <w:tc>
          <w:tcPr>
            <w:tcW w:type="dxa" w:w="1234"/>
            <w:tcBorders>
              <w:top w:val="nil"/>
              <w:left w:val="nil"/>
              <w:bottom w:val="nil"/>
              <w:right w:val="nil"/>
            </w:tcBorders>
            <w:shd w:val="clear" w:color="auto" w:fill="FFFFFF"/>
          </w:tcPr>
          <w:p>
            <w:r/>
            <w:r>
              <w:rPr>
                <w:rFonts w:ascii="Times New Roman" w:hAnsi="Times New Roman" w:eastAsia="SimSun"/>
                <w:sz w:val="18"/>
              </w:rPr>
              <w:t>[75]</w:t>
            </w:r>
          </w:p>
        </w:tc>
      </w:tr>
      <w:tr>
        <w:tc>
          <w:tcPr>
            <w:tcW w:type="dxa" w:w="1234"/>
            <w:tcBorders>
              <w:top w:val="nil"/>
              <w:left w:val="nil"/>
              <w:bottom w:val="nil"/>
              <w:right w:val="nil"/>
            </w:tcBorders>
            <w:shd w:val="clear" w:color="auto" w:fill="FFFFFF"/>
          </w:tcPr>
          <w:p>
            <w:r/>
            <w:r>
              <w:rPr>
                <w:rFonts w:ascii="Times New Roman" w:hAnsi="Times New Roman" w:eastAsia="SimSun"/>
                <w:sz w:val="18"/>
              </w:rPr>
              <w:t>生长与胴体</w:t>
            </w:r>
          </w:p>
        </w:tc>
        <w:tc>
          <w:tcPr>
            <w:tcW w:type="dxa" w:w="1234"/>
            <w:tcBorders>
              <w:top w:val="nil"/>
              <w:left w:val="nil"/>
              <w:bottom w:val="nil"/>
              <w:right w:val="nil"/>
            </w:tcBorders>
            <w:shd w:val="clear" w:color="auto" w:fill="FFFFFF"/>
          </w:tcPr>
          <w:p>
            <w:r/>
            <w:r>
              <w:rPr>
                <w:rFonts w:ascii="Times New Roman" w:hAnsi="Times New Roman" w:eastAsia="SimSun"/>
                <w:sz w:val="18"/>
              </w:rPr>
              <w:t>肌内脂肪 (IMF)</w:t>
            </w:r>
          </w:p>
        </w:tc>
        <w:tc>
          <w:tcPr>
            <w:tcW w:type="dxa" w:w="1234"/>
            <w:tcBorders>
              <w:top w:val="nil"/>
              <w:left w:val="nil"/>
              <w:bottom w:val="nil"/>
              <w:right w:val="nil"/>
            </w:tcBorders>
            <w:shd w:val="clear" w:color="auto" w:fill="FFFFFF"/>
          </w:tcPr>
          <w:p>
            <w:r/>
            <w:r>
              <w:rPr>
                <w:rFonts w:ascii="Times New Roman" w:hAnsi="Times New Roman" w:eastAsia="SimSun"/>
                <w:sz w:val="18"/>
              </w:rPr>
              <w:t>FABP3, FABP4, PPARG, LPL, ELOVL3, H-FABP</w:t>
            </w:r>
          </w:p>
        </w:tc>
        <w:tc>
          <w:tcPr>
            <w:tcW w:type="dxa" w:w="1234"/>
            <w:tcBorders>
              <w:top w:val="nil"/>
              <w:left w:val="nil"/>
              <w:bottom w:val="nil"/>
              <w:right w:val="nil"/>
            </w:tcBorders>
            <w:shd w:val="clear" w:color="auto" w:fill="FFFFFF"/>
          </w:tcPr>
          <w:p>
            <w:r/>
            <w:r>
              <w:rPr>
                <w:rFonts w:ascii="Times New Roman" w:hAnsi="Times New Roman" w:eastAsia="SimSun"/>
                <w:sz w:val="18"/>
              </w:rPr>
              <w:t>编码/启动子 SNP</w:t>
            </w:r>
          </w:p>
        </w:tc>
        <w:tc>
          <w:tcPr>
            <w:tcW w:type="dxa" w:w="1234"/>
            <w:tcBorders>
              <w:top w:val="nil"/>
              <w:left w:val="nil"/>
              <w:bottom w:val="nil"/>
              <w:right w:val="nil"/>
            </w:tcBorders>
            <w:shd w:val="clear" w:color="auto" w:fill="FFFFFF"/>
          </w:tcPr>
          <w:p>
            <w:r/>
            <w:r>
              <w:rPr>
                <w:rFonts w:ascii="Times New Roman" w:hAnsi="Times New Roman" w:eastAsia="SimSun"/>
                <w:sz w:val="18"/>
              </w:rPr>
              <w:t>脂质代谢、脂肪细胞分化</w:t>
            </w:r>
          </w:p>
        </w:tc>
        <w:tc>
          <w:tcPr>
            <w:tcW w:type="dxa" w:w="1234"/>
            <w:tcBorders>
              <w:top w:val="nil"/>
              <w:left w:val="nil"/>
              <w:bottom w:val="nil"/>
              <w:right w:val="nil"/>
            </w:tcBorders>
            <w:shd w:val="clear" w:color="auto" w:fill="FFFFFF"/>
          </w:tcPr>
          <w:p>
            <w:r/>
            <w:r>
              <w:rPr>
                <w:rFonts w:ascii="Times New Roman" w:hAnsi="Times New Roman" w:eastAsia="SimSun"/>
                <w:sz w:val="18"/>
              </w:rPr>
              <w:t>三黄鸡、和田黑鸡等</w:t>
            </w:r>
          </w:p>
        </w:tc>
        <w:tc>
          <w:tcPr>
            <w:tcW w:type="dxa" w:w="1234"/>
            <w:tcBorders>
              <w:top w:val="nil"/>
              <w:left w:val="nil"/>
              <w:bottom w:val="nil"/>
              <w:right w:val="nil"/>
            </w:tcBorders>
            <w:shd w:val="clear" w:color="auto" w:fill="FFFFFF"/>
          </w:tcPr>
          <w:p>
            <w:r/>
            <w:r>
              <w:rPr>
                <w:rFonts w:ascii="Times New Roman" w:hAnsi="Times New Roman" w:eastAsia="SimSun"/>
                <w:sz w:val="18"/>
              </w:rPr>
              <w:t>[76]</w:t>
            </w:r>
          </w:p>
        </w:tc>
      </w:tr>
      <w:tr>
        <w:tc>
          <w:tcPr>
            <w:tcW w:type="dxa" w:w="1234"/>
            <w:tcBorders>
              <w:top w:val="nil"/>
              <w:left w:val="nil"/>
              <w:bottom w:val="nil"/>
              <w:right w:val="nil"/>
            </w:tcBorders>
            <w:shd w:val="clear" w:color="auto" w:fill="FFFFFF"/>
          </w:tcPr>
          <w:p>
            <w:r/>
            <w:r>
              <w:rPr>
                <w:rFonts w:ascii="Times New Roman" w:hAnsi="Times New Roman" w:eastAsia="SimSun"/>
                <w:sz w:val="18"/>
              </w:rPr>
              <w:t>生长与胴体</w:t>
            </w:r>
          </w:p>
        </w:tc>
        <w:tc>
          <w:tcPr>
            <w:tcW w:type="dxa" w:w="1234"/>
            <w:tcBorders>
              <w:top w:val="nil"/>
              <w:left w:val="nil"/>
              <w:bottom w:val="nil"/>
              <w:right w:val="nil"/>
            </w:tcBorders>
            <w:shd w:val="clear" w:color="auto" w:fill="FFFFFF"/>
          </w:tcPr>
          <w:p>
            <w:r/>
            <w:r>
              <w:rPr>
                <w:rFonts w:ascii="Times New Roman" w:hAnsi="Times New Roman" w:eastAsia="SimSun"/>
                <w:sz w:val="18"/>
              </w:rPr>
              <w:t>IMF</w:t>
            </w:r>
          </w:p>
        </w:tc>
        <w:tc>
          <w:tcPr>
            <w:tcW w:type="dxa" w:w="1234"/>
            <w:tcBorders>
              <w:top w:val="nil"/>
              <w:left w:val="nil"/>
              <w:bottom w:val="nil"/>
              <w:right w:val="nil"/>
            </w:tcBorders>
            <w:shd w:val="clear" w:color="auto" w:fill="FFFFFF"/>
          </w:tcPr>
          <w:p>
            <w:r/>
            <w:r>
              <w:rPr>
                <w:rFonts w:ascii="Times New Roman" w:hAnsi="Times New Roman" w:eastAsia="SimSun"/>
                <w:sz w:val="18"/>
              </w:rPr>
              <w:t>lncRNA IMFNCR</w:t>
            </w:r>
          </w:p>
        </w:tc>
        <w:tc>
          <w:tcPr>
            <w:tcW w:type="dxa" w:w="1234"/>
            <w:tcBorders>
              <w:top w:val="nil"/>
              <w:left w:val="nil"/>
              <w:bottom w:val="nil"/>
              <w:right w:val="nil"/>
            </w:tcBorders>
            <w:shd w:val="clear" w:color="auto" w:fill="FFFFFF"/>
          </w:tcPr>
          <w:p>
            <w:r/>
            <w:r>
              <w:rPr>
                <w:rFonts w:ascii="Times New Roman" w:hAnsi="Times New Roman" w:eastAsia="SimSun"/>
                <w:sz w:val="18"/>
              </w:rPr>
              <w:t>lncRNA 表达</w:t>
            </w:r>
          </w:p>
        </w:tc>
        <w:tc>
          <w:tcPr>
            <w:tcW w:type="dxa" w:w="1234"/>
            <w:tcBorders>
              <w:top w:val="nil"/>
              <w:left w:val="nil"/>
              <w:bottom w:val="nil"/>
              <w:right w:val="nil"/>
            </w:tcBorders>
            <w:shd w:val="clear" w:color="auto" w:fill="FFFFFF"/>
          </w:tcPr>
          <w:p>
            <w:r/>
            <w:r>
              <w:rPr>
                <w:rFonts w:ascii="Times New Roman" w:hAnsi="Times New Roman" w:eastAsia="SimSun"/>
                <w:sz w:val="18"/>
              </w:rPr>
              <w:t>吸附 miR-128-3p / miR-27b-3p,解除对 PPARG 抑制</w:t>
            </w:r>
          </w:p>
        </w:tc>
        <w:tc>
          <w:tcPr>
            <w:tcW w:type="dxa" w:w="1234"/>
            <w:tcBorders>
              <w:top w:val="nil"/>
              <w:left w:val="nil"/>
              <w:bottom w:val="nil"/>
              <w:right w:val="nil"/>
            </w:tcBorders>
            <w:shd w:val="clear" w:color="auto" w:fill="FFFFFF"/>
          </w:tcPr>
          <w:p>
            <w:r/>
            <w:r>
              <w:rPr>
                <w:rFonts w:ascii="Times New Roman" w:hAnsi="Times New Roman" w:eastAsia="SimSun"/>
                <w:sz w:val="18"/>
              </w:rPr>
              <w:t>鸡肌内脂肪细胞</w:t>
            </w:r>
          </w:p>
        </w:tc>
        <w:tc>
          <w:tcPr>
            <w:tcW w:type="dxa" w:w="1234"/>
            <w:tcBorders>
              <w:top w:val="nil"/>
              <w:left w:val="nil"/>
              <w:bottom w:val="nil"/>
              <w:right w:val="nil"/>
            </w:tcBorders>
            <w:shd w:val="clear" w:color="auto" w:fill="FFFFFF"/>
          </w:tcPr>
          <w:p>
            <w:r/>
            <w:r>
              <w:rPr>
                <w:rFonts w:ascii="Times New Roman" w:hAnsi="Times New Roman" w:eastAsia="SimSun"/>
                <w:sz w:val="18"/>
              </w:rPr>
              <w:t>[77]</w:t>
            </w:r>
          </w:p>
        </w:tc>
      </w:tr>
      <w:tr>
        <w:tc>
          <w:tcPr>
            <w:tcW w:type="dxa" w:w="1234"/>
            <w:tcBorders>
              <w:top w:val="nil"/>
              <w:left w:val="nil"/>
              <w:bottom w:val="nil"/>
              <w:right w:val="nil"/>
            </w:tcBorders>
            <w:shd w:val="clear" w:color="auto" w:fill="FFFFFF"/>
          </w:tcPr>
          <w:p>
            <w:r/>
            <w:r>
              <w:rPr>
                <w:rFonts w:ascii="Times New Roman" w:hAnsi="Times New Roman" w:eastAsia="SimSun"/>
                <w:sz w:val="18"/>
              </w:rPr>
              <w:t>生长与胴体</w:t>
            </w:r>
          </w:p>
        </w:tc>
        <w:tc>
          <w:tcPr>
            <w:tcW w:type="dxa" w:w="1234"/>
            <w:tcBorders>
              <w:top w:val="nil"/>
              <w:left w:val="nil"/>
              <w:bottom w:val="nil"/>
              <w:right w:val="nil"/>
            </w:tcBorders>
            <w:shd w:val="clear" w:color="auto" w:fill="FFFFFF"/>
          </w:tcPr>
          <w:p>
            <w:r/>
            <w:r>
              <w:rPr>
                <w:rFonts w:ascii="Times New Roman" w:hAnsi="Times New Roman" w:eastAsia="SimSun"/>
                <w:sz w:val="18"/>
              </w:rPr>
              <w:t>肉质嫩度</w:t>
            </w:r>
          </w:p>
        </w:tc>
        <w:tc>
          <w:tcPr>
            <w:tcW w:type="dxa" w:w="1234"/>
            <w:tcBorders>
              <w:top w:val="nil"/>
              <w:left w:val="nil"/>
              <w:bottom w:val="nil"/>
              <w:right w:val="nil"/>
            </w:tcBorders>
            <w:shd w:val="clear" w:color="auto" w:fill="FFFFFF"/>
          </w:tcPr>
          <w:p>
            <w:r/>
            <w:r>
              <w:rPr>
                <w:rFonts w:ascii="Times New Roman" w:hAnsi="Times New Roman" w:eastAsia="SimSun"/>
                <w:sz w:val="18"/>
              </w:rPr>
              <w:t>CAPN1, CAST</w:t>
            </w:r>
          </w:p>
        </w:tc>
        <w:tc>
          <w:tcPr>
            <w:tcW w:type="dxa" w:w="1234"/>
            <w:tcBorders>
              <w:top w:val="nil"/>
              <w:left w:val="nil"/>
              <w:bottom w:val="nil"/>
              <w:right w:val="nil"/>
            </w:tcBorders>
            <w:shd w:val="clear" w:color="auto" w:fill="FFFFFF"/>
          </w:tcPr>
          <w:p>
            <w:r/>
            <w:r>
              <w:rPr>
                <w:rFonts w:ascii="Times New Roman" w:hAnsi="Times New Roman" w:eastAsia="SimSun"/>
                <w:sz w:val="18"/>
              </w:rPr>
              <w:t>编码区 SNP</w:t>
            </w:r>
          </w:p>
        </w:tc>
        <w:tc>
          <w:tcPr>
            <w:tcW w:type="dxa" w:w="1234"/>
            <w:tcBorders>
              <w:top w:val="nil"/>
              <w:left w:val="nil"/>
              <w:bottom w:val="nil"/>
              <w:right w:val="nil"/>
            </w:tcBorders>
            <w:shd w:val="clear" w:color="auto" w:fill="FFFFFF"/>
          </w:tcPr>
          <w:p>
            <w:r/>
            <w:r>
              <w:rPr>
                <w:rFonts w:ascii="Times New Roman" w:hAnsi="Times New Roman" w:eastAsia="SimSun"/>
                <w:sz w:val="18"/>
              </w:rPr>
              <w:t>钙蛋白酶系统介导的宰后嫩化</w:t>
            </w:r>
          </w:p>
        </w:tc>
        <w:tc>
          <w:tcPr>
            <w:tcW w:type="dxa" w:w="1234"/>
            <w:tcBorders>
              <w:top w:val="nil"/>
              <w:left w:val="nil"/>
              <w:bottom w:val="nil"/>
              <w:right w:val="nil"/>
            </w:tcBorders>
            <w:shd w:val="clear" w:color="auto" w:fill="FFFFFF"/>
          </w:tcPr>
          <w:p>
            <w:r/>
            <w:r>
              <w:rPr>
                <w:rFonts w:ascii="Times New Roman" w:hAnsi="Times New Roman" w:eastAsia="SimSun"/>
                <w:sz w:val="18"/>
              </w:rPr>
              <w:t>地方鸡、商业肉鸡</w:t>
            </w:r>
          </w:p>
        </w:tc>
        <w:tc>
          <w:tcPr>
            <w:tcW w:type="dxa" w:w="1234"/>
            <w:tcBorders>
              <w:top w:val="nil"/>
              <w:left w:val="nil"/>
              <w:bottom w:val="nil"/>
              <w:right w:val="nil"/>
            </w:tcBorders>
            <w:shd w:val="clear" w:color="auto" w:fill="FFFFFF"/>
          </w:tcPr>
          <w:p>
            <w:r/>
            <w:r>
              <w:rPr>
                <w:rFonts w:ascii="Times New Roman" w:hAnsi="Times New Roman" w:eastAsia="SimSun"/>
                <w:sz w:val="18"/>
              </w:rPr>
              <w:t>[78][79]</w:t>
            </w:r>
          </w:p>
        </w:tc>
      </w:tr>
      <w:tr>
        <w:tc>
          <w:tcPr>
            <w:tcW w:type="dxa" w:w="1234"/>
            <w:tcBorders>
              <w:top w:val="nil"/>
              <w:left w:val="nil"/>
              <w:bottom w:val="nil"/>
              <w:right w:val="nil"/>
            </w:tcBorders>
            <w:shd w:val="clear" w:color="auto" w:fill="FFFFFF"/>
          </w:tcPr>
          <w:p>
            <w:r/>
            <w:r>
              <w:rPr>
                <w:rFonts w:ascii="Times New Roman" w:hAnsi="Times New Roman" w:eastAsia="SimSun"/>
                <w:sz w:val="18"/>
              </w:rPr>
              <w:t>生长与胴体</w:t>
            </w:r>
          </w:p>
        </w:tc>
        <w:tc>
          <w:tcPr>
            <w:tcW w:type="dxa" w:w="1234"/>
            <w:tcBorders>
              <w:top w:val="nil"/>
              <w:left w:val="nil"/>
              <w:bottom w:val="nil"/>
              <w:right w:val="nil"/>
            </w:tcBorders>
            <w:shd w:val="clear" w:color="auto" w:fill="FFFFFF"/>
          </w:tcPr>
          <w:p>
            <w:r/>
            <w:r>
              <w:rPr>
                <w:rFonts w:ascii="Times New Roman" w:hAnsi="Times New Roman" w:eastAsia="SimSun"/>
                <w:sz w:val="18"/>
              </w:rPr>
              <w:t>肌苷酸 (IMP)</w:t>
            </w:r>
          </w:p>
        </w:tc>
        <w:tc>
          <w:tcPr>
            <w:tcW w:type="dxa" w:w="1234"/>
            <w:tcBorders>
              <w:top w:val="nil"/>
              <w:left w:val="nil"/>
              <w:bottom w:val="nil"/>
              <w:right w:val="nil"/>
            </w:tcBorders>
            <w:shd w:val="clear" w:color="auto" w:fill="FFFFFF"/>
          </w:tcPr>
          <w:p>
            <w:r/>
            <w:r>
              <w:rPr>
                <w:rFonts w:ascii="Times New Roman" w:hAnsi="Times New Roman" w:eastAsia="SimSun"/>
                <w:sz w:val="18"/>
              </w:rPr>
              <w:t>ADSL</w:t>
            </w:r>
          </w:p>
        </w:tc>
        <w:tc>
          <w:tcPr>
            <w:tcW w:type="dxa" w:w="1234"/>
            <w:tcBorders>
              <w:top w:val="nil"/>
              <w:left w:val="nil"/>
              <w:bottom w:val="nil"/>
              <w:right w:val="nil"/>
            </w:tcBorders>
            <w:shd w:val="clear" w:color="auto" w:fill="FFFFFF"/>
          </w:tcPr>
          <w:p>
            <w:r/>
            <w:r>
              <w:rPr>
                <w:rFonts w:ascii="Times New Roman" w:hAnsi="Times New Roman" w:eastAsia="SimSun"/>
                <w:sz w:val="18"/>
              </w:rPr>
              <w:t>SNP</w:t>
            </w:r>
          </w:p>
        </w:tc>
        <w:tc>
          <w:tcPr>
            <w:tcW w:type="dxa" w:w="1234"/>
            <w:tcBorders>
              <w:top w:val="nil"/>
              <w:left w:val="nil"/>
              <w:bottom w:val="nil"/>
              <w:right w:val="nil"/>
            </w:tcBorders>
            <w:shd w:val="clear" w:color="auto" w:fill="FFFFFF"/>
          </w:tcPr>
          <w:p>
            <w:r/>
            <w:r>
              <w:rPr>
                <w:rFonts w:ascii="Times New Roman" w:hAnsi="Times New Roman" w:eastAsia="SimSun"/>
                <w:sz w:val="18"/>
              </w:rPr>
              <w:t>嘌呤代谢酶,影响 IMP 沉积</w:t>
            </w:r>
          </w:p>
        </w:tc>
        <w:tc>
          <w:tcPr>
            <w:tcW w:type="dxa" w:w="1234"/>
            <w:tcBorders>
              <w:top w:val="nil"/>
              <w:left w:val="nil"/>
              <w:bottom w:val="nil"/>
              <w:right w:val="nil"/>
            </w:tcBorders>
            <w:shd w:val="clear" w:color="auto" w:fill="FFFFFF"/>
          </w:tcPr>
          <w:p>
            <w:r/>
            <w:r>
              <w:rPr>
                <w:rFonts w:ascii="Times New Roman" w:hAnsi="Times New Roman" w:eastAsia="SimSun"/>
                <w:sz w:val="18"/>
              </w:rPr>
              <w:t>优质地方鸡</w:t>
            </w:r>
          </w:p>
        </w:tc>
        <w:tc>
          <w:tcPr>
            <w:tcW w:type="dxa" w:w="1234"/>
            <w:tcBorders>
              <w:top w:val="nil"/>
              <w:left w:val="nil"/>
              <w:bottom w:val="nil"/>
              <w:right w:val="nil"/>
            </w:tcBorders>
            <w:shd w:val="clear" w:color="auto" w:fill="FFFFFF"/>
          </w:tcPr>
          <w:p>
            <w:r/>
            <w:r>
              <w:rPr>
                <w:rFonts w:ascii="Times New Roman" w:hAnsi="Times New Roman" w:eastAsia="SimSun"/>
                <w:sz w:val="18"/>
              </w:rPr>
              <w:t>[80]</w:t>
            </w:r>
          </w:p>
        </w:tc>
      </w:tr>
      <w:tr>
        <w:tc>
          <w:tcPr>
            <w:tcW w:type="dxa" w:w="1234"/>
            <w:tcBorders>
              <w:top w:val="nil"/>
              <w:left w:val="nil"/>
              <w:bottom w:val="nil"/>
              <w:right w:val="nil"/>
            </w:tcBorders>
            <w:shd w:val="clear" w:color="auto" w:fill="FFFFFF"/>
          </w:tcPr>
          <w:p>
            <w:r/>
            <w:r>
              <w:rPr>
                <w:rFonts w:ascii="Times New Roman" w:hAnsi="Times New Roman" w:eastAsia="SimSun"/>
                <w:sz w:val="18"/>
              </w:rPr>
              <w:t>繁殖与产蛋</w:t>
            </w:r>
          </w:p>
        </w:tc>
        <w:tc>
          <w:tcPr>
            <w:tcW w:type="dxa" w:w="1234"/>
            <w:tcBorders>
              <w:top w:val="nil"/>
              <w:left w:val="nil"/>
              <w:bottom w:val="nil"/>
              <w:right w:val="nil"/>
            </w:tcBorders>
            <w:shd w:val="clear" w:color="auto" w:fill="FFFFFF"/>
          </w:tcPr>
          <w:p>
            <w:r/>
            <w:r>
              <w:rPr>
                <w:rFonts w:ascii="Times New Roman" w:hAnsi="Times New Roman" w:eastAsia="SimSun"/>
                <w:sz w:val="18"/>
              </w:rPr>
              <w:t>HPO 轴调控</w:t>
            </w:r>
          </w:p>
        </w:tc>
        <w:tc>
          <w:tcPr>
            <w:tcW w:type="dxa" w:w="1234"/>
            <w:tcBorders>
              <w:top w:val="nil"/>
              <w:left w:val="nil"/>
              <w:bottom w:val="nil"/>
              <w:right w:val="nil"/>
            </w:tcBorders>
            <w:shd w:val="clear" w:color="auto" w:fill="FFFFFF"/>
          </w:tcPr>
          <w:p>
            <w:r/>
            <w:r>
              <w:rPr>
                <w:rFonts w:ascii="Times New Roman" w:hAnsi="Times New Roman" w:eastAsia="SimSun"/>
                <w:sz w:val="18"/>
              </w:rPr>
              <w:t>TFPI2, CAMK2D, OSTN</w:t>
            </w:r>
          </w:p>
        </w:tc>
        <w:tc>
          <w:tcPr>
            <w:tcW w:type="dxa" w:w="1234"/>
            <w:tcBorders>
              <w:top w:val="nil"/>
              <w:left w:val="nil"/>
              <w:bottom w:val="nil"/>
              <w:right w:val="nil"/>
            </w:tcBorders>
            <w:shd w:val="clear" w:color="auto" w:fill="FFFFFF"/>
          </w:tcPr>
          <w:p>
            <w:r/>
            <w:r>
              <w:rPr>
                <w:rFonts w:ascii="Times New Roman" w:hAnsi="Times New Roman" w:eastAsia="SimSun"/>
                <w:sz w:val="18"/>
              </w:rPr>
              <w:t>SNP / 表达调控</w:t>
            </w:r>
          </w:p>
        </w:tc>
        <w:tc>
          <w:tcPr>
            <w:tcW w:type="dxa" w:w="1234"/>
            <w:tcBorders>
              <w:top w:val="nil"/>
              <w:left w:val="nil"/>
              <w:bottom w:val="nil"/>
              <w:right w:val="nil"/>
            </w:tcBorders>
            <w:shd w:val="clear" w:color="auto" w:fill="FFFFFF"/>
          </w:tcPr>
          <w:p>
            <w:r/>
            <w:r>
              <w:rPr>
                <w:rFonts w:ascii="Times New Roman" w:hAnsi="Times New Roman" w:eastAsia="SimSun"/>
                <w:sz w:val="18"/>
              </w:rPr>
              <w:t>GnRH 分泌、FSHB/LHB 表达、颗粒细胞类固醇合成</w:t>
            </w:r>
          </w:p>
        </w:tc>
        <w:tc>
          <w:tcPr>
            <w:tcW w:type="dxa" w:w="1234"/>
            <w:tcBorders>
              <w:top w:val="nil"/>
              <w:left w:val="nil"/>
              <w:bottom w:val="nil"/>
              <w:right w:val="nil"/>
            </w:tcBorders>
            <w:shd w:val="clear" w:color="auto" w:fill="FFFFFF"/>
          </w:tcPr>
          <w:p>
            <w:r/>
            <w:r>
              <w:rPr>
                <w:rFonts w:ascii="Times New Roman" w:hAnsi="Times New Roman" w:eastAsia="SimSun"/>
                <w:sz w:val="18"/>
              </w:rPr>
              <w:t>高/低产蛋鸡</w:t>
            </w:r>
          </w:p>
        </w:tc>
        <w:tc>
          <w:tcPr>
            <w:tcW w:type="dxa" w:w="1234"/>
            <w:tcBorders>
              <w:top w:val="nil"/>
              <w:left w:val="nil"/>
              <w:bottom w:val="nil"/>
              <w:right w:val="nil"/>
            </w:tcBorders>
            <w:shd w:val="clear" w:color="auto" w:fill="FFFFFF"/>
          </w:tcPr>
          <w:p>
            <w:r/>
            <w:r>
              <w:rPr>
                <w:rFonts w:ascii="Times New Roman" w:hAnsi="Times New Roman" w:eastAsia="SimSun"/>
                <w:sz w:val="18"/>
              </w:rPr>
              <w:t>[81]</w:t>
            </w:r>
          </w:p>
        </w:tc>
      </w:tr>
      <w:tr>
        <w:tc>
          <w:tcPr>
            <w:tcW w:type="dxa" w:w="1234"/>
            <w:tcBorders>
              <w:top w:val="nil"/>
              <w:left w:val="nil"/>
              <w:bottom w:val="nil"/>
              <w:right w:val="nil"/>
            </w:tcBorders>
            <w:shd w:val="clear" w:color="auto" w:fill="FFFFFF"/>
          </w:tcPr>
          <w:p>
            <w:r/>
            <w:r>
              <w:rPr>
                <w:rFonts w:ascii="Times New Roman" w:hAnsi="Times New Roman" w:eastAsia="SimSun"/>
                <w:sz w:val="18"/>
              </w:rPr>
              <w:t>繁殖与产蛋</w:t>
            </w:r>
          </w:p>
        </w:tc>
        <w:tc>
          <w:tcPr>
            <w:tcW w:type="dxa" w:w="1234"/>
            <w:tcBorders>
              <w:top w:val="nil"/>
              <w:left w:val="nil"/>
              <w:bottom w:val="nil"/>
              <w:right w:val="nil"/>
            </w:tcBorders>
            <w:shd w:val="clear" w:color="auto" w:fill="FFFFFF"/>
          </w:tcPr>
          <w:p>
            <w:r/>
            <w:r>
              <w:rPr>
                <w:rFonts w:ascii="Times New Roman" w:hAnsi="Times New Roman" w:eastAsia="SimSun"/>
                <w:sz w:val="18"/>
              </w:rPr>
              <w:t>组织间通讯</w:t>
            </w:r>
          </w:p>
        </w:tc>
        <w:tc>
          <w:tcPr>
            <w:tcW w:type="dxa" w:w="1234"/>
            <w:tcBorders>
              <w:top w:val="nil"/>
              <w:left w:val="nil"/>
              <w:bottom w:val="nil"/>
              <w:right w:val="nil"/>
            </w:tcBorders>
            <w:shd w:val="clear" w:color="auto" w:fill="FFFFFF"/>
          </w:tcPr>
          <w:p>
            <w:r/>
            <w:r>
              <w:rPr>
                <w:rFonts w:ascii="Times New Roman" w:hAnsi="Times New Roman" w:eastAsia="SimSun"/>
                <w:sz w:val="18"/>
              </w:rPr>
              <w:t>APOA4 (肝), ANGPTL2 (脂肪)</w:t>
            </w:r>
          </w:p>
        </w:tc>
        <w:tc>
          <w:tcPr>
            <w:tcW w:type="dxa" w:w="1234"/>
            <w:tcBorders>
              <w:top w:val="nil"/>
              <w:left w:val="nil"/>
              <w:bottom w:val="nil"/>
              <w:right w:val="nil"/>
            </w:tcBorders>
            <w:shd w:val="clear" w:color="auto" w:fill="FFFFFF"/>
          </w:tcPr>
          <w:p>
            <w:r/>
            <w:r>
              <w:rPr>
                <w:rFonts w:ascii="Times New Roman" w:hAnsi="Times New Roman" w:eastAsia="SimSun"/>
                <w:sz w:val="18"/>
              </w:rPr>
              <w:t>表达水平</w:t>
            </w:r>
          </w:p>
        </w:tc>
        <w:tc>
          <w:tcPr>
            <w:tcW w:type="dxa" w:w="1234"/>
            <w:tcBorders>
              <w:top w:val="nil"/>
              <w:left w:val="nil"/>
              <w:bottom w:val="nil"/>
              <w:right w:val="nil"/>
            </w:tcBorders>
            <w:shd w:val="clear" w:color="auto" w:fill="FFFFFF"/>
          </w:tcPr>
          <w:p>
            <w:r/>
            <w:r>
              <w:rPr>
                <w:rFonts w:ascii="Times New Roman" w:hAnsi="Times New Roman" w:eastAsia="SimSun"/>
                <w:sz w:val="18"/>
              </w:rPr>
              <w:t>肝-生殖轴-脂肪组织间代谢通讯</w:t>
            </w:r>
          </w:p>
        </w:tc>
        <w:tc>
          <w:tcPr>
            <w:tcW w:type="dxa" w:w="1234"/>
            <w:tcBorders>
              <w:top w:val="nil"/>
              <w:left w:val="nil"/>
              <w:bottom w:val="nil"/>
              <w:right w:val="nil"/>
            </w:tcBorders>
            <w:shd w:val="clear" w:color="auto" w:fill="FFFFFF"/>
          </w:tcPr>
          <w:p>
            <w:r/>
            <w:r>
              <w:rPr>
                <w:rFonts w:ascii="Times New Roman" w:hAnsi="Times New Roman" w:eastAsia="SimSun"/>
                <w:sz w:val="18"/>
              </w:rPr>
              <w:t>高产蛋鸡</w:t>
            </w:r>
          </w:p>
        </w:tc>
        <w:tc>
          <w:tcPr>
            <w:tcW w:type="dxa" w:w="1234"/>
            <w:tcBorders>
              <w:top w:val="nil"/>
              <w:left w:val="nil"/>
              <w:bottom w:val="nil"/>
              <w:right w:val="nil"/>
            </w:tcBorders>
            <w:shd w:val="clear" w:color="auto" w:fill="FFFFFF"/>
          </w:tcPr>
          <w:p>
            <w:r/>
            <w:r>
              <w:rPr>
                <w:rFonts w:ascii="Times New Roman" w:hAnsi="Times New Roman" w:eastAsia="SimSun"/>
                <w:sz w:val="18"/>
              </w:rPr>
              <w:t>[81]</w:t>
            </w:r>
          </w:p>
        </w:tc>
      </w:tr>
      <w:tr>
        <w:tc>
          <w:tcPr>
            <w:tcW w:type="dxa" w:w="1234"/>
            <w:tcBorders>
              <w:top w:val="nil"/>
              <w:left w:val="nil"/>
              <w:bottom w:val="nil"/>
              <w:right w:val="nil"/>
            </w:tcBorders>
            <w:shd w:val="clear" w:color="auto" w:fill="FFFFFF"/>
          </w:tcPr>
          <w:p>
            <w:r/>
            <w:r>
              <w:rPr>
                <w:rFonts w:ascii="Times New Roman" w:hAnsi="Times New Roman" w:eastAsia="SimSun"/>
                <w:sz w:val="18"/>
              </w:rPr>
              <w:t>繁殖与产蛋</w:t>
            </w:r>
          </w:p>
        </w:tc>
        <w:tc>
          <w:tcPr>
            <w:tcW w:type="dxa" w:w="1234"/>
            <w:tcBorders>
              <w:top w:val="nil"/>
              <w:left w:val="nil"/>
              <w:bottom w:val="nil"/>
              <w:right w:val="nil"/>
            </w:tcBorders>
            <w:shd w:val="clear" w:color="auto" w:fill="FFFFFF"/>
          </w:tcPr>
          <w:p>
            <w:r/>
            <w:r>
              <w:rPr>
                <w:rFonts w:ascii="Times New Roman" w:hAnsi="Times New Roman" w:eastAsia="SimSun"/>
                <w:sz w:val="18"/>
              </w:rPr>
              <w:t>卵泡发育</w:t>
            </w:r>
          </w:p>
        </w:tc>
        <w:tc>
          <w:tcPr>
            <w:tcW w:type="dxa" w:w="1234"/>
            <w:tcBorders>
              <w:top w:val="nil"/>
              <w:left w:val="nil"/>
              <w:bottom w:val="nil"/>
              <w:right w:val="nil"/>
            </w:tcBorders>
            <w:shd w:val="clear" w:color="auto" w:fill="FFFFFF"/>
          </w:tcPr>
          <w:p>
            <w:r/>
            <w:r>
              <w:rPr>
                <w:rFonts w:ascii="Times New Roman" w:hAnsi="Times New Roman" w:eastAsia="SimSun"/>
                <w:sz w:val="18"/>
              </w:rPr>
              <w:t>PHIP (chr3 内含子 A&gt;T)</w:t>
            </w:r>
          </w:p>
        </w:tc>
        <w:tc>
          <w:tcPr>
            <w:tcW w:type="dxa" w:w="1234"/>
            <w:tcBorders>
              <w:top w:val="nil"/>
              <w:left w:val="nil"/>
              <w:bottom w:val="nil"/>
              <w:right w:val="nil"/>
            </w:tcBorders>
            <w:shd w:val="clear" w:color="auto" w:fill="FFFFFF"/>
          </w:tcPr>
          <w:p>
            <w:r/>
            <w:r>
              <w:rPr>
                <w:rFonts w:ascii="Times New Roman" w:hAnsi="Times New Roman" w:eastAsia="SimSun"/>
                <w:sz w:val="18"/>
              </w:rPr>
              <w:t>非编码 SNP</w:t>
            </w:r>
          </w:p>
        </w:tc>
        <w:tc>
          <w:tcPr>
            <w:tcW w:type="dxa" w:w="1234"/>
            <w:tcBorders>
              <w:top w:val="nil"/>
              <w:left w:val="nil"/>
              <w:bottom w:val="nil"/>
              <w:right w:val="nil"/>
            </w:tcBorders>
            <w:shd w:val="clear" w:color="auto" w:fill="FFFFFF"/>
          </w:tcPr>
          <w:p>
            <w:r/>
            <w:r>
              <w:rPr>
                <w:rFonts w:ascii="Times New Roman" w:hAnsi="Times New Roman" w:eastAsia="SimSun"/>
                <w:sz w:val="18"/>
              </w:rPr>
              <w:t>增强 FOXI1 结合,上调 PHIP,促颗粒细胞增殖</w:t>
            </w:r>
          </w:p>
        </w:tc>
        <w:tc>
          <w:tcPr>
            <w:tcW w:type="dxa" w:w="1234"/>
            <w:tcBorders>
              <w:top w:val="nil"/>
              <w:left w:val="nil"/>
              <w:bottom w:val="nil"/>
              <w:right w:val="nil"/>
            </w:tcBorders>
            <w:shd w:val="clear" w:color="auto" w:fill="FFFFFF"/>
          </w:tcPr>
          <w:p>
            <w:r/>
            <w:r>
              <w:rPr>
                <w:rFonts w:ascii="Times New Roman" w:hAnsi="Times New Roman" w:eastAsia="SimSun"/>
                <w:sz w:val="18"/>
              </w:rPr>
              <w:t>高/低产蛋鸡</w:t>
            </w:r>
          </w:p>
        </w:tc>
        <w:tc>
          <w:tcPr>
            <w:tcW w:type="dxa" w:w="1234"/>
            <w:tcBorders>
              <w:top w:val="nil"/>
              <w:left w:val="nil"/>
              <w:bottom w:val="nil"/>
              <w:right w:val="nil"/>
            </w:tcBorders>
            <w:shd w:val="clear" w:color="auto" w:fill="FFFFFF"/>
          </w:tcPr>
          <w:p>
            <w:r/>
            <w:r>
              <w:rPr>
                <w:rFonts w:ascii="Times New Roman" w:hAnsi="Times New Roman" w:eastAsia="SimSun"/>
                <w:sz w:val="18"/>
              </w:rPr>
              <w:t>[83]</w:t>
            </w:r>
          </w:p>
        </w:tc>
      </w:tr>
      <w:tr>
        <w:tc>
          <w:tcPr>
            <w:tcW w:type="dxa" w:w="1234"/>
            <w:tcBorders>
              <w:top w:val="nil"/>
              <w:left w:val="nil"/>
              <w:bottom w:val="nil"/>
              <w:right w:val="nil"/>
            </w:tcBorders>
            <w:shd w:val="clear" w:color="auto" w:fill="FFFFFF"/>
          </w:tcPr>
          <w:p>
            <w:r/>
            <w:r>
              <w:rPr>
                <w:rFonts w:ascii="Times New Roman" w:hAnsi="Times New Roman" w:eastAsia="SimSun"/>
                <w:sz w:val="18"/>
              </w:rPr>
              <w:t>繁殖与产蛋</w:t>
            </w:r>
          </w:p>
        </w:tc>
        <w:tc>
          <w:tcPr>
            <w:tcW w:type="dxa" w:w="1234"/>
            <w:tcBorders>
              <w:top w:val="nil"/>
              <w:left w:val="nil"/>
              <w:bottom w:val="nil"/>
              <w:right w:val="nil"/>
            </w:tcBorders>
            <w:shd w:val="clear" w:color="auto" w:fill="FFFFFF"/>
          </w:tcPr>
          <w:p>
            <w:r/>
            <w:r>
              <w:rPr>
                <w:rFonts w:ascii="Times New Roman" w:hAnsi="Times New Roman" w:eastAsia="SimSun"/>
                <w:sz w:val="18"/>
              </w:rPr>
              <w:t>产蛋数/蛋重</w:t>
            </w:r>
          </w:p>
        </w:tc>
        <w:tc>
          <w:tcPr>
            <w:tcW w:type="dxa" w:w="1234"/>
            <w:tcBorders>
              <w:top w:val="nil"/>
              <w:left w:val="nil"/>
              <w:bottom w:val="nil"/>
              <w:right w:val="nil"/>
            </w:tcBorders>
            <w:shd w:val="clear" w:color="auto" w:fill="FFFFFF"/>
          </w:tcPr>
          <w:p>
            <w:r/>
            <w:r>
              <w:rPr>
                <w:rFonts w:ascii="Times New Roman" w:hAnsi="Times New Roman" w:eastAsia="SimSun"/>
                <w:sz w:val="18"/>
              </w:rPr>
              <w:t>GAL, CENPF, GPC2, PEMT, TFAP2D, CPQ</w:t>
            </w:r>
          </w:p>
        </w:tc>
        <w:tc>
          <w:tcPr>
            <w:tcW w:type="dxa" w:w="1234"/>
            <w:tcBorders>
              <w:top w:val="nil"/>
              <w:left w:val="nil"/>
              <w:bottom w:val="nil"/>
              <w:right w:val="nil"/>
            </w:tcBorders>
            <w:shd w:val="clear" w:color="auto" w:fill="FFFFFF"/>
          </w:tcPr>
          <w:p>
            <w:r/>
            <w:r>
              <w:rPr>
                <w:rFonts w:ascii="Times New Roman" w:hAnsi="Times New Roman" w:eastAsia="SimSun"/>
                <w:sz w:val="18"/>
              </w:rPr>
              <w:t>SNP</w:t>
            </w:r>
          </w:p>
        </w:tc>
        <w:tc>
          <w:tcPr>
            <w:tcW w:type="dxa" w:w="1234"/>
            <w:tcBorders>
              <w:top w:val="nil"/>
              <w:left w:val="nil"/>
              <w:bottom w:val="nil"/>
              <w:right w:val="nil"/>
            </w:tcBorders>
            <w:shd w:val="clear" w:color="auto" w:fill="FFFFFF"/>
          </w:tcPr>
          <w:p>
            <w:r/>
            <w:r>
              <w:rPr>
                <w:rFonts w:ascii="Times New Roman" w:hAnsi="Times New Roman" w:eastAsia="SimSun"/>
                <w:sz w:val="18"/>
              </w:rPr>
              <w:t>GWAS 候选基因</w:t>
            </w:r>
          </w:p>
        </w:tc>
        <w:tc>
          <w:tcPr>
            <w:tcW w:type="dxa" w:w="1234"/>
            <w:tcBorders>
              <w:top w:val="nil"/>
              <w:left w:val="nil"/>
              <w:bottom w:val="nil"/>
              <w:right w:val="nil"/>
            </w:tcBorders>
            <w:shd w:val="clear" w:color="auto" w:fill="FFFFFF"/>
          </w:tcPr>
          <w:p>
            <w:r/>
            <w:r>
              <w:rPr>
                <w:rFonts w:ascii="Times New Roman" w:hAnsi="Times New Roman" w:eastAsia="SimSun"/>
                <w:sz w:val="18"/>
              </w:rPr>
              <w:t>灵昆鸡</w:t>
            </w:r>
          </w:p>
        </w:tc>
        <w:tc>
          <w:tcPr>
            <w:tcW w:type="dxa" w:w="1234"/>
            <w:tcBorders>
              <w:top w:val="nil"/>
              <w:left w:val="nil"/>
              <w:bottom w:val="nil"/>
              <w:right w:val="nil"/>
            </w:tcBorders>
            <w:shd w:val="clear" w:color="auto" w:fill="FFFFFF"/>
          </w:tcPr>
          <w:p>
            <w:r/>
            <w:r>
              <w:rPr>
                <w:rFonts w:ascii="Times New Roman" w:hAnsi="Times New Roman" w:eastAsia="SimSun"/>
                <w:sz w:val="18"/>
              </w:rPr>
              <w:t>[84]</w:t>
            </w:r>
          </w:p>
        </w:tc>
      </w:tr>
      <w:tr>
        <w:tc>
          <w:tcPr>
            <w:tcW w:type="dxa" w:w="1234"/>
            <w:tcBorders>
              <w:top w:val="nil"/>
              <w:left w:val="nil"/>
              <w:bottom w:val="nil"/>
              <w:right w:val="nil"/>
            </w:tcBorders>
            <w:shd w:val="clear" w:color="auto" w:fill="FFFFFF"/>
          </w:tcPr>
          <w:p>
            <w:r/>
            <w:r>
              <w:rPr>
                <w:rFonts w:ascii="Times New Roman" w:hAnsi="Times New Roman" w:eastAsia="SimSun"/>
                <w:sz w:val="18"/>
              </w:rPr>
              <w:t>繁殖与产蛋</w:t>
            </w:r>
          </w:p>
        </w:tc>
        <w:tc>
          <w:tcPr>
            <w:tcW w:type="dxa" w:w="1234"/>
            <w:tcBorders>
              <w:top w:val="nil"/>
              <w:left w:val="nil"/>
              <w:bottom w:val="nil"/>
              <w:right w:val="nil"/>
            </w:tcBorders>
            <w:shd w:val="clear" w:color="auto" w:fill="FFFFFF"/>
          </w:tcPr>
          <w:p>
            <w:r/>
            <w:r>
              <w:rPr>
                <w:rFonts w:ascii="Times New Roman" w:hAnsi="Times New Roman" w:eastAsia="SimSun"/>
                <w:sz w:val="18"/>
              </w:rPr>
              <w:t>产蛋性能</w:t>
            </w:r>
          </w:p>
        </w:tc>
        <w:tc>
          <w:tcPr>
            <w:tcW w:type="dxa" w:w="1234"/>
            <w:tcBorders>
              <w:top w:val="nil"/>
              <w:left w:val="nil"/>
              <w:bottom w:val="nil"/>
              <w:right w:val="nil"/>
            </w:tcBorders>
            <w:shd w:val="clear" w:color="auto" w:fill="FFFFFF"/>
          </w:tcPr>
          <w:p>
            <w:r/>
            <w:r>
              <w:rPr>
                <w:rFonts w:ascii="Times New Roman" w:hAnsi="Times New Roman" w:eastAsia="SimSun"/>
                <w:sz w:val="18"/>
              </w:rPr>
              <w:t>NCAPG, FAM184B, HOXA family</w:t>
            </w:r>
          </w:p>
        </w:tc>
        <w:tc>
          <w:tcPr>
            <w:tcW w:type="dxa" w:w="1234"/>
            <w:tcBorders>
              <w:top w:val="nil"/>
              <w:left w:val="nil"/>
              <w:bottom w:val="nil"/>
              <w:right w:val="nil"/>
            </w:tcBorders>
            <w:shd w:val="clear" w:color="auto" w:fill="FFFFFF"/>
          </w:tcPr>
          <w:p>
            <w:r/>
            <w:r>
              <w:rPr>
                <w:rFonts w:ascii="Times New Roman" w:hAnsi="Times New Roman" w:eastAsia="SimSun"/>
                <w:sz w:val="18"/>
              </w:rPr>
              <w:t>SNP</w:t>
            </w:r>
          </w:p>
        </w:tc>
        <w:tc>
          <w:tcPr>
            <w:tcW w:type="dxa" w:w="1234"/>
            <w:tcBorders>
              <w:top w:val="nil"/>
              <w:left w:val="nil"/>
              <w:bottom w:val="nil"/>
              <w:right w:val="nil"/>
            </w:tcBorders>
            <w:shd w:val="clear" w:color="auto" w:fill="FFFFFF"/>
          </w:tcPr>
          <w:p>
            <w:r/>
            <w:r>
              <w:rPr>
                <w:rFonts w:ascii="Times New Roman" w:hAnsi="Times New Roman" w:eastAsia="SimSun"/>
                <w:sz w:val="18"/>
              </w:rPr>
              <w:t>发育调控相关</w:t>
            </w:r>
          </w:p>
        </w:tc>
        <w:tc>
          <w:tcPr>
            <w:tcW w:type="dxa" w:w="1234"/>
            <w:tcBorders>
              <w:top w:val="nil"/>
              <w:left w:val="nil"/>
              <w:bottom w:val="nil"/>
              <w:right w:val="nil"/>
            </w:tcBorders>
            <w:shd w:val="clear" w:color="auto" w:fill="FFFFFF"/>
          </w:tcPr>
          <w:p>
            <w:r/>
            <w:r>
              <w:rPr>
                <w:rFonts w:ascii="Times New Roman" w:hAnsi="Times New Roman" w:eastAsia="SimSun"/>
                <w:sz w:val="18"/>
              </w:rPr>
              <w:t>Baicheng-You 鸡</w:t>
            </w:r>
          </w:p>
        </w:tc>
        <w:tc>
          <w:tcPr>
            <w:tcW w:type="dxa" w:w="1234"/>
            <w:tcBorders>
              <w:top w:val="nil"/>
              <w:left w:val="nil"/>
              <w:bottom w:val="nil"/>
              <w:right w:val="nil"/>
            </w:tcBorders>
            <w:shd w:val="clear" w:color="auto" w:fill="FFFFFF"/>
          </w:tcPr>
          <w:p>
            <w:r/>
            <w:r>
              <w:rPr>
                <w:rFonts w:ascii="Times New Roman" w:hAnsi="Times New Roman" w:eastAsia="SimSun"/>
                <w:sz w:val="18"/>
              </w:rPr>
              <w:t>[91]</w:t>
            </w:r>
          </w:p>
        </w:tc>
      </w:tr>
      <w:tr>
        <w:tc>
          <w:tcPr>
            <w:tcW w:type="dxa" w:w="1234"/>
            <w:tcBorders>
              <w:top w:val="nil"/>
              <w:left w:val="nil"/>
              <w:bottom w:val="nil"/>
              <w:right w:val="nil"/>
            </w:tcBorders>
            <w:shd w:val="clear" w:color="auto" w:fill="FFFFFF"/>
          </w:tcPr>
          <w:p>
            <w:r/>
            <w:r>
              <w:rPr>
                <w:rFonts w:ascii="Times New Roman" w:hAnsi="Times New Roman" w:eastAsia="SimSun"/>
                <w:sz w:val="18"/>
              </w:rPr>
              <w:t>蛋品质</w:t>
            </w:r>
          </w:p>
        </w:tc>
        <w:tc>
          <w:tcPr>
            <w:tcW w:type="dxa" w:w="1234"/>
            <w:tcBorders>
              <w:top w:val="nil"/>
              <w:left w:val="nil"/>
              <w:bottom w:val="nil"/>
              <w:right w:val="nil"/>
            </w:tcBorders>
            <w:shd w:val="clear" w:color="auto" w:fill="FFFFFF"/>
          </w:tcPr>
          <w:p>
            <w:r/>
            <w:r>
              <w:rPr>
                <w:rFonts w:ascii="Times New Roman" w:hAnsi="Times New Roman" w:eastAsia="SimSun"/>
                <w:sz w:val="18"/>
              </w:rPr>
              <w:t>蛋壳形成</w:t>
            </w:r>
          </w:p>
        </w:tc>
        <w:tc>
          <w:tcPr>
            <w:tcW w:type="dxa" w:w="1234"/>
            <w:tcBorders>
              <w:top w:val="nil"/>
              <w:left w:val="nil"/>
              <w:bottom w:val="nil"/>
              <w:right w:val="nil"/>
            </w:tcBorders>
            <w:shd w:val="clear" w:color="auto" w:fill="FFFFFF"/>
          </w:tcPr>
          <w:p>
            <w:r/>
            <w:r>
              <w:rPr>
                <w:rFonts w:ascii="Times New Roman" w:hAnsi="Times New Roman" w:eastAsia="SimSun"/>
                <w:sz w:val="18"/>
              </w:rPr>
              <w:t>CALB1, CA2, OC-116, OCX-32, OCX-36</w:t>
            </w:r>
          </w:p>
        </w:tc>
        <w:tc>
          <w:tcPr>
            <w:tcW w:type="dxa" w:w="1234"/>
            <w:tcBorders>
              <w:top w:val="nil"/>
              <w:left w:val="nil"/>
              <w:bottom w:val="nil"/>
              <w:right w:val="nil"/>
            </w:tcBorders>
            <w:shd w:val="clear" w:color="auto" w:fill="FFFFFF"/>
          </w:tcPr>
          <w:p>
            <w:r/>
            <w:r>
              <w:rPr>
                <w:rFonts w:ascii="Times New Roman" w:hAnsi="Times New Roman" w:eastAsia="SimSun"/>
                <w:sz w:val="18"/>
              </w:rPr>
              <w:t>表达调控</w:t>
            </w:r>
          </w:p>
        </w:tc>
        <w:tc>
          <w:tcPr>
            <w:tcW w:type="dxa" w:w="1234"/>
            <w:tcBorders>
              <w:top w:val="nil"/>
              <w:left w:val="nil"/>
              <w:bottom w:val="nil"/>
              <w:right w:val="nil"/>
            </w:tcBorders>
            <w:shd w:val="clear" w:color="auto" w:fill="FFFFFF"/>
          </w:tcPr>
          <w:p>
            <w:r/>
            <w:r>
              <w:rPr>
                <w:rFonts w:ascii="Times New Roman" w:hAnsi="Times New Roman" w:eastAsia="SimSun"/>
                <w:sz w:val="18"/>
              </w:rPr>
              <w:t>钙转运、晶体成核、壳基质蛋白</w:t>
            </w:r>
          </w:p>
        </w:tc>
        <w:tc>
          <w:tcPr>
            <w:tcW w:type="dxa" w:w="1234"/>
            <w:tcBorders>
              <w:top w:val="nil"/>
              <w:left w:val="nil"/>
              <w:bottom w:val="nil"/>
              <w:right w:val="nil"/>
            </w:tcBorders>
            <w:shd w:val="clear" w:color="auto" w:fill="FFFFFF"/>
          </w:tcPr>
          <w:p>
            <w:r/>
            <w:r>
              <w:rPr>
                <w:rFonts w:ascii="Times New Roman" w:hAnsi="Times New Roman" w:eastAsia="SimSun"/>
                <w:sz w:val="18"/>
              </w:rPr>
              <w:t>壳腺组织、多群体</w:t>
            </w:r>
          </w:p>
        </w:tc>
        <w:tc>
          <w:tcPr>
            <w:tcW w:type="dxa" w:w="1234"/>
            <w:tcBorders>
              <w:top w:val="nil"/>
              <w:left w:val="nil"/>
              <w:bottom w:val="nil"/>
              <w:right w:val="nil"/>
            </w:tcBorders>
            <w:shd w:val="clear" w:color="auto" w:fill="FFFFFF"/>
          </w:tcPr>
          <w:p>
            <w:r/>
            <w:r>
              <w:rPr>
                <w:rFonts w:ascii="Times New Roman" w:hAnsi="Times New Roman" w:eastAsia="SimSun"/>
                <w:sz w:val="18"/>
              </w:rPr>
              <w:t>[94][98]</w:t>
            </w:r>
          </w:p>
        </w:tc>
      </w:tr>
      <w:tr>
        <w:tc>
          <w:tcPr>
            <w:tcW w:type="dxa" w:w="1234"/>
            <w:tcBorders>
              <w:top w:val="nil"/>
              <w:left w:val="nil"/>
              <w:bottom w:val="nil"/>
              <w:right w:val="nil"/>
            </w:tcBorders>
            <w:shd w:val="clear" w:color="auto" w:fill="FFFFFF"/>
          </w:tcPr>
          <w:p>
            <w:r/>
            <w:r>
              <w:rPr>
                <w:rFonts w:ascii="Times New Roman" w:hAnsi="Times New Roman" w:eastAsia="SimSun"/>
                <w:sz w:val="18"/>
              </w:rPr>
              <w:t>蛋品质</w:t>
            </w:r>
          </w:p>
        </w:tc>
        <w:tc>
          <w:tcPr>
            <w:tcW w:type="dxa" w:w="1234"/>
            <w:tcBorders>
              <w:top w:val="nil"/>
              <w:left w:val="nil"/>
              <w:bottom w:val="nil"/>
              <w:right w:val="nil"/>
            </w:tcBorders>
            <w:shd w:val="clear" w:color="auto" w:fill="FFFFFF"/>
          </w:tcPr>
          <w:p>
            <w:r/>
            <w:r>
              <w:rPr>
                <w:rFonts w:ascii="Times New Roman" w:hAnsi="Times New Roman" w:eastAsia="SimSun"/>
                <w:sz w:val="18"/>
              </w:rPr>
              <w:t>晚期蛋白质量</w:t>
            </w:r>
          </w:p>
        </w:tc>
        <w:tc>
          <w:tcPr>
            <w:tcW w:type="dxa" w:w="1234"/>
            <w:tcBorders>
              <w:top w:val="nil"/>
              <w:left w:val="nil"/>
              <w:bottom w:val="nil"/>
              <w:right w:val="nil"/>
            </w:tcBorders>
            <w:shd w:val="clear" w:color="auto" w:fill="FFFFFF"/>
          </w:tcPr>
          <w:p>
            <w:r/>
            <w:r>
              <w:rPr>
                <w:rFonts w:ascii="Times New Roman" w:hAnsi="Times New Roman" w:eastAsia="SimSun"/>
                <w:sz w:val="18"/>
              </w:rPr>
              <w:t>MSX2, DRD1</w:t>
            </w:r>
          </w:p>
        </w:tc>
        <w:tc>
          <w:tcPr>
            <w:tcW w:type="dxa" w:w="1234"/>
            <w:tcBorders>
              <w:top w:val="nil"/>
              <w:left w:val="nil"/>
              <w:bottom w:val="nil"/>
              <w:right w:val="nil"/>
            </w:tcBorders>
            <w:shd w:val="clear" w:color="auto" w:fill="FFFFFF"/>
          </w:tcPr>
          <w:p>
            <w:r/>
            <w:r>
              <w:rPr>
                <w:rFonts w:ascii="Times New Roman" w:hAnsi="Times New Roman" w:eastAsia="SimSun"/>
                <w:sz w:val="18"/>
              </w:rPr>
              <w:t>SNP (GGA13)</w:t>
            </w:r>
          </w:p>
        </w:tc>
        <w:tc>
          <w:tcPr>
            <w:tcW w:type="dxa" w:w="1234"/>
            <w:tcBorders>
              <w:top w:val="nil"/>
              <w:left w:val="nil"/>
              <w:bottom w:val="nil"/>
              <w:right w:val="nil"/>
            </w:tcBorders>
            <w:shd w:val="clear" w:color="auto" w:fill="FFFFFF"/>
          </w:tcPr>
          <w:p>
            <w:r/>
            <w:r>
              <w:rPr>
                <w:rFonts w:ascii="Times New Roman" w:hAnsi="Times New Roman" w:eastAsia="SimSun"/>
                <w:sz w:val="18"/>
              </w:rPr>
              <w:t>与哈夫单位、蛋白高度相关</w:t>
            </w:r>
          </w:p>
        </w:tc>
        <w:tc>
          <w:tcPr>
            <w:tcW w:type="dxa" w:w="1234"/>
            <w:tcBorders>
              <w:top w:val="nil"/>
              <w:left w:val="nil"/>
              <w:bottom w:val="nil"/>
              <w:right w:val="nil"/>
            </w:tcBorders>
            <w:shd w:val="clear" w:color="auto" w:fill="FFFFFF"/>
          </w:tcPr>
          <w:p>
            <w:r/>
            <w:r>
              <w:rPr>
                <w:rFonts w:ascii="Times New Roman" w:hAnsi="Times New Roman" w:eastAsia="SimSun"/>
                <w:sz w:val="18"/>
              </w:rPr>
              <w:t>Rhode Island Red 等</w:t>
            </w:r>
          </w:p>
        </w:tc>
        <w:tc>
          <w:tcPr>
            <w:tcW w:type="dxa" w:w="1234"/>
            <w:tcBorders>
              <w:top w:val="nil"/>
              <w:left w:val="nil"/>
              <w:bottom w:val="nil"/>
              <w:right w:val="nil"/>
            </w:tcBorders>
            <w:shd w:val="clear" w:color="auto" w:fill="FFFFFF"/>
          </w:tcPr>
          <w:p>
            <w:r/>
            <w:r>
              <w:rPr>
                <w:rFonts w:ascii="Times New Roman" w:hAnsi="Times New Roman" w:eastAsia="SimSun"/>
                <w:sz w:val="18"/>
              </w:rPr>
              <w:t>[96]</w:t>
            </w:r>
          </w:p>
        </w:tc>
      </w:tr>
      <w:tr>
        <w:tc>
          <w:tcPr>
            <w:tcW w:type="dxa" w:w="1234"/>
            <w:tcBorders>
              <w:top w:val="nil"/>
              <w:left w:val="nil"/>
              <w:bottom w:val="nil"/>
              <w:right w:val="nil"/>
            </w:tcBorders>
            <w:shd w:val="clear" w:color="auto" w:fill="FFFFFF"/>
          </w:tcPr>
          <w:p>
            <w:r/>
            <w:r>
              <w:rPr>
                <w:rFonts w:ascii="Times New Roman" w:hAnsi="Times New Roman" w:eastAsia="SimSun"/>
                <w:sz w:val="18"/>
              </w:rPr>
              <w:t>蛋品质</w:t>
            </w:r>
          </w:p>
        </w:tc>
        <w:tc>
          <w:tcPr>
            <w:tcW w:type="dxa" w:w="1234"/>
            <w:tcBorders>
              <w:top w:val="nil"/>
              <w:left w:val="nil"/>
              <w:bottom w:val="nil"/>
              <w:right w:val="nil"/>
            </w:tcBorders>
            <w:shd w:val="clear" w:color="auto" w:fill="FFFFFF"/>
          </w:tcPr>
          <w:p>
            <w:r/>
            <w:r>
              <w:rPr>
                <w:rFonts w:ascii="Times New Roman" w:hAnsi="Times New Roman" w:eastAsia="SimSun"/>
                <w:sz w:val="18"/>
              </w:rPr>
              <w:t>晚期蛋白质量</w:t>
            </w:r>
          </w:p>
        </w:tc>
        <w:tc>
          <w:tcPr>
            <w:tcW w:type="dxa" w:w="1234"/>
            <w:tcBorders>
              <w:top w:val="nil"/>
              <w:left w:val="nil"/>
              <w:bottom w:val="nil"/>
              <w:right w:val="nil"/>
            </w:tcBorders>
            <w:shd w:val="clear" w:color="auto" w:fill="FFFFFF"/>
          </w:tcPr>
          <w:p>
            <w:r/>
            <w:r>
              <w:rPr>
                <w:rFonts w:ascii="Times New Roman" w:hAnsi="Times New Roman" w:eastAsia="SimSun"/>
                <w:sz w:val="18"/>
              </w:rPr>
              <w:t>CISD1, NQO2, SLC22A23, CMTM6, ADAMTSL1</w:t>
            </w:r>
          </w:p>
        </w:tc>
        <w:tc>
          <w:tcPr>
            <w:tcW w:type="dxa" w:w="1234"/>
            <w:tcBorders>
              <w:top w:val="nil"/>
              <w:left w:val="nil"/>
              <w:bottom w:val="nil"/>
              <w:right w:val="nil"/>
            </w:tcBorders>
            <w:shd w:val="clear" w:color="auto" w:fill="FFFFFF"/>
          </w:tcPr>
          <w:p>
            <w:r/>
            <w:r>
              <w:rPr>
                <w:rFonts w:ascii="Times New Roman" w:hAnsi="Times New Roman" w:eastAsia="SimSun"/>
                <w:sz w:val="18"/>
              </w:rPr>
              <w:t>eQTL/单细胞表达差异</w:t>
            </w:r>
          </w:p>
        </w:tc>
        <w:tc>
          <w:tcPr>
            <w:tcW w:type="dxa" w:w="1234"/>
            <w:tcBorders>
              <w:top w:val="nil"/>
              <w:left w:val="nil"/>
              <w:bottom w:val="nil"/>
              <w:right w:val="nil"/>
            </w:tcBorders>
            <w:shd w:val="clear" w:color="auto" w:fill="FFFFFF"/>
          </w:tcPr>
          <w:p>
            <w:r/>
            <w:r>
              <w:rPr>
                <w:rFonts w:ascii="Times New Roman" w:hAnsi="Times New Roman" w:eastAsia="SimSun"/>
                <w:sz w:val="18"/>
              </w:rPr>
              <w:t>上皮和浆细胞群体异质性</w:t>
            </w:r>
          </w:p>
        </w:tc>
        <w:tc>
          <w:tcPr>
            <w:tcW w:type="dxa" w:w="1234"/>
            <w:tcBorders>
              <w:top w:val="nil"/>
              <w:left w:val="nil"/>
              <w:bottom w:val="nil"/>
              <w:right w:val="nil"/>
            </w:tcBorders>
            <w:shd w:val="clear" w:color="auto" w:fill="FFFFFF"/>
          </w:tcPr>
          <w:p>
            <w:r/>
            <w:r>
              <w:rPr>
                <w:rFonts w:ascii="Times New Roman" w:hAnsi="Times New Roman" w:eastAsia="SimSun"/>
                <w:sz w:val="18"/>
              </w:rPr>
              <w:t>老龄商业蛋鸡</w:t>
            </w:r>
          </w:p>
        </w:tc>
        <w:tc>
          <w:tcPr>
            <w:tcW w:type="dxa" w:w="1234"/>
            <w:tcBorders>
              <w:top w:val="nil"/>
              <w:left w:val="nil"/>
              <w:bottom w:val="nil"/>
              <w:right w:val="nil"/>
            </w:tcBorders>
            <w:shd w:val="clear" w:color="auto" w:fill="FFFFFF"/>
          </w:tcPr>
          <w:p>
            <w:r/>
            <w:r>
              <w:rPr>
                <w:rFonts w:ascii="Times New Roman" w:hAnsi="Times New Roman" w:eastAsia="SimSun"/>
                <w:sz w:val="18"/>
              </w:rPr>
              <w:t>[103]</w:t>
            </w:r>
          </w:p>
        </w:tc>
      </w:tr>
      <w:tr>
        <w:tc>
          <w:tcPr>
            <w:tcW w:type="dxa" w:w="1234"/>
            <w:tcBorders>
              <w:top w:val="nil"/>
              <w:left w:val="nil"/>
              <w:bottom w:val="nil"/>
              <w:right w:val="nil"/>
            </w:tcBorders>
            <w:shd w:val="clear" w:color="auto" w:fill="FFFFFF"/>
          </w:tcPr>
          <w:p>
            <w:r/>
            <w:r>
              <w:rPr>
                <w:rFonts w:ascii="Times New Roman" w:hAnsi="Times New Roman" w:eastAsia="SimSun"/>
                <w:sz w:val="18"/>
              </w:rPr>
              <w:t>蛋品质</w:t>
            </w:r>
          </w:p>
        </w:tc>
        <w:tc>
          <w:tcPr>
            <w:tcW w:type="dxa" w:w="1234"/>
            <w:tcBorders>
              <w:top w:val="nil"/>
              <w:left w:val="nil"/>
              <w:bottom w:val="nil"/>
              <w:right w:val="nil"/>
            </w:tcBorders>
            <w:shd w:val="clear" w:color="auto" w:fill="FFFFFF"/>
          </w:tcPr>
          <w:p>
            <w:r/>
            <w:r>
              <w:rPr>
                <w:rFonts w:ascii="Times New Roman" w:hAnsi="Times New Roman" w:eastAsia="SimSun"/>
                <w:sz w:val="18"/>
              </w:rPr>
              <w:t>蓝壳</w:t>
            </w:r>
          </w:p>
        </w:tc>
        <w:tc>
          <w:tcPr>
            <w:tcW w:type="dxa" w:w="1234"/>
            <w:tcBorders>
              <w:top w:val="nil"/>
              <w:left w:val="nil"/>
              <w:bottom w:val="nil"/>
              <w:right w:val="nil"/>
            </w:tcBorders>
            <w:shd w:val="clear" w:color="auto" w:fill="FFFFFF"/>
          </w:tcPr>
          <w:p>
            <w:r/>
            <w:r>
              <w:rPr>
                <w:rFonts w:ascii="Times New Roman" w:hAnsi="Times New Roman" w:eastAsia="SimSun"/>
                <w:sz w:val="18"/>
              </w:rPr>
              <w:t>SLCO1B3 (5'UTR EAV-HP 插入)</w:t>
            </w:r>
          </w:p>
        </w:tc>
        <w:tc>
          <w:tcPr>
            <w:tcW w:type="dxa" w:w="1234"/>
            <w:tcBorders>
              <w:top w:val="nil"/>
              <w:left w:val="nil"/>
              <w:bottom w:val="nil"/>
              <w:right w:val="nil"/>
            </w:tcBorders>
            <w:shd w:val="clear" w:color="auto" w:fill="FFFFFF"/>
          </w:tcPr>
          <w:p>
            <w:r/>
            <w:r>
              <w:rPr>
                <w:rFonts w:ascii="Times New Roman" w:hAnsi="Times New Roman" w:eastAsia="SimSun"/>
                <w:sz w:val="18"/>
              </w:rPr>
              <w:t>转座子插入</w:t>
            </w:r>
          </w:p>
        </w:tc>
        <w:tc>
          <w:tcPr>
            <w:tcW w:type="dxa" w:w="1234"/>
            <w:tcBorders>
              <w:top w:val="nil"/>
              <w:left w:val="nil"/>
              <w:bottom w:val="nil"/>
              <w:right w:val="nil"/>
            </w:tcBorders>
            <w:shd w:val="clear" w:color="auto" w:fill="FFFFFF"/>
          </w:tcPr>
          <w:p>
            <w:r/>
            <w:r>
              <w:rPr>
                <w:rFonts w:ascii="Times New Roman" w:hAnsi="Times New Roman" w:eastAsia="SimSun"/>
                <w:sz w:val="18"/>
              </w:rPr>
              <w:t>壳腺中异常高表达 → 胆绿素沉积</w:t>
            </w:r>
          </w:p>
        </w:tc>
        <w:tc>
          <w:tcPr>
            <w:tcW w:type="dxa" w:w="1234"/>
            <w:tcBorders>
              <w:top w:val="nil"/>
              <w:left w:val="nil"/>
              <w:bottom w:val="nil"/>
              <w:right w:val="nil"/>
            </w:tcBorders>
            <w:shd w:val="clear" w:color="auto" w:fill="FFFFFF"/>
          </w:tcPr>
          <w:p>
            <w:r/>
            <w:r>
              <w:rPr>
                <w:rFonts w:ascii="Times New Roman" w:hAnsi="Times New Roman" w:eastAsia="SimSun"/>
                <w:sz w:val="18"/>
              </w:rPr>
              <w:t>蓝壳鸡</w:t>
            </w:r>
          </w:p>
        </w:tc>
        <w:tc>
          <w:tcPr>
            <w:tcW w:type="dxa" w:w="1234"/>
            <w:tcBorders>
              <w:top w:val="nil"/>
              <w:left w:val="nil"/>
              <w:bottom w:val="nil"/>
              <w:right w:val="nil"/>
            </w:tcBorders>
            <w:shd w:val="clear" w:color="auto" w:fill="FFFFFF"/>
          </w:tcPr>
          <w:p>
            <w:r/>
            <w:r>
              <w:rPr>
                <w:rFonts w:ascii="Times New Roman" w:hAnsi="Times New Roman" w:eastAsia="SimSun"/>
                <w:sz w:val="18"/>
              </w:rPr>
              <w:t>[99]</w:t>
            </w:r>
          </w:p>
        </w:tc>
      </w:tr>
      <w:tr>
        <w:tc>
          <w:tcPr>
            <w:tcW w:type="dxa" w:w="1234"/>
            <w:tcBorders>
              <w:top w:val="nil"/>
              <w:left w:val="nil"/>
              <w:bottom w:val="nil"/>
              <w:right w:val="nil"/>
            </w:tcBorders>
            <w:shd w:val="clear" w:color="auto" w:fill="FFFFFF"/>
          </w:tcPr>
          <w:p>
            <w:r/>
            <w:r>
              <w:rPr>
                <w:rFonts w:ascii="Times New Roman" w:hAnsi="Times New Roman" w:eastAsia="SimSun"/>
                <w:sz w:val="18"/>
              </w:rPr>
              <w:t>蛋品质</w:t>
            </w:r>
          </w:p>
        </w:tc>
        <w:tc>
          <w:tcPr>
            <w:tcW w:type="dxa" w:w="1234"/>
            <w:tcBorders>
              <w:top w:val="nil"/>
              <w:left w:val="nil"/>
              <w:bottom w:val="nil"/>
              <w:right w:val="nil"/>
            </w:tcBorders>
            <w:shd w:val="clear" w:color="auto" w:fill="FFFFFF"/>
          </w:tcPr>
          <w:p>
            <w:r/>
            <w:r>
              <w:rPr>
                <w:rFonts w:ascii="Times New Roman" w:hAnsi="Times New Roman" w:eastAsia="SimSun"/>
                <w:sz w:val="18"/>
              </w:rPr>
              <w:t>蓝壳</w:t>
            </w:r>
          </w:p>
        </w:tc>
        <w:tc>
          <w:tcPr>
            <w:tcW w:type="dxa" w:w="1234"/>
            <w:tcBorders>
              <w:top w:val="nil"/>
              <w:left w:val="nil"/>
              <w:bottom w:val="nil"/>
              <w:right w:val="nil"/>
            </w:tcBorders>
            <w:shd w:val="clear" w:color="auto" w:fill="FFFFFF"/>
          </w:tcPr>
          <w:p>
            <w:r/>
            <w:r>
              <w:rPr>
                <w:rFonts w:ascii="Times New Roman" w:hAnsi="Times New Roman" w:eastAsia="SimSun"/>
                <w:sz w:val="18"/>
              </w:rPr>
              <w:t>HMOX1</w:t>
            </w:r>
          </w:p>
        </w:tc>
        <w:tc>
          <w:tcPr>
            <w:tcW w:type="dxa" w:w="1234"/>
            <w:tcBorders>
              <w:top w:val="nil"/>
              <w:left w:val="nil"/>
              <w:bottom w:val="nil"/>
              <w:right w:val="nil"/>
            </w:tcBorders>
            <w:shd w:val="clear" w:color="auto" w:fill="FFFFFF"/>
          </w:tcPr>
          <w:p>
            <w:r/>
            <w:r>
              <w:rPr>
                <w:rFonts w:ascii="Times New Roman" w:hAnsi="Times New Roman" w:eastAsia="SimSun"/>
                <w:sz w:val="18"/>
              </w:rPr>
              <w:t>表达上调</w:t>
            </w:r>
          </w:p>
        </w:tc>
        <w:tc>
          <w:tcPr>
            <w:tcW w:type="dxa" w:w="1234"/>
            <w:tcBorders>
              <w:top w:val="nil"/>
              <w:left w:val="nil"/>
              <w:bottom w:val="nil"/>
              <w:right w:val="nil"/>
            </w:tcBorders>
            <w:shd w:val="clear" w:color="auto" w:fill="FFFFFF"/>
          </w:tcPr>
          <w:p>
            <w:r/>
            <w:r>
              <w:rPr>
                <w:rFonts w:ascii="Times New Roman" w:hAnsi="Times New Roman" w:eastAsia="SimSun"/>
                <w:sz w:val="18"/>
              </w:rPr>
              <w:t>促胆绿素生成</w:t>
            </w:r>
          </w:p>
        </w:tc>
        <w:tc>
          <w:tcPr>
            <w:tcW w:type="dxa" w:w="1234"/>
            <w:tcBorders>
              <w:top w:val="nil"/>
              <w:left w:val="nil"/>
              <w:bottom w:val="nil"/>
              <w:right w:val="nil"/>
            </w:tcBorders>
            <w:shd w:val="clear" w:color="auto" w:fill="FFFFFF"/>
          </w:tcPr>
          <w:p>
            <w:r/>
            <w:r>
              <w:rPr>
                <w:rFonts w:ascii="Times New Roman" w:hAnsi="Times New Roman" w:eastAsia="SimSun"/>
                <w:sz w:val="18"/>
              </w:rPr>
              <w:t>蓝壳鸡</w:t>
            </w:r>
          </w:p>
        </w:tc>
        <w:tc>
          <w:tcPr>
            <w:tcW w:type="dxa" w:w="1234"/>
            <w:tcBorders>
              <w:top w:val="nil"/>
              <w:left w:val="nil"/>
              <w:bottom w:val="nil"/>
              <w:right w:val="nil"/>
            </w:tcBorders>
            <w:shd w:val="clear" w:color="auto" w:fill="FFFFFF"/>
          </w:tcPr>
          <w:p>
            <w:r/>
            <w:r>
              <w:rPr>
                <w:rFonts w:ascii="Times New Roman" w:hAnsi="Times New Roman" w:eastAsia="SimSun"/>
                <w:sz w:val="18"/>
              </w:rPr>
              <w:t>[100]</w:t>
            </w:r>
          </w:p>
        </w:tc>
      </w:tr>
      <w:tr>
        <w:tc>
          <w:tcPr>
            <w:tcW w:type="dxa" w:w="1234"/>
            <w:tcBorders>
              <w:top w:val="nil"/>
              <w:left w:val="nil"/>
              <w:bottom w:val="nil"/>
              <w:right w:val="nil"/>
            </w:tcBorders>
            <w:shd w:val="clear" w:color="auto" w:fill="FFFFFF"/>
          </w:tcPr>
          <w:p>
            <w:r/>
            <w:r>
              <w:rPr>
                <w:rFonts w:ascii="Times New Roman" w:hAnsi="Times New Roman" w:eastAsia="SimSun"/>
                <w:sz w:val="18"/>
              </w:rPr>
              <w:t>蛋品质</w:t>
            </w:r>
          </w:p>
        </w:tc>
        <w:tc>
          <w:tcPr>
            <w:tcW w:type="dxa" w:w="1234"/>
            <w:tcBorders>
              <w:top w:val="nil"/>
              <w:left w:val="nil"/>
              <w:bottom w:val="nil"/>
              <w:right w:val="nil"/>
            </w:tcBorders>
            <w:shd w:val="clear" w:color="auto" w:fill="FFFFFF"/>
          </w:tcPr>
          <w:p>
            <w:r/>
            <w:r>
              <w:rPr>
                <w:rFonts w:ascii="Times New Roman" w:hAnsi="Times New Roman" w:eastAsia="SimSun"/>
                <w:sz w:val="18"/>
              </w:rPr>
              <w:t>蛋黄/卵黄前体</w:t>
            </w:r>
          </w:p>
        </w:tc>
        <w:tc>
          <w:tcPr>
            <w:tcW w:type="dxa" w:w="1234"/>
            <w:tcBorders>
              <w:top w:val="nil"/>
              <w:left w:val="nil"/>
              <w:bottom w:val="nil"/>
              <w:right w:val="nil"/>
            </w:tcBorders>
            <w:shd w:val="clear" w:color="auto" w:fill="FFFFFF"/>
          </w:tcPr>
          <w:p>
            <w:r/>
            <w:r>
              <w:rPr>
                <w:rFonts w:ascii="Times New Roman" w:hAnsi="Times New Roman" w:eastAsia="SimSun"/>
                <w:sz w:val="18"/>
              </w:rPr>
              <w:t>FASN, FGF9, PIAS1, NOX5</w:t>
            </w:r>
          </w:p>
        </w:tc>
        <w:tc>
          <w:tcPr>
            <w:tcW w:type="dxa" w:w="1234"/>
            <w:tcBorders>
              <w:top w:val="nil"/>
              <w:left w:val="nil"/>
              <w:bottom w:val="nil"/>
              <w:right w:val="nil"/>
            </w:tcBorders>
            <w:shd w:val="clear" w:color="auto" w:fill="FFFFFF"/>
          </w:tcPr>
          <w:p>
            <w:r/>
            <w:r>
              <w:rPr>
                <w:rFonts w:ascii="Times New Roman" w:hAnsi="Times New Roman" w:eastAsia="SimSun"/>
                <w:sz w:val="18"/>
              </w:rPr>
              <w:t>SNP / 表达调控</w:t>
            </w:r>
          </w:p>
        </w:tc>
        <w:tc>
          <w:tcPr>
            <w:tcW w:type="dxa" w:w="1234"/>
            <w:tcBorders>
              <w:top w:val="nil"/>
              <w:left w:val="nil"/>
              <w:bottom w:val="nil"/>
              <w:right w:val="nil"/>
            </w:tcBorders>
            <w:shd w:val="clear" w:color="auto" w:fill="FFFFFF"/>
          </w:tcPr>
          <w:p>
            <w:r/>
            <w:r>
              <w:rPr>
                <w:rFonts w:ascii="Times New Roman" w:hAnsi="Times New Roman" w:eastAsia="SimSun"/>
                <w:sz w:val="18"/>
              </w:rPr>
              <w:t>肝脂质合成、卵黄前体转运</w:t>
            </w:r>
          </w:p>
        </w:tc>
        <w:tc>
          <w:tcPr>
            <w:tcW w:type="dxa" w:w="1234"/>
            <w:tcBorders>
              <w:top w:val="nil"/>
              <w:left w:val="nil"/>
              <w:bottom w:val="nil"/>
              <w:right w:val="nil"/>
            </w:tcBorders>
            <w:shd w:val="clear" w:color="auto" w:fill="FFFFFF"/>
          </w:tcPr>
          <w:p>
            <w:r/>
            <w:r>
              <w:rPr>
                <w:rFonts w:ascii="Times New Roman" w:hAnsi="Times New Roman" w:eastAsia="SimSun"/>
                <w:sz w:val="18"/>
              </w:rPr>
              <w:t>多群体</w:t>
            </w:r>
          </w:p>
        </w:tc>
        <w:tc>
          <w:tcPr>
            <w:tcW w:type="dxa" w:w="1234"/>
            <w:tcBorders>
              <w:top w:val="nil"/>
              <w:left w:val="nil"/>
              <w:bottom w:val="nil"/>
              <w:right w:val="nil"/>
            </w:tcBorders>
            <w:shd w:val="clear" w:color="auto" w:fill="FFFFFF"/>
          </w:tcPr>
          <w:p>
            <w:r/>
            <w:r>
              <w:rPr>
                <w:rFonts w:ascii="Times New Roman" w:hAnsi="Times New Roman" w:eastAsia="SimSun"/>
                <w:sz w:val="18"/>
              </w:rPr>
              <w:t>[94]</w:t>
            </w:r>
          </w:p>
        </w:tc>
      </w:tr>
      <w:tr>
        <w:tc>
          <w:tcPr>
            <w:tcW w:type="dxa" w:w="1234"/>
            <w:tcBorders>
              <w:top w:val="nil"/>
              <w:left w:val="nil"/>
              <w:bottom w:val="nil"/>
              <w:right w:val="nil"/>
            </w:tcBorders>
            <w:shd w:val="clear" w:color="auto" w:fill="FFFFFF"/>
          </w:tcPr>
          <w:p>
            <w:r/>
            <w:r>
              <w:rPr>
                <w:rFonts w:ascii="Times New Roman" w:hAnsi="Times New Roman" w:eastAsia="SimSun"/>
                <w:sz w:val="18"/>
              </w:rPr>
              <w:t>抗病与免疫</w:t>
            </w:r>
          </w:p>
        </w:tc>
        <w:tc>
          <w:tcPr>
            <w:tcW w:type="dxa" w:w="1234"/>
            <w:tcBorders>
              <w:top w:val="nil"/>
              <w:left w:val="nil"/>
              <w:bottom w:val="nil"/>
              <w:right w:val="nil"/>
            </w:tcBorders>
            <w:shd w:val="clear" w:color="auto" w:fill="FFFFFF"/>
          </w:tcPr>
          <w:p>
            <w:r/>
            <w:r>
              <w:rPr>
                <w:rFonts w:ascii="Times New Roman" w:hAnsi="Times New Roman" w:eastAsia="SimSun"/>
                <w:sz w:val="18"/>
              </w:rPr>
              <w:t>综合抗病</w:t>
            </w:r>
          </w:p>
        </w:tc>
        <w:tc>
          <w:tcPr>
            <w:tcW w:type="dxa" w:w="1234"/>
            <w:tcBorders>
              <w:top w:val="nil"/>
              <w:left w:val="nil"/>
              <w:bottom w:val="nil"/>
              <w:right w:val="nil"/>
            </w:tcBorders>
            <w:shd w:val="clear" w:color="auto" w:fill="FFFFFF"/>
          </w:tcPr>
          <w:p>
            <w:r/>
            <w:r>
              <w:rPr>
                <w:rFonts w:ascii="Times New Roman" w:hAnsi="Times New Roman" w:eastAsia="SimSun"/>
                <w:sz w:val="18"/>
              </w:rPr>
              <w:t>MHC-B 单倍型</w:t>
            </w:r>
          </w:p>
        </w:tc>
        <w:tc>
          <w:tcPr>
            <w:tcW w:type="dxa" w:w="1234"/>
            <w:tcBorders>
              <w:top w:val="nil"/>
              <w:left w:val="nil"/>
              <w:bottom w:val="nil"/>
              <w:right w:val="nil"/>
            </w:tcBorders>
            <w:shd w:val="clear" w:color="auto" w:fill="FFFFFF"/>
          </w:tcPr>
          <w:p>
            <w:r/>
            <w:r>
              <w:rPr>
                <w:rFonts w:ascii="Times New Roman" w:hAnsi="Times New Roman" w:eastAsia="SimSun"/>
                <w:sz w:val="18"/>
              </w:rPr>
              <w:t>单倍型差异</w:t>
            </w:r>
          </w:p>
        </w:tc>
        <w:tc>
          <w:tcPr>
            <w:tcW w:type="dxa" w:w="1234"/>
            <w:tcBorders>
              <w:top w:val="nil"/>
              <w:left w:val="nil"/>
              <w:bottom w:val="nil"/>
              <w:right w:val="nil"/>
            </w:tcBorders>
            <w:shd w:val="clear" w:color="auto" w:fill="FFFFFF"/>
          </w:tcPr>
          <w:p>
            <w:r/>
            <w:r>
              <w:rPr>
                <w:rFonts w:ascii="Times New Roman" w:hAnsi="Times New Roman" w:eastAsia="SimSun"/>
                <w:sz w:val="18"/>
              </w:rPr>
              <w:t>抗原呈递、CD8+ T 反应</w:t>
            </w:r>
          </w:p>
        </w:tc>
        <w:tc>
          <w:tcPr>
            <w:tcW w:type="dxa" w:w="1234"/>
            <w:tcBorders>
              <w:top w:val="nil"/>
              <w:left w:val="nil"/>
              <w:bottom w:val="nil"/>
              <w:right w:val="nil"/>
            </w:tcBorders>
            <w:shd w:val="clear" w:color="auto" w:fill="FFFFFF"/>
          </w:tcPr>
          <w:p>
            <w:r/>
            <w:r>
              <w:rPr>
                <w:rFonts w:ascii="Times New Roman" w:hAnsi="Times New Roman" w:eastAsia="SimSun"/>
                <w:sz w:val="18"/>
              </w:rPr>
              <w:t>多种鸡群</w:t>
            </w:r>
          </w:p>
        </w:tc>
        <w:tc>
          <w:tcPr>
            <w:tcW w:type="dxa" w:w="1234"/>
            <w:tcBorders>
              <w:top w:val="nil"/>
              <w:left w:val="nil"/>
              <w:bottom w:val="nil"/>
              <w:right w:val="nil"/>
            </w:tcBorders>
            <w:shd w:val="clear" w:color="auto" w:fill="FFFFFF"/>
          </w:tcPr>
          <w:p>
            <w:r/>
            <w:r>
              <w:rPr>
                <w:rFonts w:ascii="Times New Roman" w:hAnsi="Times New Roman" w:eastAsia="SimSun"/>
                <w:sz w:val="18"/>
              </w:rPr>
              <w:t>[104][105]</w:t>
            </w:r>
          </w:p>
        </w:tc>
      </w:tr>
      <w:tr>
        <w:tc>
          <w:tcPr>
            <w:tcW w:type="dxa" w:w="1234"/>
            <w:tcBorders>
              <w:top w:val="nil"/>
              <w:left w:val="nil"/>
              <w:bottom w:val="nil"/>
              <w:right w:val="nil"/>
            </w:tcBorders>
            <w:shd w:val="clear" w:color="auto" w:fill="FFFFFF"/>
          </w:tcPr>
          <w:p>
            <w:r/>
            <w:r>
              <w:rPr>
                <w:rFonts w:ascii="Times New Roman" w:hAnsi="Times New Roman" w:eastAsia="SimSun"/>
                <w:sz w:val="18"/>
              </w:rPr>
              <w:t>抗病与免疫</w:t>
            </w:r>
          </w:p>
        </w:tc>
        <w:tc>
          <w:tcPr>
            <w:tcW w:type="dxa" w:w="1234"/>
            <w:tcBorders>
              <w:top w:val="nil"/>
              <w:left w:val="nil"/>
              <w:bottom w:val="nil"/>
              <w:right w:val="nil"/>
            </w:tcBorders>
            <w:shd w:val="clear" w:color="auto" w:fill="FFFFFF"/>
          </w:tcPr>
          <w:p>
            <w:r/>
            <w:r>
              <w:rPr>
                <w:rFonts w:ascii="Times New Roman" w:hAnsi="Times New Roman" w:eastAsia="SimSun"/>
                <w:sz w:val="18"/>
              </w:rPr>
              <w:t>马立克氏病</w:t>
            </w:r>
          </w:p>
        </w:tc>
        <w:tc>
          <w:tcPr>
            <w:tcW w:type="dxa" w:w="1234"/>
            <w:tcBorders>
              <w:top w:val="nil"/>
              <w:left w:val="nil"/>
              <w:bottom w:val="nil"/>
              <w:right w:val="nil"/>
            </w:tcBorders>
            <w:shd w:val="clear" w:color="auto" w:fill="FFFFFF"/>
          </w:tcPr>
          <w:p>
            <w:r/>
            <w:r>
              <w:rPr>
                <w:rFonts w:ascii="Times New Roman" w:hAnsi="Times New Roman" w:eastAsia="SimSun"/>
                <w:sz w:val="18"/>
              </w:rPr>
              <w:t>多染色体 QTL</w:t>
            </w:r>
          </w:p>
        </w:tc>
        <w:tc>
          <w:tcPr>
            <w:tcW w:type="dxa" w:w="1234"/>
            <w:tcBorders>
              <w:top w:val="nil"/>
              <w:left w:val="nil"/>
              <w:bottom w:val="nil"/>
              <w:right w:val="nil"/>
            </w:tcBorders>
            <w:shd w:val="clear" w:color="auto" w:fill="FFFFFF"/>
          </w:tcPr>
          <w:p>
            <w:r/>
            <w:r>
              <w:rPr>
                <w:rFonts w:ascii="Times New Roman" w:hAnsi="Times New Roman" w:eastAsia="SimSun"/>
                <w:sz w:val="18"/>
              </w:rPr>
              <w:t>SNP / QTL</w:t>
            </w:r>
          </w:p>
        </w:tc>
        <w:tc>
          <w:tcPr>
            <w:tcW w:type="dxa" w:w="1234"/>
            <w:tcBorders>
              <w:top w:val="nil"/>
              <w:left w:val="nil"/>
              <w:bottom w:val="nil"/>
              <w:right w:val="nil"/>
            </w:tcBorders>
            <w:shd w:val="clear" w:color="auto" w:fill="FFFFFF"/>
          </w:tcPr>
          <w:p>
            <w:r/>
            <w:r>
              <w:rPr>
                <w:rFonts w:ascii="Times New Roman" w:hAnsi="Times New Roman" w:eastAsia="SimSun"/>
                <w:sz w:val="18"/>
              </w:rPr>
              <w:t>多基因控制 + 细胞类型特异性免疫反应</w:t>
            </w:r>
          </w:p>
        </w:tc>
        <w:tc>
          <w:tcPr>
            <w:tcW w:type="dxa" w:w="1234"/>
            <w:tcBorders>
              <w:top w:val="nil"/>
              <w:left w:val="nil"/>
              <w:bottom w:val="nil"/>
              <w:right w:val="nil"/>
            </w:tcBorders>
            <w:shd w:val="clear" w:color="auto" w:fill="FFFFFF"/>
          </w:tcPr>
          <w:p>
            <w:r/>
            <w:r>
              <w:rPr>
                <w:rFonts w:ascii="Times New Roman" w:hAnsi="Times New Roman" w:eastAsia="SimSun"/>
                <w:sz w:val="18"/>
              </w:rPr>
              <w:t>抗/易感品系</w:t>
            </w:r>
          </w:p>
        </w:tc>
        <w:tc>
          <w:tcPr>
            <w:tcW w:type="dxa" w:w="1234"/>
            <w:tcBorders>
              <w:top w:val="nil"/>
              <w:left w:val="nil"/>
              <w:bottom w:val="nil"/>
              <w:right w:val="nil"/>
            </w:tcBorders>
            <w:shd w:val="clear" w:color="auto" w:fill="FFFFFF"/>
          </w:tcPr>
          <w:p>
            <w:r/>
            <w:r>
              <w:rPr>
                <w:rFonts w:ascii="Times New Roman" w:hAnsi="Times New Roman" w:eastAsia="SimSun"/>
                <w:sz w:val="18"/>
              </w:rPr>
              <w:t>[109][110]</w:t>
            </w:r>
          </w:p>
        </w:tc>
      </w:tr>
      <w:tr>
        <w:tc>
          <w:tcPr>
            <w:tcW w:type="dxa" w:w="1234"/>
            <w:tcBorders>
              <w:top w:val="nil"/>
              <w:left w:val="nil"/>
              <w:bottom w:val="nil"/>
              <w:right w:val="nil"/>
            </w:tcBorders>
            <w:shd w:val="clear" w:color="auto" w:fill="FFFFFF"/>
          </w:tcPr>
          <w:p>
            <w:r/>
            <w:r>
              <w:rPr>
                <w:rFonts w:ascii="Times New Roman" w:hAnsi="Times New Roman" w:eastAsia="SimSun"/>
                <w:sz w:val="18"/>
              </w:rPr>
              <w:t>抗病与免疫</w:t>
            </w:r>
          </w:p>
        </w:tc>
        <w:tc>
          <w:tcPr>
            <w:tcW w:type="dxa" w:w="1234"/>
            <w:tcBorders>
              <w:top w:val="nil"/>
              <w:left w:val="nil"/>
              <w:bottom w:val="nil"/>
              <w:right w:val="nil"/>
            </w:tcBorders>
            <w:shd w:val="clear" w:color="auto" w:fill="FFFFFF"/>
          </w:tcPr>
          <w:p>
            <w:r/>
            <w:r>
              <w:rPr>
                <w:rFonts w:ascii="Times New Roman" w:hAnsi="Times New Roman" w:eastAsia="SimSun"/>
                <w:sz w:val="18"/>
              </w:rPr>
              <w:t>禽流感</w:t>
            </w:r>
          </w:p>
        </w:tc>
        <w:tc>
          <w:tcPr>
            <w:tcW w:type="dxa" w:w="1234"/>
            <w:tcBorders>
              <w:top w:val="nil"/>
              <w:left w:val="nil"/>
              <w:bottom w:val="nil"/>
              <w:right w:val="nil"/>
            </w:tcBorders>
            <w:shd w:val="clear" w:color="auto" w:fill="FFFFFF"/>
          </w:tcPr>
          <w:p>
            <w:r/>
            <w:r>
              <w:rPr>
                <w:rFonts w:ascii="Times New Roman" w:hAnsi="Times New Roman" w:eastAsia="SimSun"/>
                <w:sz w:val="18"/>
              </w:rPr>
              <w:t>ANP32A (家族)</w:t>
            </w:r>
          </w:p>
        </w:tc>
        <w:tc>
          <w:tcPr>
            <w:tcW w:type="dxa" w:w="1234"/>
            <w:tcBorders>
              <w:top w:val="nil"/>
              <w:left w:val="nil"/>
              <w:bottom w:val="nil"/>
              <w:right w:val="nil"/>
            </w:tcBorders>
            <w:shd w:val="clear" w:color="auto" w:fill="FFFFFF"/>
          </w:tcPr>
          <w:p>
            <w:r/>
            <w:r>
              <w:rPr>
                <w:rFonts w:ascii="Times New Roman" w:hAnsi="Times New Roman" w:eastAsia="SimSun"/>
                <w:sz w:val="18"/>
              </w:rPr>
              <w:t>编辑/敲除</w:t>
            </w:r>
          </w:p>
        </w:tc>
        <w:tc>
          <w:tcPr>
            <w:tcW w:type="dxa" w:w="1234"/>
            <w:tcBorders>
              <w:top w:val="nil"/>
              <w:left w:val="nil"/>
              <w:bottom w:val="nil"/>
              <w:right w:val="nil"/>
            </w:tcBorders>
            <w:shd w:val="clear" w:color="auto" w:fill="FFFFFF"/>
          </w:tcPr>
          <w:p>
            <w:r/>
            <w:r>
              <w:rPr>
                <w:rFonts w:ascii="Times New Roman" w:hAnsi="Times New Roman" w:eastAsia="SimSun"/>
                <w:sz w:val="18"/>
              </w:rPr>
              <w:t>无法支持流感聚合酶复制</w:t>
            </w:r>
          </w:p>
        </w:tc>
        <w:tc>
          <w:tcPr>
            <w:tcW w:type="dxa" w:w="1234"/>
            <w:tcBorders>
              <w:top w:val="nil"/>
              <w:left w:val="nil"/>
              <w:bottom w:val="nil"/>
              <w:right w:val="nil"/>
            </w:tcBorders>
            <w:shd w:val="clear" w:color="auto" w:fill="FFFFFF"/>
          </w:tcPr>
          <w:p>
            <w:r/>
            <w:r>
              <w:rPr>
                <w:rFonts w:ascii="Times New Roman" w:hAnsi="Times New Roman" w:eastAsia="SimSun"/>
                <w:sz w:val="18"/>
              </w:rPr>
              <w:t>CRISPR 编辑鸡</w:t>
            </w:r>
          </w:p>
        </w:tc>
        <w:tc>
          <w:tcPr>
            <w:tcW w:type="dxa" w:w="1234"/>
            <w:tcBorders>
              <w:top w:val="nil"/>
              <w:left w:val="nil"/>
              <w:bottom w:val="nil"/>
              <w:right w:val="nil"/>
            </w:tcBorders>
            <w:shd w:val="clear" w:color="auto" w:fill="FFFFFF"/>
          </w:tcPr>
          <w:p>
            <w:r/>
            <w:r>
              <w:rPr>
                <w:rFonts w:ascii="Times New Roman" w:hAnsi="Times New Roman" w:eastAsia="SimSun"/>
                <w:sz w:val="18"/>
              </w:rPr>
              <w:t>[111]</w:t>
            </w:r>
          </w:p>
        </w:tc>
      </w:tr>
      <w:tr>
        <w:tc>
          <w:tcPr>
            <w:tcW w:type="dxa" w:w="1234"/>
            <w:tcBorders>
              <w:top w:val="nil"/>
              <w:left w:val="nil"/>
              <w:bottom w:val="nil"/>
              <w:right w:val="nil"/>
            </w:tcBorders>
            <w:shd w:val="clear" w:color="auto" w:fill="FFFFFF"/>
          </w:tcPr>
          <w:p>
            <w:r/>
            <w:r>
              <w:rPr>
                <w:rFonts w:ascii="Times New Roman" w:hAnsi="Times New Roman" w:eastAsia="SimSun"/>
                <w:sz w:val="18"/>
              </w:rPr>
              <w:t>抗病与免疫</w:t>
            </w:r>
          </w:p>
        </w:tc>
        <w:tc>
          <w:tcPr>
            <w:tcW w:type="dxa" w:w="1234"/>
            <w:tcBorders>
              <w:top w:val="nil"/>
              <w:left w:val="nil"/>
              <w:bottom w:val="nil"/>
              <w:right w:val="nil"/>
            </w:tcBorders>
            <w:shd w:val="clear" w:color="auto" w:fill="FFFFFF"/>
          </w:tcPr>
          <w:p>
            <w:r/>
            <w:r>
              <w:rPr>
                <w:rFonts w:ascii="Times New Roman" w:hAnsi="Times New Roman" w:eastAsia="SimSun"/>
                <w:sz w:val="18"/>
              </w:rPr>
              <w:t>球虫病</w:t>
            </w:r>
          </w:p>
        </w:tc>
        <w:tc>
          <w:tcPr>
            <w:tcW w:type="dxa" w:w="1234"/>
            <w:tcBorders>
              <w:top w:val="nil"/>
              <w:left w:val="nil"/>
              <w:bottom w:val="nil"/>
              <w:right w:val="nil"/>
            </w:tcBorders>
            <w:shd w:val="clear" w:color="auto" w:fill="FFFFFF"/>
          </w:tcPr>
          <w:p>
            <w:r/>
            <w:r>
              <w:rPr>
                <w:rFonts w:ascii="Times New Roman" w:hAnsi="Times New Roman" w:eastAsia="SimSun"/>
                <w:sz w:val="18"/>
              </w:rPr>
              <w:t>MHC-B 及 A/D/E/I 单倍型</w:t>
            </w:r>
          </w:p>
        </w:tc>
        <w:tc>
          <w:tcPr>
            <w:tcW w:type="dxa" w:w="1234"/>
            <w:tcBorders>
              <w:top w:val="nil"/>
              <w:left w:val="nil"/>
              <w:bottom w:val="nil"/>
              <w:right w:val="nil"/>
            </w:tcBorders>
            <w:shd w:val="clear" w:color="auto" w:fill="FFFFFF"/>
          </w:tcPr>
          <w:p>
            <w:r/>
            <w:r>
              <w:rPr>
                <w:rFonts w:ascii="Times New Roman" w:hAnsi="Times New Roman" w:eastAsia="SimSun"/>
                <w:sz w:val="18"/>
              </w:rPr>
              <w:t>单倍型</w:t>
            </w:r>
          </w:p>
        </w:tc>
        <w:tc>
          <w:tcPr>
            <w:tcW w:type="dxa" w:w="1234"/>
            <w:tcBorders>
              <w:top w:val="nil"/>
              <w:left w:val="nil"/>
              <w:bottom w:val="nil"/>
              <w:right w:val="nil"/>
            </w:tcBorders>
            <w:shd w:val="clear" w:color="auto" w:fill="FFFFFF"/>
          </w:tcPr>
          <w:p>
            <w:r/>
            <w:r>
              <w:rPr>
                <w:rFonts w:ascii="Times New Roman" w:hAnsi="Times New Roman" w:eastAsia="SimSun"/>
                <w:sz w:val="18"/>
              </w:rPr>
              <w:t>多免疫系统协同抗性</w:t>
            </w:r>
          </w:p>
        </w:tc>
        <w:tc>
          <w:tcPr>
            <w:tcW w:type="dxa" w:w="1234"/>
            <w:tcBorders>
              <w:top w:val="nil"/>
              <w:left w:val="nil"/>
              <w:bottom w:val="nil"/>
              <w:right w:val="nil"/>
            </w:tcBorders>
            <w:shd w:val="clear" w:color="auto" w:fill="FFFFFF"/>
          </w:tcPr>
          <w:p>
            <w:r/>
            <w:r>
              <w:rPr>
                <w:rFonts w:ascii="Times New Roman" w:hAnsi="Times New Roman" w:eastAsia="SimSun"/>
                <w:sz w:val="18"/>
              </w:rPr>
              <w:t>商业鸡群</w:t>
            </w:r>
          </w:p>
        </w:tc>
        <w:tc>
          <w:tcPr>
            <w:tcW w:type="dxa" w:w="1234"/>
            <w:tcBorders>
              <w:top w:val="nil"/>
              <w:left w:val="nil"/>
              <w:bottom w:val="nil"/>
              <w:right w:val="nil"/>
            </w:tcBorders>
            <w:shd w:val="clear" w:color="auto" w:fill="FFFFFF"/>
          </w:tcPr>
          <w:p>
            <w:r/>
            <w:r>
              <w:rPr>
                <w:rFonts w:ascii="Times New Roman" w:hAnsi="Times New Roman" w:eastAsia="SimSun"/>
                <w:sz w:val="18"/>
              </w:rPr>
              <w:t>[113]</w:t>
            </w:r>
          </w:p>
        </w:tc>
      </w:tr>
      <w:tr>
        <w:tc>
          <w:tcPr>
            <w:tcW w:type="dxa" w:w="1234"/>
            <w:tcBorders>
              <w:top w:val="nil"/>
              <w:left w:val="nil"/>
              <w:bottom w:val="nil"/>
              <w:right w:val="nil"/>
            </w:tcBorders>
            <w:shd w:val="clear" w:color="auto" w:fill="FFFFFF"/>
          </w:tcPr>
          <w:p>
            <w:r/>
            <w:r>
              <w:rPr>
                <w:rFonts w:ascii="Times New Roman" w:hAnsi="Times New Roman" w:eastAsia="SimSun"/>
                <w:sz w:val="18"/>
              </w:rPr>
              <w:t>特色表型</w:t>
            </w:r>
          </w:p>
        </w:tc>
        <w:tc>
          <w:tcPr>
            <w:tcW w:type="dxa" w:w="1234"/>
            <w:tcBorders>
              <w:top w:val="nil"/>
              <w:left w:val="nil"/>
              <w:bottom w:val="nil"/>
              <w:right w:val="nil"/>
            </w:tcBorders>
            <w:shd w:val="clear" w:color="auto" w:fill="FFFFFF"/>
          </w:tcPr>
          <w:p>
            <w:r/>
            <w:r>
              <w:rPr>
                <w:rFonts w:ascii="Times New Roman" w:hAnsi="Times New Roman" w:eastAsia="SimSun"/>
                <w:sz w:val="18"/>
              </w:rPr>
              <w:t>黄色皮肤</w:t>
            </w:r>
          </w:p>
        </w:tc>
        <w:tc>
          <w:tcPr>
            <w:tcW w:type="dxa" w:w="1234"/>
            <w:tcBorders>
              <w:top w:val="nil"/>
              <w:left w:val="nil"/>
              <w:bottom w:val="nil"/>
              <w:right w:val="nil"/>
            </w:tcBorders>
            <w:shd w:val="clear" w:color="auto" w:fill="FFFFFF"/>
          </w:tcPr>
          <w:p>
            <w:r/>
            <w:r>
              <w:rPr>
                <w:rFonts w:ascii="Times New Roman" w:hAnsi="Times New Roman" w:eastAsia="SimSun"/>
                <w:sz w:val="18"/>
              </w:rPr>
              <w:t>BCDO2 (顺式调控)</w:t>
            </w:r>
          </w:p>
        </w:tc>
        <w:tc>
          <w:tcPr>
            <w:tcW w:type="dxa" w:w="1234"/>
            <w:tcBorders>
              <w:top w:val="nil"/>
              <w:left w:val="nil"/>
              <w:bottom w:val="nil"/>
              <w:right w:val="nil"/>
            </w:tcBorders>
            <w:shd w:val="clear" w:color="auto" w:fill="FFFFFF"/>
          </w:tcPr>
          <w:p>
            <w:r/>
            <w:r>
              <w:rPr>
                <w:rFonts w:ascii="Times New Roman" w:hAnsi="Times New Roman" w:eastAsia="SimSun"/>
                <w:sz w:val="18"/>
              </w:rPr>
              <w:t>cis 调控变异</w:t>
            </w:r>
          </w:p>
        </w:tc>
        <w:tc>
          <w:tcPr>
            <w:tcW w:type="dxa" w:w="1234"/>
            <w:tcBorders>
              <w:top w:val="nil"/>
              <w:left w:val="nil"/>
              <w:bottom w:val="nil"/>
              <w:right w:val="nil"/>
            </w:tcBorders>
            <w:shd w:val="clear" w:color="auto" w:fill="FFFFFF"/>
          </w:tcPr>
          <w:p>
            <w:r/>
            <w:r>
              <w:rPr>
                <w:rFonts w:ascii="Times New Roman" w:hAnsi="Times New Roman" w:eastAsia="SimSun"/>
                <w:sz w:val="18"/>
              </w:rPr>
              <w:t>抑制类胡萝卜素裂解;来自灰原鸡渗入</w:t>
            </w:r>
          </w:p>
        </w:tc>
        <w:tc>
          <w:tcPr>
            <w:tcW w:type="dxa" w:w="1234"/>
            <w:tcBorders>
              <w:top w:val="nil"/>
              <w:left w:val="nil"/>
              <w:bottom w:val="nil"/>
              <w:right w:val="nil"/>
            </w:tcBorders>
            <w:shd w:val="clear" w:color="auto" w:fill="FFFFFF"/>
          </w:tcPr>
          <w:p>
            <w:r/>
            <w:r>
              <w:rPr>
                <w:rFonts w:ascii="Times New Roman" w:hAnsi="Times New Roman" w:eastAsia="SimSun"/>
                <w:sz w:val="18"/>
              </w:rPr>
              <w:t>黄皮品种</w:t>
            </w:r>
          </w:p>
        </w:tc>
        <w:tc>
          <w:tcPr>
            <w:tcW w:type="dxa" w:w="1234"/>
            <w:tcBorders>
              <w:top w:val="nil"/>
              <w:left w:val="nil"/>
              <w:bottom w:val="nil"/>
              <w:right w:val="nil"/>
            </w:tcBorders>
            <w:shd w:val="clear" w:color="auto" w:fill="FFFFFF"/>
          </w:tcPr>
          <w:p>
            <w:r/>
            <w:r>
              <w:rPr>
                <w:rFonts w:ascii="Times New Roman" w:hAnsi="Times New Roman" w:eastAsia="SimSun"/>
                <w:sz w:val="18"/>
              </w:rPr>
              <w:t>[22]</w:t>
            </w:r>
          </w:p>
        </w:tc>
      </w:tr>
      <w:tr>
        <w:tc>
          <w:tcPr>
            <w:tcW w:type="dxa" w:w="1234"/>
            <w:tcBorders>
              <w:top w:val="nil"/>
              <w:left w:val="nil"/>
              <w:bottom w:val="nil"/>
              <w:right w:val="nil"/>
            </w:tcBorders>
            <w:shd w:val="clear" w:color="auto" w:fill="FFFFFF"/>
          </w:tcPr>
          <w:p>
            <w:r/>
            <w:r>
              <w:rPr>
                <w:rFonts w:ascii="Times New Roman" w:hAnsi="Times New Roman" w:eastAsia="SimSun"/>
                <w:sz w:val="18"/>
              </w:rPr>
              <w:t>特色表型</w:t>
            </w:r>
          </w:p>
        </w:tc>
        <w:tc>
          <w:tcPr>
            <w:tcW w:type="dxa" w:w="1234"/>
            <w:tcBorders>
              <w:top w:val="nil"/>
              <w:left w:val="nil"/>
              <w:bottom w:val="nil"/>
              <w:right w:val="nil"/>
            </w:tcBorders>
            <w:shd w:val="clear" w:color="auto" w:fill="FFFFFF"/>
          </w:tcPr>
          <w:p>
            <w:r/>
            <w:r>
              <w:rPr>
                <w:rFonts w:ascii="Times New Roman" w:hAnsi="Times New Roman" w:eastAsia="SimSun"/>
                <w:sz w:val="18"/>
              </w:rPr>
              <w:t>纤维黑变</w:t>
            </w:r>
          </w:p>
        </w:tc>
        <w:tc>
          <w:tcPr>
            <w:tcW w:type="dxa" w:w="1234"/>
            <w:tcBorders>
              <w:top w:val="nil"/>
              <w:left w:val="nil"/>
              <w:bottom w:val="nil"/>
              <w:right w:val="nil"/>
            </w:tcBorders>
            <w:shd w:val="clear" w:color="auto" w:fill="FFFFFF"/>
          </w:tcPr>
          <w:p>
            <w:r/>
            <w:r>
              <w:rPr>
                <w:rFonts w:ascii="Times New Roman" w:hAnsi="Times New Roman" w:eastAsia="SimSun"/>
                <w:sz w:val="18"/>
              </w:rPr>
              <w:t>EDN3 (复杂重排)</w:t>
            </w:r>
          </w:p>
        </w:tc>
        <w:tc>
          <w:tcPr>
            <w:tcW w:type="dxa" w:w="1234"/>
            <w:tcBorders>
              <w:top w:val="nil"/>
              <w:left w:val="nil"/>
              <w:bottom w:val="nil"/>
              <w:right w:val="nil"/>
            </w:tcBorders>
            <w:shd w:val="clear" w:color="auto" w:fill="FFFFFF"/>
          </w:tcPr>
          <w:p>
            <w:r/>
            <w:r>
              <w:rPr>
                <w:rFonts w:ascii="Times New Roman" w:hAnsi="Times New Roman" w:eastAsia="SimSun"/>
                <w:sz w:val="18"/>
              </w:rPr>
              <w:t>SV / 重复</w:t>
            </w:r>
          </w:p>
        </w:tc>
        <w:tc>
          <w:tcPr>
            <w:tcW w:type="dxa" w:w="1234"/>
            <w:tcBorders>
              <w:top w:val="nil"/>
              <w:left w:val="nil"/>
              <w:bottom w:val="nil"/>
              <w:right w:val="nil"/>
            </w:tcBorders>
            <w:shd w:val="clear" w:color="auto" w:fill="FFFFFF"/>
          </w:tcPr>
          <w:p>
            <w:r/>
            <w:r>
              <w:rPr>
                <w:rFonts w:ascii="Times New Roman" w:hAnsi="Times New Roman" w:eastAsia="SimSun"/>
                <w:sz w:val="18"/>
              </w:rPr>
              <w:t>EDN3 异位高表达 → 黑色素细胞增殖</w:t>
            </w:r>
          </w:p>
        </w:tc>
        <w:tc>
          <w:tcPr>
            <w:tcW w:type="dxa" w:w="1234"/>
            <w:tcBorders>
              <w:top w:val="nil"/>
              <w:left w:val="nil"/>
              <w:bottom w:val="nil"/>
              <w:right w:val="nil"/>
            </w:tcBorders>
            <w:shd w:val="clear" w:color="auto" w:fill="FFFFFF"/>
          </w:tcPr>
          <w:p>
            <w:r/>
            <w:r>
              <w:rPr>
                <w:rFonts w:ascii="Times New Roman" w:hAnsi="Times New Roman" w:eastAsia="SimSun"/>
                <w:sz w:val="18"/>
              </w:rPr>
              <w:t>乌骨鸡</w:t>
            </w:r>
          </w:p>
        </w:tc>
        <w:tc>
          <w:tcPr>
            <w:tcW w:type="dxa" w:w="1234"/>
            <w:tcBorders>
              <w:top w:val="nil"/>
              <w:left w:val="nil"/>
              <w:bottom w:val="nil"/>
              <w:right w:val="nil"/>
            </w:tcBorders>
            <w:shd w:val="clear" w:color="auto" w:fill="FFFFFF"/>
          </w:tcPr>
          <w:p>
            <w:r/>
            <w:r>
              <w:rPr>
                <w:rFonts w:ascii="Times New Roman" w:hAnsi="Times New Roman" w:eastAsia="SimSun"/>
                <w:sz w:val="18"/>
              </w:rPr>
              <w:t>[116]</w:t>
            </w:r>
          </w:p>
        </w:tc>
      </w:tr>
      <w:tr>
        <w:tc>
          <w:tcPr>
            <w:tcW w:type="dxa" w:w="1234"/>
            <w:tcBorders>
              <w:top w:val="nil"/>
              <w:left w:val="nil"/>
              <w:bottom w:val="nil"/>
              <w:right w:val="nil"/>
            </w:tcBorders>
            <w:shd w:val="clear" w:color="auto" w:fill="FFFFFF"/>
          </w:tcPr>
          <w:p>
            <w:r/>
            <w:r>
              <w:rPr>
                <w:rFonts w:ascii="Times New Roman" w:hAnsi="Times New Roman" w:eastAsia="SimSun"/>
                <w:sz w:val="18"/>
              </w:rPr>
              <w:t>特色表型</w:t>
            </w:r>
          </w:p>
        </w:tc>
        <w:tc>
          <w:tcPr>
            <w:tcW w:type="dxa" w:w="1234"/>
            <w:tcBorders>
              <w:top w:val="nil"/>
              <w:left w:val="nil"/>
              <w:bottom w:val="nil"/>
              <w:right w:val="nil"/>
            </w:tcBorders>
            <w:shd w:val="clear" w:color="auto" w:fill="FFFFFF"/>
          </w:tcPr>
          <w:p>
            <w:r/>
            <w:r>
              <w:rPr>
                <w:rFonts w:ascii="Times New Roman" w:hAnsi="Times New Roman" w:eastAsia="SimSun"/>
                <w:sz w:val="18"/>
              </w:rPr>
              <w:t>显性白/Dun/Smoky</w:t>
            </w:r>
          </w:p>
        </w:tc>
        <w:tc>
          <w:tcPr>
            <w:tcW w:type="dxa" w:w="1234"/>
            <w:tcBorders>
              <w:top w:val="nil"/>
              <w:left w:val="nil"/>
              <w:bottom w:val="nil"/>
              <w:right w:val="nil"/>
            </w:tcBorders>
            <w:shd w:val="clear" w:color="auto" w:fill="FFFFFF"/>
          </w:tcPr>
          <w:p>
            <w:r/>
            <w:r>
              <w:rPr>
                <w:rFonts w:ascii="Times New Roman" w:hAnsi="Times New Roman" w:eastAsia="SimSun"/>
                <w:sz w:val="18"/>
              </w:rPr>
              <w:t>PMEL17/PMEL</w:t>
            </w:r>
          </w:p>
        </w:tc>
        <w:tc>
          <w:tcPr>
            <w:tcW w:type="dxa" w:w="1234"/>
            <w:tcBorders>
              <w:top w:val="nil"/>
              <w:left w:val="nil"/>
              <w:bottom w:val="nil"/>
              <w:right w:val="nil"/>
            </w:tcBorders>
            <w:shd w:val="clear" w:color="auto" w:fill="FFFFFF"/>
          </w:tcPr>
          <w:p>
            <w:r/>
            <w:r>
              <w:rPr>
                <w:rFonts w:ascii="Times New Roman" w:hAnsi="Times New Roman" w:eastAsia="SimSun"/>
                <w:sz w:val="18"/>
              </w:rPr>
              <w:t>Indel</w:t>
            </w:r>
          </w:p>
        </w:tc>
        <w:tc>
          <w:tcPr>
            <w:tcW w:type="dxa" w:w="1234"/>
            <w:tcBorders>
              <w:top w:val="nil"/>
              <w:left w:val="nil"/>
              <w:bottom w:val="nil"/>
              <w:right w:val="nil"/>
            </w:tcBorders>
            <w:shd w:val="clear" w:color="auto" w:fill="FFFFFF"/>
          </w:tcPr>
          <w:p>
            <w:r/>
            <w:r>
              <w:rPr>
                <w:rFonts w:ascii="Times New Roman" w:hAnsi="Times New Roman" w:eastAsia="SimSun"/>
                <w:sz w:val="18"/>
              </w:rPr>
              <w:t>黑素体形成异常</w:t>
            </w:r>
          </w:p>
        </w:tc>
        <w:tc>
          <w:tcPr>
            <w:tcW w:type="dxa" w:w="1234"/>
            <w:tcBorders>
              <w:top w:val="nil"/>
              <w:left w:val="nil"/>
              <w:bottom w:val="nil"/>
              <w:right w:val="nil"/>
            </w:tcBorders>
            <w:shd w:val="clear" w:color="auto" w:fill="FFFFFF"/>
          </w:tcPr>
          <w:p>
            <w:r/>
            <w:r>
              <w:rPr>
                <w:rFonts w:ascii="Times New Roman" w:hAnsi="Times New Roman" w:eastAsia="SimSun"/>
                <w:sz w:val="18"/>
              </w:rPr>
              <w:t>多品种</w:t>
            </w:r>
          </w:p>
        </w:tc>
        <w:tc>
          <w:tcPr>
            <w:tcW w:type="dxa" w:w="1234"/>
            <w:tcBorders>
              <w:top w:val="nil"/>
              <w:left w:val="nil"/>
              <w:bottom w:val="nil"/>
              <w:right w:val="nil"/>
            </w:tcBorders>
            <w:shd w:val="clear" w:color="auto" w:fill="FFFFFF"/>
          </w:tcPr>
          <w:p>
            <w:r/>
            <w:r>
              <w:rPr>
                <w:rFonts w:ascii="Times New Roman" w:hAnsi="Times New Roman" w:eastAsia="SimSun"/>
                <w:sz w:val="18"/>
              </w:rPr>
              <w:t>[117]</w:t>
            </w:r>
          </w:p>
        </w:tc>
      </w:tr>
      <w:tr>
        <w:tc>
          <w:tcPr>
            <w:tcW w:type="dxa" w:w="1234"/>
            <w:tcBorders>
              <w:top w:val="nil"/>
              <w:left w:val="nil"/>
              <w:bottom w:val="nil"/>
              <w:right w:val="nil"/>
            </w:tcBorders>
            <w:shd w:val="clear" w:color="auto" w:fill="FFFFFF"/>
          </w:tcPr>
          <w:p>
            <w:r/>
            <w:r>
              <w:rPr>
                <w:rFonts w:ascii="Times New Roman" w:hAnsi="Times New Roman" w:eastAsia="SimSun"/>
                <w:sz w:val="18"/>
              </w:rPr>
              <w:t>特色表型</w:t>
            </w:r>
          </w:p>
        </w:tc>
        <w:tc>
          <w:tcPr>
            <w:tcW w:type="dxa" w:w="1234"/>
            <w:tcBorders>
              <w:top w:val="nil"/>
              <w:left w:val="nil"/>
              <w:bottom w:val="nil"/>
              <w:right w:val="nil"/>
            </w:tcBorders>
            <w:shd w:val="clear" w:color="auto" w:fill="FFFFFF"/>
          </w:tcPr>
          <w:p>
            <w:r/>
            <w:r>
              <w:rPr>
                <w:rFonts w:ascii="Times New Roman" w:hAnsi="Times New Roman" w:eastAsia="SimSun"/>
                <w:sz w:val="18"/>
              </w:rPr>
              <w:t>Pea-comb</w:t>
            </w:r>
          </w:p>
        </w:tc>
        <w:tc>
          <w:tcPr>
            <w:tcW w:type="dxa" w:w="1234"/>
            <w:tcBorders>
              <w:top w:val="nil"/>
              <w:left w:val="nil"/>
              <w:bottom w:val="nil"/>
              <w:right w:val="nil"/>
            </w:tcBorders>
            <w:shd w:val="clear" w:color="auto" w:fill="FFFFFF"/>
          </w:tcPr>
          <w:p>
            <w:r/>
            <w:r>
              <w:rPr>
                <w:rFonts w:ascii="Times New Roman" w:hAnsi="Times New Roman" w:eastAsia="SimSun"/>
                <w:sz w:val="18"/>
              </w:rPr>
              <w:t>SOX5 内含子 1</w:t>
            </w:r>
          </w:p>
        </w:tc>
        <w:tc>
          <w:tcPr>
            <w:tcW w:type="dxa" w:w="1234"/>
            <w:tcBorders>
              <w:top w:val="nil"/>
              <w:left w:val="nil"/>
              <w:bottom w:val="nil"/>
              <w:right w:val="nil"/>
            </w:tcBorders>
            <w:shd w:val="clear" w:color="auto" w:fill="FFFFFF"/>
          </w:tcPr>
          <w:p>
            <w:r/>
            <w:r>
              <w:rPr>
                <w:rFonts w:ascii="Times New Roman" w:hAnsi="Times New Roman" w:eastAsia="SimSun"/>
                <w:sz w:val="18"/>
              </w:rPr>
              <w:t>CNV</w:t>
            </w:r>
          </w:p>
        </w:tc>
        <w:tc>
          <w:tcPr>
            <w:tcW w:type="dxa" w:w="1234"/>
            <w:tcBorders>
              <w:top w:val="nil"/>
              <w:left w:val="nil"/>
              <w:bottom w:val="nil"/>
              <w:right w:val="nil"/>
            </w:tcBorders>
            <w:shd w:val="clear" w:color="auto" w:fill="FFFFFF"/>
          </w:tcPr>
          <w:p>
            <w:r/>
            <w:r>
              <w:rPr>
                <w:rFonts w:ascii="Times New Roman" w:hAnsi="Times New Roman" w:eastAsia="SimSun"/>
                <w:sz w:val="18"/>
              </w:rPr>
              <w:t>SOX5 异位表达,改变冠部发育</w:t>
            </w:r>
          </w:p>
        </w:tc>
        <w:tc>
          <w:tcPr>
            <w:tcW w:type="dxa" w:w="1234"/>
            <w:tcBorders>
              <w:top w:val="nil"/>
              <w:left w:val="nil"/>
              <w:bottom w:val="nil"/>
              <w:right w:val="nil"/>
            </w:tcBorders>
            <w:shd w:val="clear" w:color="auto" w:fill="FFFFFF"/>
          </w:tcPr>
          <w:p>
            <w:r/>
            <w:r>
              <w:rPr>
                <w:rFonts w:ascii="Times New Roman" w:hAnsi="Times New Roman" w:eastAsia="SimSun"/>
                <w:sz w:val="18"/>
              </w:rPr>
              <w:t>豆冠鸡</w:t>
            </w:r>
          </w:p>
        </w:tc>
        <w:tc>
          <w:tcPr>
            <w:tcW w:type="dxa" w:w="1234"/>
            <w:tcBorders>
              <w:top w:val="nil"/>
              <w:left w:val="nil"/>
              <w:bottom w:val="nil"/>
              <w:right w:val="nil"/>
            </w:tcBorders>
            <w:shd w:val="clear" w:color="auto" w:fill="FFFFFF"/>
          </w:tcPr>
          <w:p>
            <w:r/>
            <w:r>
              <w:rPr>
                <w:rFonts w:ascii="Times New Roman" w:hAnsi="Times New Roman" w:eastAsia="SimSun"/>
                <w:sz w:val="18"/>
              </w:rPr>
              <w:t>[118]</w:t>
            </w:r>
          </w:p>
        </w:tc>
      </w:tr>
      <w:tr>
        <w:tc>
          <w:tcPr>
            <w:tcW w:type="dxa" w:w="1234"/>
            <w:tcBorders>
              <w:top w:val="nil"/>
              <w:left w:val="nil"/>
              <w:bottom w:val="nil"/>
              <w:right w:val="nil"/>
            </w:tcBorders>
            <w:shd w:val="clear" w:color="auto" w:fill="FFFFFF"/>
          </w:tcPr>
          <w:p>
            <w:r/>
            <w:r>
              <w:rPr>
                <w:rFonts w:ascii="Times New Roman" w:hAnsi="Times New Roman" w:eastAsia="SimSun"/>
                <w:sz w:val="18"/>
              </w:rPr>
              <w:t>特色表型</w:t>
            </w:r>
          </w:p>
        </w:tc>
        <w:tc>
          <w:tcPr>
            <w:tcW w:type="dxa" w:w="1234"/>
            <w:tcBorders>
              <w:top w:val="nil"/>
              <w:left w:val="nil"/>
              <w:bottom w:val="nil"/>
              <w:right w:val="nil"/>
            </w:tcBorders>
            <w:shd w:val="clear" w:color="auto" w:fill="FFFFFF"/>
          </w:tcPr>
          <w:p>
            <w:r/>
            <w:r>
              <w:rPr>
                <w:rFonts w:ascii="Times New Roman" w:hAnsi="Times New Roman" w:eastAsia="SimSun"/>
                <w:sz w:val="18"/>
              </w:rPr>
              <w:t>Rose-comb</w:t>
            </w:r>
          </w:p>
        </w:tc>
        <w:tc>
          <w:tcPr>
            <w:tcW w:type="dxa" w:w="1234"/>
            <w:tcBorders>
              <w:top w:val="nil"/>
              <w:left w:val="nil"/>
              <w:bottom w:val="nil"/>
              <w:right w:val="nil"/>
            </w:tcBorders>
            <w:shd w:val="clear" w:color="auto" w:fill="FFFFFF"/>
          </w:tcPr>
          <w:p>
            <w:r/>
            <w:r>
              <w:rPr>
                <w:rFonts w:ascii="Times New Roman" w:hAnsi="Times New Roman" w:eastAsia="SimSun"/>
                <w:sz w:val="18"/>
              </w:rPr>
              <w:t>MNR2 / CCDC108</w:t>
            </w:r>
          </w:p>
        </w:tc>
        <w:tc>
          <w:tcPr>
            <w:tcW w:type="dxa" w:w="1234"/>
            <w:tcBorders>
              <w:top w:val="nil"/>
              <w:left w:val="nil"/>
              <w:bottom w:val="nil"/>
              <w:right w:val="nil"/>
            </w:tcBorders>
            <w:shd w:val="clear" w:color="auto" w:fill="FFFFFF"/>
          </w:tcPr>
          <w:p>
            <w:r/>
            <w:r>
              <w:rPr>
                <w:rFonts w:ascii="Times New Roman" w:hAnsi="Times New Roman" w:eastAsia="SimSun"/>
                <w:sz w:val="18"/>
              </w:rPr>
              <w:t>大片段倒位</w:t>
            </w:r>
          </w:p>
        </w:tc>
        <w:tc>
          <w:tcPr>
            <w:tcW w:type="dxa" w:w="1234"/>
            <w:tcBorders>
              <w:top w:val="nil"/>
              <w:left w:val="nil"/>
              <w:bottom w:val="nil"/>
              <w:right w:val="nil"/>
            </w:tcBorders>
            <w:shd w:val="clear" w:color="auto" w:fill="FFFFFF"/>
          </w:tcPr>
          <w:p>
            <w:r/>
            <w:r>
              <w:rPr>
                <w:rFonts w:ascii="Times New Roman" w:hAnsi="Times New Roman" w:eastAsia="SimSun"/>
                <w:sz w:val="18"/>
              </w:rPr>
              <w:t>MNR2 异位 + 雄性生殖力下降</w:t>
            </w:r>
          </w:p>
        </w:tc>
        <w:tc>
          <w:tcPr>
            <w:tcW w:type="dxa" w:w="1234"/>
            <w:tcBorders>
              <w:top w:val="nil"/>
              <w:left w:val="nil"/>
              <w:bottom w:val="nil"/>
              <w:right w:val="nil"/>
            </w:tcBorders>
            <w:shd w:val="clear" w:color="auto" w:fill="FFFFFF"/>
          </w:tcPr>
          <w:p>
            <w:r/>
            <w:r>
              <w:rPr>
                <w:rFonts w:ascii="Times New Roman" w:hAnsi="Times New Roman" w:eastAsia="SimSun"/>
                <w:sz w:val="18"/>
              </w:rPr>
              <w:t>玫瑰冠鸡</w:t>
            </w:r>
          </w:p>
        </w:tc>
        <w:tc>
          <w:tcPr>
            <w:tcW w:type="dxa" w:w="1234"/>
            <w:tcBorders>
              <w:top w:val="nil"/>
              <w:left w:val="nil"/>
              <w:bottom w:val="nil"/>
              <w:right w:val="nil"/>
            </w:tcBorders>
            <w:shd w:val="clear" w:color="auto" w:fill="FFFFFF"/>
          </w:tcPr>
          <w:p>
            <w:r/>
            <w:r>
              <w:rPr>
                <w:rFonts w:ascii="Times New Roman" w:hAnsi="Times New Roman" w:eastAsia="SimSun"/>
                <w:sz w:val="18"/>
              </w:rPr>
              <w:t>[119]</w:t>
            </w:r>
          </w:p>
        </w:tc>
      </w:tr>
      <w:tr>
        <w:tc>
          <w:tcPr>
            <w:tcW w:type="dxa" w:w="1234"/>
            <w:tcBorders>
              <w:top w:val="nil"/>
              <w:left w:val="nil"/>
              <w:bottom w:val="nil"/>
              <w:right w:val="nil"/>
            </w:tcBorders>
            <w:shd w:val="clear" w:color="auto" w:fill="FFFFFF"/>
          </w:tcPr>
          <w:p>
            <w:r/>
            <w:r>
              <w:rPr>
                <w:rFonts w:ascii="Times New Roman" w:hAnsi="Times New Roman" w:eastAsia="SimSun"/>
                <w:sz w:val="18"/>
              </w:rPr>
              <w:t>特色表型</w:t>
            </w:r>
          </w:p>
        </w:tc>
        <w:tc>
          <w:tcPr>
            <w:tcW w:type="dxa" w:w="1234"/>
            <w:tcBorders>
              <w:top w:val="nil"/>
              <w:left w:val="nil"/>
              <w:bottom w:val="nil"/>
              <w:right w:val="nil"/>
            </w:tcBorders>
            <w:shd w:val="clear" w:color="auto" w:fill="FFFFFF"/>
          </w:tcPr>
          <w:p>
            <w:r/>
            <w:r>
              <w:rPr>
                <w:rFonts w:ascii="Times New Roman" w:hAnsi="Times New Roman" w:eastAsia="SimSun"/>
                <w:sz w:val="18"/>
              </w:rPr>
              <w:t>Crest</w:t>
            </w:r>
          </w:p>
        </w:tc>
        <w:tc>
          <w:tcPr>
            <w:tcW w:type="dxa" w:w="1234"/>
            <w:tcBorders>
              <w:top w:val="nil"/>
              <w:left w:val="nil"/>
              <w:bottom w:val="nil"/>
              <w:right w:val="nil"/>
            </w:tcBorders>
            <w:shd w:val="clear" w:color="auto" w:fill="FFFFFF"/>
          </w:tcPr>
          <w:p>
            <w:r/>
            <w:r>
              <w:rPr>
                <w:rFonts w:ascii="Times New Roman" w:hAnsi="Times New Roman" w:eastAsia="SimSun"/>
                <w:sz w:val="18"/>
              </w:rPr>
              <w:t>HOXC10 内含子</w:t>
            </w:r>
          </w:p>
        </w:tc>
        <w:tc>
          <w:tcPr>
            <w:tcW w:type="dxa" w:w="1234"/>
            <w:tcBorders>
              <w:top w:val="nil"/>
              <w:left w:val="nil"/>
              <w:bottom w:val="nil"/>
              <w:right w:val="nil"/>
            </w:tcBorders>
            <w:shd w:val="clear" w:color="auto" w:fill="FFFFFF"/>
          </w:tcPr>
          <w:p>
            <w:r/>
            <w:r>
              <w:rPr>
                <w:rFonts w:ascii="Times New Roman" w:hAnsi="Times New Roman" w:eastAsia="SimSun"/>
                <w:sz w:val="18"/>
              </w:rPr>
              <w:t>重复</w:t>
            </w:r>
          </w:p>
        </w:tc>
        <w:tc>
          <w:tcPr>
            <w:tcW w:type="dxa" w:w="1234"/>
            <w:tcBorders>
              <w:top w:val="nil"/>
              <w:left w:val="nil"/>
              <w:bottom w:val="nil"/>
              <w:right w:val="nil"/>
            </w:tcBorders>
            <w:shd w:val="clear" w:color="auto" w:fill="FFFFFF"/>
          </w:tcPr>
          <w:p>
            <w:r/>
            <w:r>
              <w:rPr>
                <w:rFonts w:ascii="Times New Roman" w:hAnsi="Times New Roman" w:eastAsia="SimSun"/>
                <w:sz w:val="18"/>
              </w:rPr>
              <w:t>增强子异常 → 颅顶 HOXC 异位</w:t>
            </w:r>
          </w:p>
        </w:tc>
        <w:tc>
          <w:tcPr>
            <w:tcW w:type="dxa" w:w="1234"/>
            <w:tcBorders>
              <w:top w:val="nil"/>
              <w:left w:val="nil"/>
              <w:bottom w:val="nil"/>
              <w:right w:val="nil"/>
            </w:tcBorders>
            <w:shd w:val="clear" w:color="auto" w:fill="FFFFFF"/>
          </w:tcPr>
          <w:p>
            <w:r/>
            <w:r>
              <w:rPr>
                <w:rFonts w:ascii="Times New Roman" w:hAnsi="Times New Roman" w:eastAsia="SimSun"/>
                <w:sz w:val="18"/>
              </w:rPr>
              <w:t>凤头鸡</w:t>
            </w:r>
          </w:p>
        </w:tc>
        <w:tc>
          <w:tcPr>
            <w:tcW w:type="dxa" w:w="1234"/>
            <w:tcBorders>
              <w:top w:val="nil"/>
              <w:left w:val="nil"/>
              <w:bottom w:val="nil"/>
              <w:right w:val="nil"/>
            </w:tcBorders>
            <w:shd w:val="clear" w:color="auto" w:fill="FFFFFF"/>
          </w:tcPr>
          <w:p>
            <w:r/>
            <w:r>
              <w:rPr>
                <w:rFonts w:ascii="Times New Roman" w:hAnsi="Times New Roman" w:eastAsia="SimSun"/>
                <w:sz w:val="18"/>
              </w:rPr>
              <w:t>[121]</w:t>
            </w:r>
          </w:p>
        </w:tc>
      </w:tr>
      <w:tr>
        <w:tc>
          <w:tcPr>
            <w:tcW w:type="dxa" w:w="1234"/>
            <w:tcBorders>
              <w:top w:val="nil"/>
              <w:left w:val="nil"/>
              <w:bottom w:val="nil"/>
              <w:right w:val="nil"/>
            </w:tcBorders>
            <w:shd w:val="clear" w:color="auto" w:fill="FFFFFF"/>
          </w:tcPr>
          <w:p>
            <w:r/>
            <w:r>
              <w:rPr>
                <w:rFonts w:ascii="Times New Roman" w:hAnsi="Times New Roman" w:eastAsia="SimSun"/>
                <w:sz w:val="18"/>
              </w:rPr>
              <w:t>特色表型</w:t>
            </w:r>
          </w:p>
        </w:tc>
        <w:tc>
          <w:tcPr>
            <w:tcW w:type="dxa" w:w="1234"/>
            <w:tcBorders>
              <w:top w:val="nil"/>
              <w:left w:val="nil"/>
              <w:bottom w:val="nil"/>
              <w:right w:val="nil"/>
            </w:tcBorders>
            <w:shd w:val="clear" w:color="auto" w:fill="FFFFFF"/>
          </w:tcPr>
          <w:p>
            <w:r/>
            <w:r>
              <w:rPr>
                <w:rFonts w:ascii="Times New Roman" w:hAnsi="Times New Roman" w:eastAsia="SimSun"/>
                <w:sz w:val="18"/>
              </w:rPr>
              <w:t>Frizzle</w:t>
            </w:r>
          </w:p>
        </w:tc>
        <w:tc>
          <w:tcPr>
            <w:tcW w:type="dxa" w:w="1234"/>
            <w:tcBorders>
              <w:top w:val="nil"/>
              <w:left w:val="nil"/>
              <w:bottom w:val="nil"/>
              <w:right w:val="nil"/>
            </w:tcBorders>
            <w:shd w:val="clear" w:color="auto" w:fill="FFFFFF"/>
          </w:tcPr>
          <w:p>
            <w:r/>
            <w:r>
              <w:rPr>
                <w:rFonts w:ascii="Times New Roman" w:hAnsi="Times New Roman" w:eastAsia="SimSun"/>
                <w:sz w:val="18"/>
              </w:rPr>
              <w:t>KRT75</w:t>
            </w:r>
          </w:p>
        </w:tc>
        <w:tc>
          <w:tcPr>
            <w:tcW w:type="dxa" w:w="1234"/>
            <w:tcBorders>
              <w:top w:val="nil"/>
              <w:left w:val="nil"/>
              <w:bottom w:val="nil"/>
              <w:right w:val="nil"/>
            </w:tcBorders>
            <w:shd w:val="clear" w:color="auto" w:fill="FFFFFF"/>
          </w:tcPr>
          <w:p>
            <w:r/>
            <w:r>
              <w:rPr>
                <w:rFonts w:ascii="Times New Roman" w:hAnsi="Times New Roman" w:eastAsia="SimSun"/>
                <w:sz w:val="18"/>
              </w:rPr>
              <w:t>编码区突变</w:t>
            </w:r>
          </w:p>
        </w:tc>
        <w:tc>
          <w:tcPr>
            <w:tcW w:type="dxa" w:w="1234"/>
            <w:tcBorders>
              <w:top w:val="nil"/>
              <w:left w:val="nil"/>
              <w:bottom w:val="nil"/>
              <w:right w:val="nil"/>
            </w:tcBorders>
            <w:shd w:val="clear" w:color="auto" w:fill="FFFFFF"/>
          </w:tcPr>
          <w:p>
            <w:r/>
            <w:r>
              <w:rPr>
                <w:rFonts w:ascii="Times New Roman" w:hAnsi="Times New Roman" w:eastAsia="SimSun"/>
                <w:sz w:val="18"/>
              </w:rPr>
              <w:t>α-角蛋白缺陷,羽轴发育异常</w:t>
            </w:r>
          </w:p>
        </w:tc>
        <w:tc>
          <w:tcPr>
            <w:tcW w:type="dxa" w:w="1234"/>
            <w:tcBorders>
              <w:top w:val="nil"/>
              <w:left w:val="nil"/>
              <w:bottom w:val="nil"/>
              <w:right w:val="nil"/>
            </w:tcBorders>
            <w:shd w:val="clear" w:color="auto" w:fill="FFFFFF"/>
          </w:tcPr>
          <w:p>
            <w:r/>
            <w:r>
              <w:rPr>
                <w:rFonts w:ascii="Times New Roman" w:hAnsi="Times New Roman" w:eastAsia="SimSun"/>
                <w:sz w:val="18"/>
              </w:rPr>
              <w:t>卷羽鸡</w:t>
            </w:r>
          </w:p>
        </w:tc>
        <w:tc>
          <w:tcPr>
            <w:tcW w:type="dxa" w:w="1234"/>
            <w:tcBorders>
              <w:top w:val="nil"/>
              <w:left w:val="nil"/>
              <w:bottom w:val="nil"/>
              <w:right w:val="nil"/>
            </w:tcBorders>
            <w:shd w:val="clear" w:color="auto" w:fill="FFFFFF"/>
          </w:tcPr>
          <w:p>
            <w:r/>
            <w:r>
              <w:rPr>
                <w:rFonts w:ascii="Times New Roman" w:hAnsi="Times New Roman" w:eastAsia="SimSun"/>
                <w:sz w:val="18"/>
              </w:rPr>
              <w:t>[123]</w:t>
            </w:r>
          </w:p>
        </w:tc>
      </w:tr>
      <w:tr>
        <w:tc>
          <w:tcPr>
            <w:tcW w:type="dxa" w:w="1234"/>
            <w:tcBorders>
              <w:top w:val="nil"/>
              <w:left w:val="nil"/>
              <w:bottom w:val="nil"/>
              <w:right w:val="nil"/>
            </w:tcBorders>
            <w:shd w:val="clear" w:color="auto" w:fill="FFFFFF"/>
          </w:tcPr>
          <w:p>
            <w:r/>
            <w:r>
              <w:rPr>
                <w:rFonts w:ascii="Times New Roman" w:hAnsi="Times New Roman" w:eastAsia="SimSun"/>
                <w:sz w:val="18"/>
              </w:rPr>
              <w:t>特色表型</w:t>
            </w:r>
          </w:p>
        </w:tc>
        <w:tc>
          <w:tcPr>
            <w:tcW w:type="dxa" w:w="1234"/>
            <w:tcBorders>
              <w:top w:val="nil"/>
              <w:left w:val="nil"/>
              <w:bottom w:val="nil"/>
              <w:right w:val="nil"/>
            </w:tcBorders>
            <w:shd w:val="clear" w:color="auto" w:fill="FFFFFF"/>
          </w:tcPr>
          <w:p>
            <w:r/>
            <w:r>
              <w:rPr>
                <w:rFonts w:ascii="Times New Roman" w:hAnsi="Times New Roman" w:eastAsia="SimSun"/>
                <w:sz w:val="18"/>
              </w:rPr>
              <w:t>Naked neck</w:t>
            </w:r>
          </w:p>
        </w:tc>
        <w:tc>
          <w:tcPr>
            <w:tcW w:type="dxa" w:w="1234"/>
            <w:tcBorders>
              <w:top w:val="nil"/>
              <w:left w:val="nil"/>
              <w:bottom w:val="nil"/>
              <w:right w:val="nil"/>
            </w:tcBorders>
            <w:shd w:val="clear" w:color="auto" w:fill="FFFFFF"/>
          </w:tcPr>
          <w:p>
            <w:r/>
            <w:r>
              <w:rPr>
                <w:rFonts w:ascii="Times New Roman" w:hAnsi="Times New Roman" w:eastAsia="SimSun"/>
                <w:sz w:val="18"/>
              </w:rPr>
              <w:t>BMP12/GDF7 远程调控</w:t>
            </w:r>
          </w:p>
        </w:tc>
        <w:tc>
          <w:tcPr>
            <w:tcW w:type="dxa" w:w="1234"/>
            <w:tcBorders>
              <w:top w:val="nil"/>
              <w:left w:val="nil"/>
              <w:bottom w:val="nil"/>
              <w:right w:val="nil"/>
            </w:tcBorders>
            <w:shd w:val="clear" w:color="auto" w:fill="FFFFFF"/>
          </w:tcPr>
          <w:p>
            <w:r/>
            <w:r>
              <w:rPr>
                <w:rFonts w:ascii="Times New Roman" w:hAnsi="Times New Roman" w:eastAsia="SimSun"/>
                <w:sz w:val="18"/>
              </w:rPr>
              <w:t>插入 (cis 远程)</w:t>
            </w:r>
          </w:p>
        </w:tc>
        <w:tc>
          <w:tcPr>
            <w:tcW w:type="dxa" w:w="1234"/>
            <w:tcBorders>
              <w:top w:val="nil"/>
              <w:left w:val="nil"/>
              <w:bottom w:val="nil"/>
              <w:right w:val="nil"/>
            </w:tcBorders>
            <w:shd w:val="clear" w:color="auto" w:fill="FFFFFF"/>
          </w:tcPr>
          <w:p>
            <w:r/>
            <w:r>
              <w:rPr>
                <w:rFonts w:ascii="Times New Roman" w:hAnsi="Times New Roman" w:eastAsia="SimSun"/>
                <w:sz w:val="18"/>
              </w:rPr>
              <w:t>抑制颈部羽毛原基,改善散热</w:t>
            </w:r>
          </w:p>
        </w:tc>
        <w:tc>
          <w:tcPr>
            <w:tcW w:type="dxa" w:w="1234"/>
            <w:tcBorders>
              <w:top w:val="nil"/>
              <w:left w:val="nil"/>
              <w:bottom w:val="nil"/>
              <w:right w:val="nil"/>
            </w:tcBorders>
            <w:shd w:val="clear" w:color="auto" w:fill="FFFFFF"/>
          </w:tcPr>
          <w:p>
            <w:r/>
            <w:r>
              <w:rPr>
                <w:rFonts w:ascii="Times New Roman" w:hAnsi="Times New Roman" w:eastAsia="SimSun"/>
                <w:sz w:val="18"/>
              </w:rPr>
              <w:t>裸颈鸡</w:t>
            </w:r>
          </w:p>
        </w:tc>
        <w:tc>
          <w:tcPr>
            <w:tcW w:type="dxa" w:w="1234"/>
            <w:tcBorders>
              <w:top w:val="nil"/>
              <w:left w:val="nil"/>
              <w:bottom w:val="nil"/>
              <w:right w:val="nil"/>
            </w:tcBorders>
            <w:shd w:val="clear" w:color="auto" w:fill="FFFFFF"/>
          </w:tcPr>
          <w:p>
            <w:r/>
            <w:r>
              <w:rPr>
                <w:rFonts w:ascii="Times New Roman" w:hAnsi="Times New Roman" w:eastAsia="SimSun"/>
                <w:sz w:val="18"/>
              </w:rPr>
              <w:t>[124][135]</w:t>
            </w:r>
          </w:p>
        </w:tc>
      </w:tr>
      <w:tr>
        <w:tc>
          <w:tcPr>
            <w:tcW w:type="dxa" w:w="1234"/>
            <w:tcBorders>
              <w:top w:val="nil"/>
              <w:left w:val="nil"/>
              <w:bottom w:val="nil"/>
              <w:right w:val="nil"/>
            </w:tcBorders>
            <w:shd w:val="clear" w:color="auto" w:fill="FFFFFF"/>
          </w:tcPr>
          <w:p>
            <w:r/>
            <w:r>
              <w:rPr>
                <w:rFonts w:ascii="Times New Roman" w:hAnsi="Times New Roman" w:eastAsia="SimSun"/>
                <w:sz w:val="18"/>
              </w:rPr>
              <w:t>特色表型</w:t>
            </w:r>
          </w:p>
        </w:tc>
        <w:tc>
          <w:tcPr>
            <w:tcW w:type="dxa" w:w="1234"/>
            <w:tcBorders>
              <w:top w:val="nil"/>
              <w:left w:val="nil"/>
              <w:bottom w:val="nil"/>
              <w:right w:val="nil"/>
            </w:tcBorders>
            <w:shd w:val="clear" w:color="auto" w:fill="FFFFFF"/>
          </w:tcPr>
          <w:p>
            <w:r/>
            <w:r>
              <w:rPr>
                <w:rFonts w:ascii="Times New Roman" w:hAnsi="Times New Roman" w:eastAsia="SimSun"/>
                <w:sz w:val="18"/>
              </w:rPr>
              <w:t>Scaleless</w:t>
            </w:r>
          </w:p>
        </w:tc>
        <w:tc>
          <w:tcPr>
            <w:tcW w:type="dxa" w:w="1234"/>
            <w:tcBorders>
              <w:top w:val="nil"/>
              <w:left w:val="nil"/>
              <w:bottom w:val="nil"/>
              <w:right w:val="nil"/>
            </w:tcBorders>
            <w:shd w:val="clear" w:color="auto" w:fill="FFFFFF"/>
          </w:tcPr>
          <w:p>
            <w:r/>
            <w:r>
              <w:rPr>
                <w:rFonts w:ascii="Times New Roman" w:hAnsi="Times New Roman" w:eastAsia="SimSun"/>
                <w:sz w:val="18"/>
              </w:rPr>
              <w:t>FGF20</w:t>
            </w:r>
          </w:p>
        </w:tc>
        <w:tc>
          <w:tcPr>
            <w:tcW w:type="dxa" w:w="1234"/>
            <w:tcBorders>
              <w:top w:val="nil"/>
              <w:left w:val="nil"/>
              <w:bottom w:val="nil"/>
              <w:right w:val="nil"/>
            </w:tcBorders>
            <w:shd w:val="clear" w:color="auto" w:fill="FFFFFF"/>
          </w:tcPr>
          <w:p>
            <w:r/>
            <w:r>
              <w:rPr>
                <w:rFonts w:ascii="Times New Roman" w:hAnsi="Times New Roman" w:eastAsia="SimSun"/>
                <w:sz w:val="18"/>
              </w:rPr>
              <w:t>无义突变</w:t>
            </w:r>
          </w:p>
        </w:tc>
        <w:tc>
          <w:tcPr>
            <w:tcW w:type="dxa" w:w="1234"/>
            <w:tcBorders>
              <w:top w:val="nil"/>
              <w:left w:val="nil"/>
              <w:bottom w:val="nil"/>
              <w:right w:val="nil"/>
            </w:tcBorders>
            <w:shd w:val="clear" w:color="auto" w:fill="FFFFFF"/>
          </w:tcPr>
          <w:p>
            <w:r/>
            <w:r>
              <w:rPr>
                <w:rFonts w:ascii="Times New Roman" w:hAnsi="Times New Roman" w:eastAsia="SimSun"/>
                <w:sz w:val="18"/>
              </w:rPr>
              <w:t>表皮原基不稳定</w:t>
            </w:r>
          </w:p>
        </w:tc>
        <w:tc>
          <w:tcPr>
            <w:tcW w:type="dxa" w:w="1234"/>
            <w:tcBorders>
              <w:top w:val="nil"/>
              <w:left w:val="nil"/>
              <w:bottom w:val="nil"/>
              <w:right w:val="nil"/>
            </w:tcBorders>
            <w:shd w:val="clear" w:color="auto" w:fill="FFFFFF"/>
          </w:tcPr>
          <w:p>
            <w:r/>
            <w:r>
              <w:rPr>
                <w:rFonts w:ascii="Times New Roman" w:hAnsi="Times New Roman" w:eastAsia="SimSun"/>
                <w:sz w:val="18"/>
              </w:rPr>
              <w:t>无鳞鸡</w:t>
            </w:r>
          </w:p>
        </w:tc>
        <w:tc>
          <w:tcPr>
            <w:tcW w:type="dxa" w:w="1234"/>
            <w:tcBorders>
              <w:top w:val="nil"/>
              <w:left w:val="nil"/>
              <w:bottom w:val="nil"/>
              <w:right w:val="nil"/>
            </w:tcBorders>
            <w:shd w:val="clear" w:color="auto" w:fill="FFFFFF"/>
          </w:tcPr>
          <w:p>
            <w:r/>
            <w:r>
              <w:rPr>
                <w:rFonts w:ascii="Times New Roman" w:hAnsi="Times New Roman" w:eastAsia="SimSun"/>
                <w:sz w:val="18"/>
              </w:rPr>
              <w:t>[125]</w:t>
            </w:r>
          </w:p>
        </w:tc>
      </w:tr>
      <w:tr>
        <w:tc>
          <w:tcPr>
            <w:tcW w:type="dxa" w:w="1234"/>
            <w:tcBorders>
              <w:top w:val="nil"/>
              <w:left w:val="nil"/>
              <w:bottom w:val="nil"/>
              <w:right w:val="nil"/>
            </w:tcBorders>
            <w:shd w:val="clear" w:color="auto" w:fill="FFFFFF"/>
          </w:tcPr>
          <w:p>
            <w:r/>
            <w:r>
              <w:rPr>
                <w:rFonts w:ascii="Times New Roman" w:hAnsi="Times New Roman" w:eastAsia="SimSun"/>
                <w:sz w:val="18"/>
              </w:rPr>
              <w:t>特色表型</w:t>
            </w:r>
          </w:p>
        </w:tc>
        <w:tc>
          <w:tcPr>
            <w:tcW w:type="dxa" w:w="1234"/>
            <w:tcBorders>
              <w:top w:val="nil"/>
              <w:left w:val="nil"/>
              <w:bottom w:val="nil"/>
              <w:right w:val="nil"/>
            </w:tcBorders>
            <w:shd w:val="clear" w:color="auto" w:fill="FFFFFF"/>
          </w:tcPr>
          <w:p>
            <w:r/>
            <w:r>
              <w:rPr>
                <w:rFonts w:ascii="Times New Roman" w:hAnsi="Times New Roman" w:eastAsia="SimSun"/>
                <w:sz w:val="18"/>
              </w:rPr>
              <w:t>Silky (hookless)</w:t>
            </w:r>
          </w:p>
        </w:tc>
        <w:tc>
          <w:tcPr>
            <w:tcW w:type="dxa" w:w="1234"/>
            <w:tcBorders>
              <w:top w:val="nil"/>
              <w:left w:val="nil"/>
              <w:bottom w:val="nil"/>
              <w:right w:val="nil"/>
            </w:tcBorders>
            <w:shd w:val="clear" w:color="auto" w:fill="FFFFFF"/>
          </w:tcPr>
          <w:p>
            <w:r/>
            <w:r>
              <w:rPr>
                <w:rFonts w:ascii="Times New Roman" w:hAnsi="Times New Roman" w:eastAsia="SimSun"/>
                <w:sz w:val="18"/>
              </w:rPr>
              <w:t>PDSS2 上游调控</w:t>
            </w:r>
          </w:p>
        </w:tc>
        <w:tc>
          <w:tcPr>
            <w:tcW w:type="dxa" w:w="1234"/>
            <w:tcBorders>
              <w:top w:val="nil"/>
              <w:left w:val="nil"/>
              <w:bottom w:val="nil"/>
              <w:right w:val="nil"/>
            </w:tcBorders>
            <w:shd w:val="clear" w:color="auto" w:fill="FFFFFF"/>
          </w:tcPr>
          <w:p>
            <w:r/>
            <w:r>
              <w:rPr>
                <w:rFonts w:ascii="Times New Roman" w:hAnsi="Times New Roman" w:eastAsia="SimSun"/>
                <w:sz w:val="18"/>
              </w:rPr>
              <w:t>cis 调控变异</w:t>
            </w:r>
          </w:p>
        </w:tc>
        <w:tc>
          <w:tcPr>
            <w:tcW w:type="dxa" w:w="1234"/>
            <w:tcBorders>
              <w:top w:val="nil"/>
              <w:left w:val="nil"/>
              <w:bottom w:val="nil"/>
              <w:right w:val="nil"/>
            </w:tcBorders>
            <w:shd w:val="clear" w:color="auto" w:fill="FFFFFF"/>
          </w:tcPr>
          <w:p>
            <w:r/>
            <w:r>
              <w:rPr>
                <w:rFonts w:ascii="Times New Roman" w:hAnsi="Times New Roman" w:eastAsia="SimSun"/>
                <w:sz w:val="18"/>
              </w:rPr>
              <w:t>羽枝小钩缺陷</w:t>
            </w:r>
          </w:p>
        </w:tc>
        <w:tc>
          <w:tcPr>
            <w:tcW w:type="dxa" w:w="1234"/>
            <w:tcBorders>
              <w:top w:val="nil"/>
              <w:left w:val="nil"/>
              <w:bottom w:val="nil"/>
              <w:right w:val="nil"/>
            </w:tcBorders>
            <w:shd w:val="clear" w:color="auto" w:fill="FFFFFF"/>
          </w:tcPr>
          <w:p>
            <w:r/>
            <w:r>
              <w:rPr>
                <w:rFonts w:ascii="Times New Roman" w:hAnsi="Times New Roman" w:eastAsia="SimSun"/>
                <w:sz w:val="18"/>
              </w:rPr>
              <w:t>丝羽鸡</w:t>
            </w:r>
          </w:p>
        </w:tc>
        <w:tc>
          <w:tcPr>
            <w:tcW w:type="dxa" w:w="1234"/>
            <w:tcBorders>
              <w:top w:val="nil"/>
              <w:left w:val="nil"/>
              <w:bottom w:val="nil"/>
              <w:right w:val="nil"/>
            </w:tcBorders>
            <w:shd w:val="clear" w:color="auto" w:fill="FFFFFF"/>
          </w:tcPr>
          <w:p>
            <w:r/>
            <w:r>
              <w:rPr>
                <w:rFonts w:ascii="Times New Roman" w:hAnsi="Times New Roman" w:eastAsia="SimSun"/>
                <w:sz w:val="18"/>
              </w:rPr>
              <w:t>[126]</w:t>
            </w:r>
          </w:p>
        </w:tc>
      </w:tr>
      <w:tr>
        <w:tc>
          <w:tcPr>
            <w:tcW w:type="dxa" w:w="1234"/>
            <w:tcBorders>
              <w:top w:val="nil"/>
              <w:left w:val="nil"/>
              <w:bottom w:val="nil"/>
              <w:right w:val="nil"/>
            </w:tcBorders>
            <w:shd w:val="clear" w:color="auto" w:fill="FFFFFF"/>
          </w:tcPr>
          <w:p>
            <w:r/>
            <w:r>
              <w:rPr>
                <w:rFonts w:ascii="Times New Roman" w:hAnsi="Times New Roman" w:eastAsia="SimSun"/>
                <w:sz w:val="18"/>
              </w:rPr>
              <w:t>环境适应</w:t>
            </w:r>
          </w:p>
        </w:tc>
        <w:tc>
          <w:tcPr>
            <w:tcW w:type="dxa" w:w="1234"/>
            <w:tcBorders>
              <w:top w:val="nil"/>
              <w:left w:val="nil"/>
              <w:bottom w:val="nil"/>
              <w:right w:val="nil"/>
            </w:tcBorders>
            <w:shd w:val="clear" w:color="auto" w:fill="FFFFFF"/>
          </w:tcPr>
          <w:p>
            <w:r/>
            <w:r>
              <w:rPr>
                <w:rFonts w:ascii="Times New Roman" w:hAnsi="Times New Roman" w:eastAsia="SimSun"/>
                <w:sz w:val="18"/>
              </w:rPr>
              <w:t>高海拔/低氧</w:t>
            </w:r>
          </w:p>
        </w:tc>
        <w:tc>
          <w:tcPr>
            <w:tcW w:type="dxa" w:w="1234"/>
            <w:tcBorders>
              <w:top w:val="nil"/>
              <w:left w:val="nil"/>
              <w:bottom w:val="nil"/>
              <w:right w:val="nil"/>
            </w:tcBorders>
            <w:shd w:val="clear" w:color="auto" w:fill="FFFFFF"/>
          </w:tcPr>
          <w:p>
            <w:r/>
            <w:r>
              <w:rPr>
                <w:rFonts w:ascii="Times New Roman" w:hAnsi="Times New Roman" w:eastAsia="SimSun"/>
                <w:sz w:val="18"/>
              </w:rPr>
              <w:t>钙信号通路, RYR2, CAMK2D</w:t>
            </w:r>
          </w:p>
        </w:tc>
        <w:tc>
          <w:tcPr>
            <w:tcW w:type="dxa" w:w="1234"/>
            <w:tcBorders>
              <w:top w:val="nil"/>
              <w:left w:val="nil"/>
              <w:bottom w:val="nil"/>
              <w:right w:val="nil"/>
            </w:tcBorders>
            <w:shd w:val="clear" w:color="auto" w:fill="FFFFFF"/>
          </w:tcPr>
          <w:p>
            <w:r/>
            <w:r>
              <w:rPr>
                <w:rFonts w:ascii="Times New Roman" w:hAnsi="Times New Roman" w:eastAsia="SimSun"/>
                <w:sz w:val="18"/>
              </w:rPr>
              <w:t>SNP / 选择信号</w:t>
            </w:r>
          </w:p>
        </w:tc>
        <w:tc>
          <w:tcPr>
            <w:tcW w:type="dxa" w:w="1234"/>
            <w:tcBorders>
              <w:top w:val="nil"/>
              <w:left w:val="nil"/>
              <w:bottom w:val="nil"/>
              <w:right w:val="nil"/>
            </w:tcBorders>
            <w:shd w:val="clear" w:color="auto" w:fill="FFFFFF"/>
          </w:tcPr>
          <w:p>
            <w:r/>
            <w:r>
              <w:rPr>
                <w:rFonts w:ascii="Times New Roman" w:hAnsi="Times New Roman" w:eastAsia="SimSun"/>
                <w:sz w:val="18"/>
              </w:rPr>
              <w:t>信号通路重编程,代谢重塑</w:t>
            </w:r>
          </w:p>
        </w:tc>
        <w:tc>
          <w:tcPr>
            <w:tcW w:type="dxa" w:w="1234"/>
            <w:tcBorders>
              <w:top w:val="nil"/>
              <w:left w:val="nil"/>
              <w:bottom w:val="nil"/>
              <w:right w:val="nil"/>
            </w:tcBorders>
            <w:shd w:val="clear" w:color="auto" w:fill="FFFFFF"/>
          </w:tcPr>
          <w:p>
            <w:r/>
            <w:r>
              <w:rPr>
                <w:rFonts w:ascii="Times New Roman" w:hAnsi="Times New Roman" w:eastAsia="SimSun"/>
                <w:sz w:val="18"/>
              </w:rPr>
              <w:t>藏鸡</w:t>
            </w:r>
          </w:p>
        </w:tc>
        <w:tc>
          <w:tcPr>
            <w:tcW w:type="dxa" w:w="1234"/>
            <w:tcBorders>
              <w:top w:val="nil"/>
              <w:left w:val="nil"/>
              <w:bottom w:val="nil"/>
              <w:right w:val="nil"/>
            </w:tcBorders>
            <w:shd w:val="clear" w:color="auto" w:fill="FFFFFF"/>
          </w:tcPr>
          <w:p>
            <w:r/>
            <w:r>
              <w:rPr>
                <w:rFonts w:ascii="Times New Roman" w:hAnsi="Times New Roman" w:eastAsia="SimSun"/>
                <w:sz w:val="18"/>
              </w:rPr>
              <w:t>[127][129][130]</w:t>
            </w:r>
          </w:p>
        </w:tc>
      </w:tr>
      <w:tr>
        <w:tc>
          <w:tcPr>
            <w:tcW w:type="dxa" w:w="1234"/>
            <w:tcBorders>
              <w:top w:val="nil"/>
              <w:left w:val="nil"/>
              <w:bottom w:val="nil"/>
              <w:right w:val="nil"/>
            </w:tcBorders>
            <w:shd w:val="clear" w:color="auto" w:fill="FFFFFF"/>
          </w:tcPr>
          <w:p>
            <w:r/>
            <w:r>
              <w:rPr>
                <w:rFonts w:ascii="Times New Roman" w:hAnsi="Times New Roman" w:eastAsia="SimSun"/>
                <w:sz w:val="18"/>
              </w:rPr>
              <w:t>环境适应</w:t>
            </w:r>
          </w:p>
        </w:tc>
        <w:tc>
          <w:tcPr>
            <w:tcW w:type="dxa" w:w="1234"/>
            <w:tcBorders>
              <w:top w:val="nil"/>
              <w:left w:val="nil"/>
              <w:bottom w:val="nil"/>
              <w:right w:val="nil"/>
            </w:tcBorders>
            <w:shd w:val="clear" w:color="auto" w:fill="FFFFFF"/>
          </w:tcPr>
          <w:p>
            <w:r/>
            <w:r>
              <w:rPr>
                <w:rFonts w:ascii="Times New Roman" w:hAnsi="Times New Roman" w:eastAsia="SimSun"/>
                <w:sz w:val="18"/>
              </w:rPr>
              <w:t>耐寒</w:t>
            </w:r>
          </w:p>
        </w:tc>
        <w:tc>
          <w:tcPr>
            <w:tcW w:type="dxa" w:w="1234"/>
            <w:tcBorders>
              <w:top w:val="nil"/>
              <w:left w:val="nil"/>
              <w:bottom w:val="nil"/>
              <w:right w:val="nil"/>
            </w:tcBorders>
            <w:shd w:val="clear" w:color="auto" w:fill="FFFFFF"/>
          </w:tcPr>
          <w:p>
            <w:r/>
            <w:r>
              <w:rPr>
                <w:rFonts w:ascii="Times New Roman" w:hAnsi="Times New Roman" w:eastAsia="SimSun"/>
                <w:sz w:val="18"/>
              </w:rPr>
              <w:t>ADIPOQ, GCGR, TRPM2, RYR2, CAMK2G</w:t>
            </w:r>
          </w:p>
        </w:tc>
        <w:tc>
          <w:tcPr>
            <w:tcW w:type="dxa" w:w="1234"/>
            <w:tcBorders>
              <w:top w:val="nil"/>
              <w:left w:val="nil"/>
              <w:bottom w:val="nil"/>
              <w:right w:val="nil"/>
            </w:tcBorders>
            <w:shd w:val="clear" w:color="auto" w:fill="FFFFFF"/>
          </w:tcPr>
          <w:p>
            <w:r/>
            <w:r>
              <w:rPr>
                <w:rFonts w:ascii="Times New Roman" w:hAnsi="Times New Roman" w:eastAsia="SimSun"/>
                <w:sz w:val="18"/>
              </w:rPr>
              <w:t>SNP / 选择信号</w:t>
            </w:r>
          </w:p>
        </w:tc>
        <w:tc>
          <w:tcPr>
            <w:tcW w:type="dxa" w:w="1234"/>
            <w:tcBorders>
              <w:top w:val="nil"/>
              <w:left w:val="nil"/>
              <w:bottom w:val="nil"/>
              <w:right w:val="nil"/>
            </w:tcBorders>
            <w:shd w:val="clear" w:color="auto" w:fill="FFFFFF"/>
          </w:tcPr>
          <w:p>
            <w:r/>
            <w:r>
              <w:rPr>
                <w:rFonts w:ascii="Times New Roman" w:hAnsi="Times New Roman" w:eastAsia="SimSun"/>
                <w:sz w:val="18"/>
              </w:rPr>
              <w:t>脂质代谢、非颤抖产热</w:t>
            </w:r>
          </w:p>
        </w:tc>
        <w:tc>
          <w:tcPr>
            <w:tcW w:type="dxa" w:w="1234"/>
            <w:tcBorders>
              <w:top w:val="nil"/>
              <w:left w:val="nil"/>
              <w:bottom w:val="nil"/>
              <w:right w:val="nil"/>
            </w:tcBorders>
            <w:shd w:val="clear" w:color="auto" w:fill="FFFFFF"/>
          </w:tcPr>
          <w:p>
            <w:r/>
            <w:r>
              <w:rPr>
                <w:rFonts w:ascii="Times New Roman" w:hAnsi="Times New Roman" w:eastAsia="SimSun"/>
                <w:sz w:val="18"/>
              </w:rPr>
              <w:t>俄罗斯白鸡等</w:t>
            </w:r>
          </w:p>
        </w:tc>
        <w:tc>
          <w:tcPr>
            <w:tcW w:type="dxa" w:w="1234"/>
            <w:tcBorders>
              <w:top w:val="nil"/>
              <w:left w:val="nil"/>
              <w:bottom w:val="nil"/>
              <w:right w:val="nil"/>
            </w:tcBorders>
            <w:shd w:val="clear" w:color="auto" w:fill="FFFFFF"/>
          </w:tcPr>
          <w:p>
            <w:r/>
            <w:r>
              <w:rPr>
                <w:rFonts w:ascii="Times New Roman" w:hAnsi="Times New Roman" w:eastAsia="SimSun"/>
                <w:sz w:val="18"/>
              </w:rPr>
              <w:t>[131][132]</w:t>
            </w:r>
          </w:p>
        </w:tc>
      </w:tr>
      <w:tr>
        <w:tc>
          <w:tcPr>
            <w:tcW w:type="dxa" w:w="1234"/>
            <w:tcBorders>
              <w:top w:val="nil"/>
              <w:left w:val="nil"/>
              <w:bottom w:val="nil"/>
              <w:right w:val="nil"/>
            </w:tcBorders>
            <w:shd w:val="clear" w:color="auto" w:fill="FFFFFF"/>
          </w:tcPr>
          <w:p>
            <w:r/>
            <w:r>
              <w:rPr>
                <w:rFonts w:ascii="Times New Roman" w:hAnsi="Times New Roman" w:eastAsia="SimSun"/>
                <w:sz w:val="18"/>
              </w:rPr>
              <w:t>环境适应</w:t>
            </w:r>
          </w:p>
        </w:tc>
        <w:tc>
          <w:tcPr>
            <w:tcW w:type="dxa" w:w="1234"/>
            <w:tcBorders>
              <w:top w:val="nil"/>
              <w:left w:val="nil"/>
              <w:bottom w:val="nil"/>
              <w:right w:val="nil"/>
            </w:tcBorders>
            <w:shd w:val="clear" w:color="auto" w:fill="FFFFFF"/>
          </w:tcPr>
          <w:p>
            <w:r/>
            <w:r>
              <w:rPr>
                <w:rFonts w:ascii="Times New Roman" w:hAnsi="Times New Roman" w:eastAsia="SimSun"/>
                <w:sz w:val="18"/>
              </w:rPr>
              <w:t>耐热</w:t>
            </w:r>
          </w:p>
        </w:tc>
        <w:tc>
          <w:tcPr>
            <w:tcW w:type="dxa" w:w="1234"/>
            <w:tcBorders>
              <w:top w:val="nil"/>
              <w:left w:val="nil"/>
              <w:bottom w:val="nil"/>
              <w:right w:val="nil"/>
            </w:tcBorders>
            <w:shd w:val="clear" w:color="auto" w:fill="FFFFFF"/>
          </w:tcPr>
          <w:p>
            <w:r/>
            <w:r>
              <w:rPr>
                <w:rFonts w:ascii="Times New Roman" w:hAnsi="Times New Roman" w:eastAsia="SimSun"/>
                <w:sz w:val="18"/>
              </w:rPr>
              <w:t>HSF1, CDC37, HIF3A, SLC44A2, ILF3</w:t>
            </w:r>
          </w:p>
        </w:tc>
        <w:tc>
          <w:tcPr>
            <w:tcW w:type="dxa" w:w="1234"/>
            <w:tcBorders>
              <w:top w:val="nil"/>
              <w:left w:val="nil"/>
              <w:bottom w:val="nil"/>
              <w:right w:val="nil"/>
            </w:tcBorders>
            <w:shd w:val="clear" w:color="auto" w:fill="FFFFFF"/>
          </w:tcPr>
          <w:p>
            <w:r/>
            <w:r>
              <w:rPr>
                <w:rFonts w:ascii="Times New Roman" w:hAnsi="Times New Roman" w:eastAsia="SimSun"/>
                <w:sz w:val="18"/>
              </w:rPr>
              <w:t>SNP / 选择信号</w:t>
            </w:r>
          </w:p>
        </w:tc>
        <w:tc>
          <w:tcPr>
            <w:tcW w:type="dxa" w:w="1234"/>
            <w:tcBorders>
              <w:top w:val="nil"/>
              <w:left w:val="nil"/>
              <w:bottom w:val="nil"/>
              <w:right w:val="nil"/>
            </w:tcBorders>
            <w:shd w:val="clear" w:color="auto" w:fill="FFFFFF"/>
          </w:tcPr>
          <w:p>
            <w:r/>
            <w:r>
              <w:rPr>
                <w:rFonts w:ascii="Times New Roman" w:hAnsi="Times New Roman" w:eastAsia="SimSun"/>
                <w:sz w:val="18"/>
              </w:rPr>
              <w:t>热休克 / 缺氧 / 免疫反应</w:t>
            </w:r>
          </w:p>
        </w:tc>
        <w:tc>
          <w:tcPr>
            <w:tcW w:type="dxa" w:w="1234"/>
            <w:tcBorders>
              <w:top w:val="nil"/>
              <w:left w:val="nil"/>
              <w:bottom w:val="nil"/>
              <w:right w:val="nil"/>
            </w:tcBorders>
            <w:shd w:val="clear" w:color="auto" w:fill="FFFFFF"/>
          </w:tcPr>
          <w:p>
            <w:r/>
            <w:r>
              <w:rPr>
                <w:rFonts w:ascii="Times New Roman" w:hAnsi="Times New Roman" w:eastAsia="SimSun"/>
                <w:sz w:val="18"/>
              </w:rPr>
              <w:t>尼日利亚地方鸡</w:t>
            </w:r>
          </w:p>
        </w:tc>
        <w:tc>
          <w:tcPr>
            <w:tcW w:type="dxa" w:w="1234"/>
            <w:tcBorders>
              <w:top w:val="nil"/>
              <w:left w:val="nil"/>
              <w:bottom w:val="nil"/>
              <w:right w:val="nil"/>
            </w:tcBorders>
            <w:shd w:val="clear" w:color="auto" w:fill="FFFFFF"/>
          </w:tcPr>
          <w:p>
            <w:r/>
            <w:r>
              <w:rPr>
                <w:rFonts w:ascii="Times New Roman" w:hAnsi="Times New Roman" w:eastAsia="SimSun"/>
                <w:sz w:val="18"/>
              </w:rPr>
              <w:t>[136]</w:t>
            </w:r>
          </w:p>
        </w:tc>
      </w:tr>
      <w:tr>
        <w:tc>
          <w:tcPr>
            <w:tcW w:type="dxa" w:w="1234"/>
            <w:tcBorders>
              <w:top w:val="nil"/>
              <w:left w:val="nil"/>
              <w:bottom w:val="nil"/>
              <w:right w:val="nil"/>
            </w:tcBorders>
            <w:shd w:val="clear" w:color="auto" w:fill="FFFFFF"/>
          </w:tcPr>
          <w:p>
            <w:r/>
            <w:r>
              <w:rPr>
                <w:rFonts w:ascii="Times New Roman" w:hAnsi="Times New Roman" w:eastAsia="SimSun"/>
                <w:sz w:val="18"/>
              </w:rPr>
              <w:t>环境适应</w:t>
            </w:r>
          </w:p>
        </w:tc>
        <w:tc>
          <w:tcPr>
            <w:tcW w:type="dxa" w:w="1234"/>
            <w:tcBorders>
              <w:top w:val="nil"/>
              <w:left w:val="nil"/>
              <w:bottom w:val="nil"/>
              <w:right w:val="nil"/>
            </w:tcBorders>
            <w:shd w:val="clear" w:color="auto" w:fill="FFFFFF"/>
          </w:tcPr>
          <w:p>
            <w:r/>
            <w:r>
              <w:rPr>
                <w:rFonts w:ascii="Times New Roman" w:hAnsi="Times New Roman" w:eastAsia="SimSun"/>
                <w:sz w:val="18"/>
              </w:rPr>
              <w:t>抗病 + 太阳辐射</w:t>
            </w:r>
          </w:p>
        </w:tc>
        <w:tc>
          <w:tcPr>
            <w:tcW w:type="dxa" w:w="1234"/>
            <w:tcBorders>
              <w:top w:val="nil"/>
              <w:left w:val="nil"/>
              <w:bottom w:val="nil"/>
              <w:right w:val="nil"/>
            </w:tcBorders>
            <w:shd w:val="clear" w:color="auto" w:fill="FFFFFF"/>
          </w:tcPr>
          <w:p>
            <w:r/>
            <w:r>
              <w:rPr>
                <w:rFonts w:ascii="Times New Roman" w:hAnsi="Times New Roman" w:eastAsia="SimSun"/>
                <w:sz w:val="18"/>
              </w:rPr>
              <w:t>(Fayoumi NDV 抗性 / Dandarawi 辐射)</w:t>
            </w:r>
          </w:p>
        </w:tc>
        <w:tc>
          <w:tcPr>
            <w:tcW w:type="dxa" w:w="1234"/>
            <w:tcBorders>
              <w:top w:val="nil"/>
              <w:left w:val="nil"/>
              <w:bottom w:val="nil"/>
              <w:right w:val="nil"/>
            </w:tcBorders>
            <w:shd w:val="clear" w:color="auto" w:fill="FFFFFF"/>
          </w:tcPr>
          <w:p>
            <w:r/>
            <w:r>
              <w:rPr>
                <w:rFonts w:ascii="Times New Roman" w:hAnsi="Times New Roman" w:eastAsia="SimSun"/>
                <w:sz w:val="18"/>
              </w:rPr>
              <w:t>选择信号</w:t>
            </w:r>
          </w:p>
        </w:tc>
        <w:tc>
          <w:tcPr>
            <w:tcW w:type="dxa" w:w="1234"/>
            <w:tcBorders>
              <w:top w:val="nil"/>
              <w:left w:val="nil"/>
              <w:bottom w:val="nil"/>
              <w:right w:val="nil"/>
            </w:tcBorders>
            <w:shd w:val="clear" w:color="auto" w:fill="FFFFFF"/>
          </w:tcPr>
          <w:p>
            <w:r/>
            <w:r>
              <w:rPr>
                <w:rFonts w:ascii="Times New Roman" w:hAnsi="Times New Roman" w:eastAsia="SimSun"/>
                <w:sz w:val="18"/>
              </w:rPr>
              <w:t>双重适应特征</w:t>
            </w:r>
          </w:p>
        </w:tc>
        <w:tc>
          <w:tcPr>
            <w:tcW w:type="dxa" w:w="1234"/>
            <w:tcBorders>
              <w:top w:val="nil"/>
              <w:left w:val="nil"/>
              <w:bottom w:val="nil"/>
              <w:right w:val="nil"/>
            </w:tcBorders>
            <w:shd w:val="clear" w:color="auto" w:fill="FFFFFF"/>
          </w:tcPr>
          <w:p>
            <w:r/>
            <w:r>
              <w:rPr>
                <w:rFonts w:ascii="Times New Roman" w:hAnsi="Times New Roman" w:eastAsia="SimSun"/>
                <w:sz w:val="18"/>
              </w:rPr>
              <w:t>埃及地方鸡</w:t>
            </w:r>
          </w:p>
        </w:tc>
        <w:tc>
          <w:tcPr>
            <w:tcW w:type="dxa" w:w="1234"/>
            <w:tcBorders>
              <w:top w:val="nil"/>
              <w:left w:val="nil"/>
              <w:bottom w:val="nil"/>
              <w:right w:val="nil"/>
            </w:tcBorders>
            <w:shd w:val="clear" w:color="auto" w:fill="FFFFFF"/>
          </w:tcPr>
          <w:p>
            <w:r/>
            <w:r>
              <w:rPr>
                <w:rFonts w:ascii="Times New Roman" w:hAnsi="Times New Roman" w:eastAsia="SimSun"/>
                <w:sz w:val="18"/>
              </w:rPr>
              <w:t>[138]</w:t>
            </w:r>
          </w:p>
        </w:tc>
      </w:tr>
      <w:tr>
        <w:tc>
          <w:tcPr>
            <w:tcW w:type="dxa" w:w="1234"/>
            <w:tcBorders>
              <w:top w:val="nil"/>
              <w:left w:val="nil"/>
              <w:bottom w:val="nil"/>
              <w:right w:val="nil"/>
            </w:tcBorders>
            <w:shd w:val="clear" w:color="auto" w:fill="FFFFFF"/>
          </w:tcPr>
          <w:p>
            <w:r/>
            <w:r>
              <w:t>生长与胴体</w:t>
            </w:r>
          </w:p>
        </w:tc>
        <w:tc>
          <w:tcPr>
            <w:tcW w:type="dxa" w:w="1234"/>
            <w:tcBorders>
              <w:top w:val="nil"/>
              <w:left w:val="nil"/>
              <w:bottom w:val="nil"/>
              <w:right w:val="nil"/>
            </w:tcBorders>
            <w:shd w:val="clear" w:color="auto" w:fill="FFFFFF"/>
          </w:tcPr>
          <w:p>
            <w:r/>
            <w:r>
              <w:t>饲料效率(FCR/RFI/RFG)</w:t>
            </w:r>
          </w:p>
        </w:tc>
        <w:tc>
          <w:tcPr>
            <w:tcW w:type="dxa" w:w="1234"/>
            <w:tcBorders>
              <w:top w:val="nil"/>
              <w:left w:val="nil"/>
              <w:bottom w:val="nil"/>
              <w:right w:val="nil"/>
            </w:tcBorders>
            <w:shd w:val="clear" w:color="auto" w:fill="FFFFFF"/>
          </w:tcPr>
          <w:p>
            <w:r/>
            <w:r>
              <w:t>GHR, IGF1, IGF1R</w:t>
            </w:r>
          </w:p>
        </w:tc>
        <w:tc>
          <w:tcPr>
            <w:tcW w:type="dxa" w:w="1234"/>
            <w:tcBorders>
              <w:top w:val="nil"/>
              <w:left w:val="nil"/>
              <w:bottom w:val="nil"/>
              <w:right w:val="nil"/>
            </w:tcBorders>
            <w:shd w:val="clear" w:color="auto" w:fill="FFFFFF"/>
          </w:tcPr>
          <w:p>
            <w:r/>
            <w:r>
              <w:t>编码区/调控区 SNP</w:t>
            </w:r>
          </w:p>
        </w:tc>
        <w:tc>
          <w:tcPr>
            <w:tcW w:type="dxa" w:w="1234"/>
            <w:tcBorders>
              <w:top w:val="nil"/>
              <w:left w:val="nil"/>
              <w:bottom w:val="nil"/>
              <w:right w:val="nil"/>
            </w:tcBorders>
            <w:shd w:val="clear" w:color="auto" w:fill="FFFFFF"/>
          </w:tcPr>
          <w:p>
            <w:r/>
            <w:r>
              <w:t>通过整体能量分配影响饲料转化效率</w:t>
            </w:r>
          </w:p>
        </w:tc>
        <w:tc>
          <w:tcPr>
            <w:tcW w:type="dxa" w:w="1234"/>
            <w:tcBorders>
              <w:top w:val="nil"/>
              <w:left w:val="nil"/>
              <w:bottom w:val="nil"/>
              <w:right w:val="nil"/>
            </w:tcBorders>
            <w:shd w:val="clear" w:color="auto" w:fill="FFFFFF"/>
          </w:tcPr>
          <w:p>
            <w:r/>
            <w:r>
              <w:t>商业肉鸡、地方鸡 F2 群体</w:t>
            </w:r>
          </w:p>
        </w:tc>
        <w:tc>
          <w:tcPr>
            <w:tcW w:type="dxa" w:w="1234"/>
            <w:tcBorders>
              <w:top w:val="nil"/>
              <w:left w:val="nil"/>
              <w:bottom w:val="nil"/>
              <w:right w:val="nil"/>
            </w:tcBorders>
            <w:shd w:val="clear" w:color="auto" w:fill="FFFFFF"/>
          </w:tcPr>
          <w:p>
            <w:r/>
            <w:r>
              <w:t>[55][160][161]</w:t>
            </w:r>
          </w:p>
        </w:tc>
      </w:tr>
      <w:tr>
        <w:tc>
          <w:tcPr>
            <w:tcW w:type="dxa" w:w="1234"/>
            <w:tcBorders>
              <w:top w:val="nil"/>
              <w:left w:val="nil"/>
              <w:bottom w:val="nil"/>
              <w:right w:val="nil"/>
            </w:tcBorders>
            <w:shd w:val="clear" w:color="auto" w:fill="FFFFFF"/>
          </w:tcPr>
          <w:p>
            <w:r/>
            <w:r>
              <w:t>生长与胴体</w:t>
            </w:r>
          </w:p>
        </w:tc>
        <w:tc>
          <w:tcPr>
            <w:tcW w:type="dxa" w:w="1234"/>
            <w:tcBorders>
              <w:top w:val="nil"/>
              <w:left w:val="nil"/>
              <w:bottom w:val="nil"/>
              <w:right w:val="nil"/>
            </w:tcBorders>
            <w:shd w:val="clear" w:color="auto" w:fill="FFFFFF"/>
          </w:tcPr>
          <w:p>
            <w:r/>
            <w:r>
              <w:t>饲料效率(代谢通路)</w:t>
            </w:r>
          </w:p>
        </w:tc>
        <w:tc>
          <w:tcPr>
            <w:tcW w:type="dxa" w:w="1234"/>
            <w:tcBorders>
              <w:top w:val="nil"/>
              <w:left w:val="nil"/>
              <w:bottom w:val="nil"/>
              <w:right w:val="nil"/>
            </w:tcBorders>
            <w:shd w:val="clear" w:color="auto" w:fill="FFFFFF"/>
          </w:tcPr>
          <w:p>
            <w:r/>
            <w:r>
              <w:t>PRKAA2(AMPK), TBC1D1, PLIN1</w:t>
            </w:r>
          </w:p>
        </w:tc>
        <w:tc>
          <w:tcPr>
            <w:tcW w:type="dxa" w:w="1234"/>
            <w:tcBorders>
              <w:top w:val="nil"/>
              <w:left w:val="nil"/>
              <w:bottom w:val="nil"/>
              <w:right w:val="nil"/>
            </w:tcBorders>
            <w:shd w:val="clear" w:color="auto" w:fill="FFFFFF"/>
          </w:tcPr>
          <w:p>
            <w:r/>
            <w:r>
              <w:t>编码区/调控区 SNP</w:t>
            </w:r>
          </w:p>
        </w:tc>
        <w:tc>
          <w:tcPr>
            <w:tcW w:type="dxa" w:w="1234"/>
            <w:tcBorders>
              <w:top w:val="nil"/>
              <w:left w:val="nil"/>
              <w:bottom w:val="nil"/>
              <w:right w:val="nil"/>
            </w:tcBorders>
            <w:shd w:val="clear" w:color="auto" w:fill="FFFFFF"/>
          </w:tcPr>
          <w:p>
            <w:r/>
            <w:r>
              <w:t>脂肪氧化、糖代谢、能量稳态调节</w:t>
            </w:r>
          </w:p>
        </w:tc>
        <w:tc>
          <w:tcPr>
            <w:tcW w:type="dxa" w:w="1234"/>
            <w:tcBorders>
              <w:top w:val="nil"/>
              <w:left w:val="nil"/>
              <w:bottom w:val="nil"/>
              <w:right w:val="nil"/>
            </w:tcBorders>
            <w:shd w:val="clear" w:color="auto" w:fill="FFFFFF"/>
          </w:tcPr>
          <w:p>
            <w:r/>
            <w:r>
              <w:t>商业肉鸡、低/高 RFI 分化群体</w:t>
            </w:r>
          </w:p>
        </w:tc>
        <w:tc>
          <w:tcPr>
            <w:tcW w:type="dxa" w:w="1234"/>
            <w:tcBorders>
              <w:top w:val="nil"/>
              <w:left w:val="nil"/>
              <w:bottom w:val="nil"/>
              <w:right w:val="nil"/>
            </w:tcBorders>
            <w:shd w:val="clear" w:color="auto" w:fill="FFFFFF"/>
          </w:tcPr>
          <w:p>
            <w:r/>
            <w:r>
              <w:t>[160][161][162][163]</w:t>
            </w:r>
          </w:p>
        </w:tc>
      </w:tr>
      <w:tr>
        <w:tc>
          <w:tcPr>
            <w:tcW w:type="dxa" w:w="1234"/>
            <w:tcBorders>
              <w:top w:val="nil"/>
              <w:left w:val="nil"/>
              <w:bottom w:val="single" w:sz="12" w:space="0" w:color="000000"/>
              <w:right w:val="nil"/>
            </w:tcBorders>
            <w:shd w:val="clear" w:color="auto" w:fill="FFFFFF"/>
          </w:tcPr>
          <w:p>
            <w:r/>
            <w:r>
              <w:t>生长与胴体</w:t>
            </w:r>
          </w:p>
        </w:tc>
        <w:tc>
          <w:tcPr>
            <w:tcW w:type="dxa" w:w="1234"/>
            <w:tcBorders>
              <w:top w:val="nil"/>
              <w:left w:val="nil"/>
              <w:bottom w:val="single" w:sz="12" w:space="0" w:color="000000"/>
              <w:right w:val="nil"/>
            </w:tcBorders>
            <w:shd w:val="clear" w:color="auto" w:fill="FFFFFF"/>
          </w:tcPr>
          <w:p>
            <w:r/>
            <w:r>
              <w:t>饲料效率(肠道 + 微生物)</w:t>
            </w:r>
          </w:p>
        </w:tc>
        <w:tc>
          <w:tcPr>
            <w:tcW w:type="dxa" w:w="1234"/>
            <w:tcBorders>
              <w:top w:val="nil"/>
              <w:left w:val="nil"/>
              <w:bottom w:val="single" w:sz="12" w:space="0" w:color="000000"/>
              <w:right w:val="nil"/>
            </w:tcBorders>
            <w:shd w:val="clear" w:color="auto" w:fill="FFFFFF"/>
          </w:tcPr>
          <w:p>
            <w:r/>
            <w:r>
              <w:t>SLC 家族转运体、肠道屏障基因 + 肠道菌群</w:t>
            </w:r>
          </w:p>
        </w:tc>
        <w:tc>
          <w:tcPr>
            <w:tcW w:type="dxa" w:w="1234"/>
            <w:tcBorders>
              <w:top w:val="nil"/>
              <w:left w:val="nil"/>
              <w:bottom w:val="single" w:sz="12" w:space="0" w:color="000000"/>
              <w:right w:val="nil"/>
            </w:tcBorders>
            <w:shd w:val="clear" w:color="auto" w:fill="FFFFFF"/>
          </w:tcPr>
          <w:p>
            <w:r/>
            <w:r>
              <w:t>宿主 SNP × 微生物丰度互作</w:t>
            </w:r>
          </w:p>
        </w:tc>
        <w:tc>
          <w:tcPr>
            <w:tcW w:type="dxa" w:w="1234"/>
            <w:tcBorders>
              <w:top w:val="nil"/>
              <w:left w:val="nil"/>
              <w:bottom w:val="single" w:sz="12" w:space="0" w:color="000000"/>
              <w:right w:val="nil"/>
            </w:tcBorders>
            <w:shd w:val="clear" w:color="auto" w:fill="FFFFFF"/>
          </w:tcPr>
          <w:p>
            <w:r/>
            <w:r>
              <w:t>肠道吸收、宿主-微生物联合调控饲料转化</w:t>
            </w:r>
          </w:p>
        </w:tc>
        <w:tc>
          <w:tcPr>
            <w:tcW w:type="dxa" w:w="1234"/>
            <w:tcBorders>
              <w:top w:val="nil"/>
              <w:left w:val="nil"/>
              <w:bottom w:val="single" w:sz="12" w:space="0" w:color="000000"/>
              <w:right w:val="nil"/>
            </w:tcBorders>
            <w:shd w:val="clear" w:color="auto" w:fill="FFFFFF"/>
          </w:tcPr>
          <w:p>
            <w:r/>
            <w:r>
              <w:t>蛋鸡晚产期、地方鸡品种间比较</w:t>
            </w:r>
          </w:p>
        </w:tc>
        <w:tc>
          <w:tcPr>
            <w:tcW w:type="dxa" w:w="1234"/>
            <w:tcBorders>
              <w:top w:val="nil"/>
              <w:left w:val="nil"/>
              <w:bottom w:val="single" w:sz="12" w:space="0" w:color="000000"/>
              <w:right w:val="nil"/>
            </w:tcBorders>
            <w:shd w:val="clear" w:color="auto" w:fill="FFFFFF"/>
          </w:tcPr>
          <w:p>
            <w:r/>
            <w:r>
              <w:t>[69][70];本文 7.6 预判 4</w:t>
            </w:r>
          </w:p>
        </w:tc>
      </w:tr>
    </w:tbl>
    <w:p/>
    <w:p>
      <w:pPr>
        <w:spacing w:before="120" w:after="120"/>
        <w:jc w:val="center"/>
      </w:pPr>
      <w:r>
        <w:rPr>
          <w:rFonts w:ascii="Times New Roman" w:hAnsi="Times New Roman" w:eastAsia="SimHei"/>
          <w:b/>
          <w:sz w:val="20"/>
        </w:rPr>
        <w:t>表 3 代表性家鸡地方品种与环境适应特征汇总</w:t>
      </w:r>
    </w:p>
    <w:tbl>
      <w:tblPr>
        <w:tblW w:type="auto" w:w="0"/>
        <w:tblLook w:firstColumn="0" w:firstRow="0" w:lastColumn="0" w:lastRow="0" w:noHBand="1" w:noVBand="1" w:val="04A0"/>
        <w:tblBorders>
          <w:top w:val="nil"/>
          <w:left w:val="nil"/>
          <w:bottom w:val="nil"/>
          <w:right w:val="nil"/>
          <w:insideH w:val="nil"/>
          <w:insideV w:val="nil"/>
        </w:tblBorders>
      </w:tblPr>
      <w:tblGrid>
        <w:gridCol w:w="1728"/>
        <w:gridCol w:w="1728"/>
        <w:gridCol w:w="1728"/>
        <w:gridCol w:w="1728"/>
        <w:gridCol w:w="1728"/>
      </w:tblGrid>
      <w:tr>
        <w:tc>
          <w:tcPr>
            <w:tcW w:type="dxa" w:w="1728"/>
            <w:tcBorders>
              <w:top w:val="single" w:sz="12" w:space="0" w:color="000000"/>
              <w:left w:val="nil"/>
              <w:bottom w:val="single" w:sz="6" w:space="0" w:color="000000"/>
              <w:right w:val="nil"/>
            </w:tcBorders>
            <w:shd w:val="clear" w:color="auto" w:fill="FFFFFF"/>
          </w:tcPr>
          <w:p>
            <w:r/>
            <w:r>
              <w:rPr>
                <w:rFonts w:ascii="Times New Roman" w:hAnsi="Times New Roman" w:eastAsia="SimSun"/>
                <w:b/>
                <w:sz w:val="18"/>
              </w:rPr>
              <w:t>品种</w:t>
            </w:r>
          </w:p>
        </w:tc>
        <w:tc>
          <w:tcPr>
            <w:tcW w:type="dxa" w:w="1728"/>
            <w:tcBorders>
              <w:top w:val="single" w:sz="12" w:space="0" w:color="000000"/>
              <w:left w:val="nil"/>
              <w:bottom w:val="single" w:sz="6" w:space="0" w:color="000000"/>
              <w:right w:val="nil"/>
            </w:tcBorders>
            <w:shd w:val="clear" w:color="auto" w:fill="FFFFFF"/>
          </w:tcPr>
          <w:p>
            <w:r/>
            <w:r>
              <w:rPr>
                <w:rFonts w:ascii="Times New Roman" w:hAnsi="Times New Roman" w:eastAsia="SimSun"/>
                <w:b/>
                <w:sz w:val="18"/>
              </w:rPr>
              <w:t>原产地/分布</w:t>
            </w:r>
          </w:p>
        </w:tc>
        <w:tc>
          <w:tcPr>
            <w:tcW w:type="dxa" w:w="1728"/>
            <w:tcBorders>
              <w:top w:val="single" w:sz="12" w:space="0" w:color="000000"/>
              <w:left w:val="nil"/>
              <w:bottom w:val="single" w:sz="6" w:space="0" w:color="000000"/>
              <w:right w:val="nil"/>
            </w:tcBorders>
            <w:shd w:val="clear" w:color="auto" w:fill="FFFFFF"/>
          </w:tcPr>
          <w:p>
            <w:r/>
            <w:r>
              <w:rPr>
                <w:rFonts w:ascii="Times New Roman" w:hAnsi="Times New Roman" w:eastAsia="SimSun"/>
                <w:b/>
                <w:sz w:val="18"/>
              </w:rPr>
              <w:t>主要环境特征</w:t>
            </w:r>
          </w:p>
        </w:tc>
        <w:tc>
          <w:tcPr>
            <w:tcW w:type="dxa" w:w="1728"/>
            <w:tcBorders>
              <w:top w:val="single" w:sz="12" w:space="0" w:color="000000"/>
              <w:left w:val="nil"/>
              <w:bottom w:val="single" w:sz="6" w:space="0" w:color="000000"/>
              <w:right w:val="nil"/>
            </w:tcBorders>
            <w:shd w:val="clear" w:color="auto" w:fill="FFFFFF"/>
          </w:tcPr>
          <w:p>
            <w:r/>
            <w:r>
              <w:rPr>
                <w:rFonts w:ascii="Times New Roman" w:hAnsi="Times New Roman" w:eastAsia="SimSun"/>
                <w:b/>
                <w:sz w:val="18"/>
              </w:rPr>
              <w:t>关键候选基因/通路</w:t>
            </w:r>
          </w:p>
        </w:tc>
        <w:tc>
          <w:tcPr>
            <w:tcW w:type="dxa" w:w="1728"/>
            <w:tcBorders>
              <w:top w:val="single" w:sz="12" w:space="0" w:color="000000"/>
              <w:left w:val="nil"/>
              <w:bottom w:val="single" w:sz="6" w:space="0" w:color="000000"/>
              <w:right w:val="nil"/>
            </w:tcBorders>
            <w:shd w:val="clear" w:color="auto" w:fill="FFFFFF"/>
          </w:tcPr>
          <w:p>
            <w:r/>
            <w:r>
              <w:rPr>
                <w:rFonts w:ascii="Times New Roman" w:hAnsi="Times New Roman" w:eastAsia="SimSun"/>
                <w:b/>
                <w:sz w:val="18"/>
              </w:rPr>
              <w:t>主要参考文献</w:t>
            </w:r>
          </w:p>
        </w:tc>
      </w:tr>
      <w:tr>
        <w:tc>
          <w:tcPr>
            <w:tcW w:type="dxa" w:w="1728"/>
            <w:tcBorders>
              <w:top w:val="nil"/>
              <w:left w:val="nil"/>
              <w:bottom w:val="nil"/>
              <w:right w:val="nil"/>
            </w:tcBorders>
            <w:shd w:val="clear" w:color="auto" w:fill="FFFFFF"/>
          </w:tcPr>
          <w:p>
            <w:r/>
            <w:r>
              <w:rPr>
                <w:rFonts w:ascii="Times New Roman" w:hAnsi="Times New Roman" w:eastAsia="SimSun"/>
                <w:sz w:val="18"/>
              </w:rPr>
              <w:t>藏鸡 (Tibetan chicken)</w:t>
            </w:r>
          </w:p>
        </w:tc>
        <w:tc>
          <w:tcPr>
            <w:tcW w:type="dxa" w:w="1728"/>
            <w:tcBorders>
              <w:top w:val="nil"/>
              <w:left w:val="nil"/>
              <w:bottom w:val="nil"/>
              <w:right w:val="nil"/>
            </w:tcBorders>
            <w:shd w:val="clear" w:color="auto" w:fill="FFFFFF"/>
          </w:tcPr>
          <w:p>
            <w:r/>
            <w:r>
              <w:rPr>
                <w:rFonts w:ascii="Times New Roman" w:hAnsi="Times New Roman" w:eastAsia="SimSun"/>
                <w:sz w:val="18"/>
              </w:rPr>
              <w:t>中国青藏高原</w:t>
            </w:r>
          </w:p>
        </w:tc>
        <w:tc>
          <w:tcPr>
            <w:tcW w:type="dxa" w:w="1728"/>
            <w:tcBorders>
              <w:top w:val="nil"/>
              <w:left w:val="nil"/>
              <w:bottom w:val="nil"/>
              <w:right w:val="nil"/>
            </w:tcBorders>
            <w:shd w:val="clear" w:color="auto" w:fill="FFFFFF"/>
          </w:tcPr>
          <w:p>
            <w:r/>
            <w:r>
              <w:rPr>
                <w:rFonts w:ascii="Times New Roman" w:hAnsi="Times New Roman" w:eastAsia="SimSun"/>
                <w:sz w:val="18"/>
              </w:rPr>
              <w:t>高海拔、低氧、强紫外辐射</w:t>
            </w:r>
          </w:p>
        </w:tc>
        <w:tc>
          <w:tcPr>
            <w:tcW w:type="dxa" w:w="1728"/>
            <w:tcBorders>
              <w:top w:val="nil"/>
              <w:left w:val="nil"/>
              <w:bottom w:val="nil"/>
              <w:right w:val="nil"/>
            </w:tcBorders>
            <w:shd w:val="clear" w:color="auto" w:fill="FFFFFF"/>
          </w:tcPr>
          <w:p>
            <w:r/>
            <w:r>
              <w:rPr>
                <w:rFonts w:ascii="Times New Roman" w:hAnsi="Times New Roman" w:eastAsia="SimSun"/>
                <w:sz w:val="18"/>
              </w:rPr>
              <w:t>钙信号通路, RYR2, CAMK2D, 能量代谢</w:t>
            </w:r>
          </w:p>
        </w:tc>
        <w:tc>
          <w:tcPr>
            <w:tcW w:type="dxa" w:w="1728"/>
            <w:tcBorders>
              <w:top w:val="nil"/>
              <w:left w:val="nil"/>
              <w:bottom w:val="nil"/>
              <w:right w:val="nil"/>
            </w:tcBorders>
            <w:shd w:val="clear" w:color="auto" w:fill="FFFFFF"/>
          </w:tcPr>
          <w:p>
            <w:r/>
            <w:r>
              <w:rPr>
                <w:rFonts w:ascii="Times New Roman" w:hAnsi="Times New Roman" w:eastAsia="SimSun"/>
                <w:sz w:val="18"/>
              </w:rPr>
              <w:t>[127-130]</w:t>
            </w:r>
          </w:p>
        </w:tc>
      </w:tr>
      <w:tr>
        <w:tc>
          <w:tcPr>
            <w:tcW w:type="dxa" w:w="1728"/>
            <w:tcBorders>
              <w:top w:val="nil"/>
              <w:left w:val="nil"/>
              <w:bottom w:val="nil"/>
              <w:right w:val="nil"/>
            </w:tcBorders>
            <w:shd w:val="clear" w:color="auto" w:fill="FFFFFF"/>
          </w:tcPr>
          <w:p>
            <w:r/>
            <w:r>
              <w:rPr>
                <w:rFonts w:ascii="Times New Roman" w:hAnsi="Times New Roman" w:eastAsia="SimSun"/>
                <w:sz w:val="18"/>
              </w:rPr>
              <w:t>文昌鸡 (Wenchang chicken)</w:t>
            </w:r>
          </w:p>
        </w:tc>
        <w:tc>
          <w:tcPr>
            <w:tcW w:type="dxa" w:w="1728"/>
            <w:tcBorders>
              <w:top w:val="nil"/>
              <w:left w:val="nil"/>
              <w:bottom w:val="nil"/>
              <w:right w:val="nil"/>
            </w:tcBorders>
            <w:shd w:val="clear" w:color="auto" w:fill="FFFFFF"/>
          </w:tcPr>
          <w:p>
            <w:r/>
            <w:r>
              <w:rPr>
                <w:rFonts w:ascii="Times New Roman" w:hAnsi="Times New Roman" w:eastAsia="SimSun"/>
                <w:sz w:val="18"/>
              </w:rPr>
              <w:t>中国海南</w:t>
            </w:r>
          </w:p>
        </w:tc>
        <w:tc>
          <w:tcPr>
            <w:tcW w:type="dxa" w:w="1728"/>
            <w:tcBorders>
              <w:top w:val="nil"/>
              <w:left w:val="nil"/>
              <w:bottom w:val="nil"/>
              <w:right w:val="nil"/>
            </w:tcBorders>
            <w:shd w:val="clear" w:color="auto" w:fill="FFFFFF"/>
          </w:tcPr>
          <w:p>
            <w:r/>
            <w:r>
              <w:rPr>
                <w:rFonts w:ascii="Times New Roman" w:hAnsi="Times New Roman" w:eastAsia="SimSun"/>
                <w:sz w:val="18"/>
              </w:rPr>
              <w:t>热带岛屿、高湿热</w:t>
            </w:r>
          </w:p>
        </w:tc>
        <w:tc>
          <w:tcPr>
            <w:tcW w:type="dxa" w:w="1728"/>
            <w:tcBorders>
              <w:top w:val="nil"/>
              <w:left w:val="nil"/>
              <w:bottom w:val="nil"/>
              <w:right w:val="nil"/>
            </w:tcBorders>
            <w:shd w:val="clear" w:color="auto" w:fill="FFFFFF"/>
          </w:tcPr>
          <w:p>
            <w:r/>
            <w:r>
              <w:rPr>
                <w:rFonts w:ascii="Times New Roman" w:hAnsi="Times New Roman" w:eastAsia="SimSun"/>
                <w:sz w:val="18"/>
              </w:rPr>
              <w:t>热带适应、羽色与生产性状候选基因</w:t>
            </w:r>
          </w:p>
        </w:tc>
        <w:tc>
          <w:tcPr>
            <w:tcW w:type="dxa" w:w="1728"/>
            <w:tcBorders>
              <w:top w:val="nil"/>
              <w:left w:val="nil"/>
              <w:bottom w:val="nil"/>
              <w:right w:val="nil"/>
            </w:tcBorders>
            <w:shd w:val="clear" w:color="auto" w:fill="FFFFFF"/>
          </w:tcPr>
          <w:p>
            <w:r/>
            <w:r>
              <w:rPr>
                <w:rFonts w:ascii="Times New Roman" w:hAnsi="Times New Roman" w:eastAsia="SimSun"/>
                <w:sz w:val="18"/>
              </w:rPr>
              <w:t>[140]</w:t>
            </w:r>
          </w:p>
        </w:tc>
      </w:tr>
      <w:tr>
        <w:tc>
          <w:tcPr>
            <w:tcW w:type="dxa" w:w="1728"/>
            <w:tcBorders>
              <w:top w:val="nil"/>
              <w:left w:val="nil"/>
              <w:bottom w:val="nil"/>
              <w:right w:val="nil"/>
            </w:tcBorders>
            <w:shd w:val="clear" w:color="auto" w:fill="FFFFFF"/>
          </w:tcPr>
          <w:p>
            <w:r/>
            <w:r>
              <w:rPr>
                <w:rFonts w:ascii="Times New Roman" w:hAnsi="Times New Roman" w:eastAsia="SimSun"/>
                <w:sz w:val="18"/>
              </w:rPr>
              <w:t>北京油鸡 (Beijing-You chicken)</w:t>
            </w:r>
          </w:p>
        </w:tc>
        <w:tc>
          <w:tcPr>
            <w:tcW w:type="dxa" w:w="1728"/>
            <w:tcBorders>
              <w:top w:val="nil"/>
              <w:left w:val="nil"/>
              <w:bottom w:val="nil"/>
              <w:right w:val="nil"/>
            </w:tcBorders>
            <w:shd w:val="clear" w:color="auto" w:fill="FFFFFF"/>
          </w:tcPr>
          <w:p>
            <w:r/>
            <w:r>
              <w:rPr>
                <w:rFonts w:ascii="Times New Roman" w:hAnsi="Times New Roman" w:eastAsia="SimSun"/>
                <w:sz w:val="18"/>
              </w:rPr>
              <w:t>中国华北</w:t>
            </w:r>
          </w:p>
        </w:tc>
        <w:tc>
          <w:tcPr>
            <w:tcW w:type="dxa" w:w="1728"/>
            <w:tcBorders>
              <w:top w:val="nil"/>
              <w:left w:val="nil"/>
              <w:bottom w:val="nil"/>
              <w:right w:val="nil"/>
            </w:tcBorders>
            <w:shd w:val="clear" w:color="auto" w:fill="FFFFFF"/>
          </w:tcPr>
          <w:p>
            <w:r/>
            <w:r>
              <w:rPr>
                <w:rFonts w:ascii="Times New Roman" w:hAnsi="Times New Roman" w:eastAsia="SimSun"/>
                <w:sz w:val="18"/>
              </w:rPr>
              <w:t>温带、半放牧、肉蛋兼用</w:t>
            </w:r>
          </w:p>
        </w:tc>
        <w:tc>
          <w:tcPr>
            <w:tcW w:type="dxa" w:w="1728"/>
            <w:tcBorders>
              <w:top w:val="nil"/>
              <w:left w:val="nil"/>
              <w:bottom w:val="nil"/>
              <w:right w:val="nil"/>
            </w:tcBorders>
            <w:shd w:val="clear" w:color="auto" w:fill="FFFFFF"/>
          </w:tcPr>
          <w:p>
            <w:r/>
            <w:r>
              <w:rPr>
                <w:rFonts w:ascii="Times New Roman" w:hAnsi="Times New Roman" w:eastAsia="SimSun"/>
                <w:sz w:val="18"/>
              </w:rPr>
              <w:t>GJA1 (胸肌)、连产性状参数</w:t>
            </w:r>
          </w:p>
        </w:tc>
        <w:tc>
          <w:tcPr>
            <w:tcW w:type="dxa" w:w="1728"/>
            <w:tcBorders>
              <w:top w:val="nil"/>
              <w:left w:val="nil"/>
              <w:bottom w:val="nil"/>
              <w:right w:val="nil"/>
            </w:tcBorders>
            <w:shd w:val="clear" w:color="auto" w:fill="FFFFFF"/>
          </w:tcPr>
          <w:p>
            <w:r/>
            <w:r>
              <w:rPr>
                <w:rFonts w:ascii="Times New Roman" w:hAnsi="Times New Roman" w:eastAsia="SimSun"/>
                <w:sz w:val="18"/>
              </w:rPr>
              <w:t>[74][87][88]</w:t>
            </w:r>
          </w:p>
        </w:tc>
      </w:tr>
      <w:tr>
        <w:tc>
          <w:tcPr>
            <w:tcW w:type="dxa" w:w="1728"/>
            <w:tcBorders>
              <w:top w:val="nil"/>
              <w:left w:val="nil"/>
              <w:bottom w:val="nil"/>
              <w:right w:val="nil"/>
            </w:tcBorders>
            <w:shd w:val="clear" w:color="auto" w:fill="FFFFFF"/>
          </w:tcPr>
          <w:p>
            <w:r/>
            <w:r>
              <w:rPr>
                <w:rFonts w:ascii="Times New Roman" w:hAnsi="Times New Roman" w:eastAsia="SimSun"/>
                <w:sz w:val="18"/>
              </w:rPr>
              <w:t>莱芜黑鸡 (Laiwu Black)</w:t>
            </w:r>
          </w:p>
        </w:tc>
        <w:tc>
          <w:tcPr>
            <w:tcW w:type="dxa" w:w="1728"/>
            <w:tcBorders>
              <w:top w:val="nil"/>
              <w:left w:val="nil"/>
              <w:bottom w:val="nil"/>
              <w:right w:val="nil"/>
            </w:tcBorders>
            <w:shd w:val="clear" w:color="auto" w:fill="FFFFFF"/>
          </w:tcPr>
          <w:p>
            <w:r/>
            <w:r>
              <w:rPr>
                <w:rFonts w:ascii="Times New Roman" w:hAnsi="Times New Roman" w:eastAsia="SimSun"/>
                <w:sz w:val="18"/>
              </w:rPr>
              <w:t>中国华北</w:t>
            </w:r>
          </w:p>
        </w:tc>
        <w:tc>
          <w:tcPr>
            <w:tcW w:type="dxa" w:w="1728"/>
            <w:tcBorders>
              <w:top w:val="nil"/>
              <w:left w:val="nil"/>
              <w:bottom w:val="nil"/>
              <w:right w:val="nil"/>
            </w:tcBorders>
            <w:shd w:val="clear" w:color="auto" w:fill="FFFFFF"/>
          </w:tcPr>
          <w:p>
            <w:r/>
            <w:r>
              <w:rPr>
                <w:rFonts w:ascii="Times New Roman" w:hAnsi="Times New Roman" w:eastAsia="SimSun"/>
                <w:sz w:val="18"/>
              </w:rPr>
              <w:t>地方蛋鸡、产蛋节律差异显著</w:t>
            </w:r>
          </w:p>
        </w:tc>
        <w:tc>
          <w:tcPr>
            <w:tcW w:type="dxa" w:w="1728"/>
            <w:tcBorders>
              <w:top w:val="nil"/>
              <w:left w:val="nil"/>
              <w:bottom w:val="nil"/>
              <w:right w:val="nil"/>
            </w:tcBorders>
            <w:shd w:val="clear" w:color="auto" w:fill="FFFFFF"/>
          </w:tcPr>
          <w:p>
            <w:r/>
            <w:r>
              <w:rPr>
                <w:rFonts w:ascii="Times New Roman" w:hAnsi="Times New Roman" w:eastAsia="SimSun"/>
                <w:sz w:val="18"/>
              </w:rPr>
              <w:t>阶段性产蛋数候选区域</w:t>
            </w:r>
          </w:p>
        </w:tc>
        <w:tc>
          <w:tcPr>
            <w:tcW w:type="dxa" w:w="1728"/>
            <w:tcBorders>
              <w:top w:val="nil"/>
              <w:left w:val="nil"/>
              <w:bottom w:val="nil"/>
              <w:right w:val="nil"/>
            </w:tcBorders>
            <w:shd w:val="clear" w:color="auto" w:fill="FFFFFF"/>
          </w:tcPr>
          <w:p>
            <w:r/>
            <w:r>
              <w:rPr>
                <w:rFonts w:ascii="Times New Roman" w:hAnsi="Times New Roman" w:eastAsia="SimSun"/>
                <w:sz w:val="18"/>
              </w:rPr>
              <w:t>[90]</w:t>
            </w:r>
          </w:p>
        </w:tc>
      </w:tr>
      <w:tr>
        <w:tc>
          <w:tcPr>
            <w:tcW w:type="dxa" w:w="1728"/>
            <w:tcBorders>
              <w:top w:val="nil"/>
              <w:left w:val="nil"/>
              <w:bottom w:val="nil"/>
              <w:right w:val="nil"/>
            </w:tcBorders>
            <w:shd w:val="clear" w:color="auto" w:fill="FFFFFF"/>
          </w:tcPr>
          <w:p>
            <w:r/>
            <w:r>
              <w:rPr>
                <w:rFonts w:ascii="Times New Roman" w:hAnsi="Times New Roman" w:eastAsia="SimSun"/>
                <w:sz w:val="18"/>
              </w:rPr>
              <w:t>林甸鸡 (Lindian chicken)</w:t>
            </w:r>
          </w:p>
        </w:tc>
        <w:tc>
          <w:tcPr>
            <w:tcW w:type="dxa" w:w="1728"/>
            <w:tcBorders>
              <w:top w:val="nil"/>
              <w:left w:val="nil"/>
              <w:bottom w:val="nil"/>
              <w:right w:val="nil"/>
            </w:tcBorders>
            <w:shd w:val="clear" w:color="auto" w:fill="FFFFFF"/>
          </w:tcPr>
          <w:p>
            <w:r/>
            <w:r>
              <w:rPr>
                <w:rFonts w:ascii="Times New Roman" w:hAnsi="Times New Roman" w:eastAsia="SimSun"/>
                <w:sz w:val="18"/>
              </w:rPr>
              <w:t>中国东北</w:t>
            </w:r>
          </w:p>
        </w:tc>
        <w:tc>
          <w:tcPr>
            <w:tcW w:type="dxa" w:w="1728"/>
            <w:tcBorders>
              <w:top w:val="nil"/>
              <w:left w:val="nil"/>
              <w:bottom w:val="nil"/>
              <w:right w:val="nil"/>
            </w:tcBorders>
            <w:shd w:val="clear" w:color="auto" w:fill="FFFFFF"/>
          </w:tcPr>
          <w:p>
            <w:r/>
            <w:r>
              <w:rPr>
                <w:rFonts w:ascii="Times New Roman" w:hAnsi="Times New Roman" w:eastAsia="SimSun"/>
                <w:sz w:val="18"/>
              </w:rPr>
              <w:t>寒冷气候</w:t>
            </w:r>
          </w:p>
        </w:tc>
        <w:tc>
          <w:tcPr>
            <w:tcW w:type="dxa" w:w="1728"/>
            <w:tcBorders>
              <w:top w:val="nil"/>
              <w:left w:val="nil"/>
              <w:bottom w:val="nil"/>
              <w:right w:val="nil"/>
            </w:tcBorders>
            <w:shd w:val="clear" w:color="auto" w:fill="FFFFFF"/>
          </w:tcPr>
          <w:p>
            <w:r/>
            <w:r>
              <w:rPr>
                <w:rFonts w:ascii="Times New Roman" w:hAnsi="Times New Roman" w:eastAsia="SimSun"/>
                <w:sz w:val="18"/>
              </w:rPr>
              <w:t>开产/连产相关参数</w:t>
            </w:r>
          </w:p>
        </w:tc>
        <w:tc>
          <w:tcPr>
            <w:tcW w:type="dxa" w:w="1728"/>
            <w:tcBorders>
              <w:top w:val="nil"/>
              <w:left w:val="nil"/>
              <w:bottom w:val="nil"/>
              <w:right w:val="nil"/>
            </w:tcBorders>
            <w:shd w:val="clear" w:color="auto" w:fill="FFFFFF"/>
          </w:tcPr>
          <w:p>
            <w:r/>
            <w:r>
              <w:rPr>
                <w:rFonts w:ascii="Times New Roman" w:hAnsi="Times New Roman" w:eastAsia="SimSun"/>
                <w:sz w:val="18"/>
              </w:rPr>
              <w:t>[92]</w:t>
            </w:r>
          </w:p>
        </w:tc>
      </w:tr>
      <w:tr>
        <w:tc>
          <w:tcPr>
            <w:tcW w:type="dxa" w:w="1728"/>
            <w:tcBorders>
              <w:top w:val="nil"/>
              <w:left w:val="nil"/>
              <w:bottom w:val="nil"/>
              <w:right w:val="nil"/>
            </w:tcBorders>
            <w:shd w:val="clear" w:color="auto" w:fill="FFFFFF"/>
          </w:tcPr>
          <w:p>
            <w:r/>
            <w:r>
              <w:rPr>
                <w:rFonts w:ascii="Times New Roman" w:hAnsi="Times New Roman" w:eastAsia="SimSun"/>
                <w:sz w:val="18"/>
              </w:rPr>
              <w:t>双莲鸡 (Shuanglian chicken)</w:t>
            </w:r>
          </w:p>
        </w:tc>
        <w:tc>
          <w:tcPr>
            <w:tcW w:type="dxa" w:w="1728"/>
            <w:tcBorders>
              <w:top w:val="nil"/>
              <w:left w:val="nil"/>
              <w:bottom w:val="nil"/>
              <w:right w:val="nil"/>
            </w:tcBorders>
            <w:shd w:val="clear" w:color="auto" w:fill="FFFFFF"/>
          </w:tcPr>
          <w:p>
            <w:r/>
            <w:r>
              <w:rPr>
                <w:rFonts w:ascii="Times New Roman" w:hAnsi="Times New Roman" w:eastAsia="SimSun"/>
                <w:sz w:val="18"/>
              </w:rPr>
              <w:t>中国南方</w:t>
            </w:r>
          </w:p>
        </w:tc>
        <w:tc>
          <w:tcPr>
            <w:tcW w:type="dxa" w:w="1728"/>
            <w:tcBorders>
              <w:top w:val="nil"/>
              <w:left w:val="nil"/>
              <w:bottom w:val="nil"/>
              <w:right w:val="nil"/>
            </w:tcBorders>
            <w:shd w:val="clear" w:color="auto" w:fill="FFFFFF"/>
          </w:tcPr>
          <w:p>
            <w:r/>
            <w:r>
              <w:rPr>
                <w:rFonts w:ascii="Times New Roman" w:hAnsi="Times New Roman" w:eastAsia="SimSun"/>
                <w:sz w:val="18"/>
              </w:rPr>
              <w:t>地方蛋鸡</w:t>
            </w:r>
          </w:p>
        </w:tc>
        <w:tc>
          <w:tcPr>
            <w:tcW w:type="dxa" w:w="1728"/>
            <w:tcBorders>
              <w:top w:val="nil"/>
              <w:left w:val="nil"/>
              <w:bottom w:val="nil"/>
              <w:right w:val="nil"/>
            </w:tcBorders>
            <w:shd w:val="clear" w:color="auto" w:fill="FFFFFF"/>
          </w:tcPr>
          <w:p>
            <w:r/>
            <w:r>
              <w:rPr>
                <w:rFonts w:ascii="Times New Roman" w:hAnsi="Times New Roman" w:eastAsia="SimSun"/>
                <w:sz w:val="18"/>
              </w:rPr>
              <w:t>产蛋数/最大连产候选区域</w:t>
            </w:r>
          </w:p>
        </w:tc>
        <w:tc>
          <w:tcPr>
            <w:tcW w:type="dxa" w:w="1728"/>
            <w:tcBorders>
              <w:top w:val="nil"/>
              <w:left w:val="nil"/>
              <w:bottom w:val="nil"/>
              <w:right w:val="nil"/>
            </w:tcBorders>
            <w:shd w:val="clear" w:color="auto" w:fill="FFFFFF"/>
          </w:tcPr>
          <w:p>
            <w:r/>
            <w:r>
              <w:rPr>
                <w:rFonts w:ascii="Times New Roman" w:hAnsi="Times New Roman" w:eastAsia="SimSun"/>
                <w:sz w:val="18"/>
              </w:rPr>
              <w:t>[89]</w:t>
            </w:r>
          </w:p>
        </w:tc>
      </w:tr>
      <w:tr>
        <w:tc>
          <w:tcPr>
            <w:tcW w:type="dxa" w:w="1728"/>
            <w:tcBorders>
              <w:top w:val="nil"/>
              <w:left w:val="nil"/>
              <w:bottom w:val="nil"/>
              <w:right w:val="nil"/>
            </w:tcBorders>
            <w:shd w:val="clear" w:color="auto" w:fill="FFFFFF"/>
          </w:tcPr>
          <w:p>
            <w:r/>
            <w:r>
              <w:rPr>
                <w:rFonts w:ascii="Times New Roman" w:hAnsi="Times New Roman" w:eastAsia="SimSun"/>
                <w:sz w:val="18"/>
              </w:rPr>
              <w:t>Baicheng-You chicken</w:t>
            </w:r>
          </w:p>
        </w:tc>
        <w:tc>
          <w:tcPr>
            <w:tcW w:type="dxa" w:w="1728"/>
            <w:tcBorders>
              <w:top w:val="nil"/>
              <w:left w:val="nil"/>
              <w:bottom w:val="nil"/>
              <w:right w:val="nil"/>
            </w:tcBorders>
            <w:shd w:val="clear" w:color="auto" w:fill="FFFFFF"/>
          </w:tcPr>
          <w:p>
            <w:r/>
            <w:r>
              <w:rPr>
                <w:rFonts w:ascii="Times New Roman" w:hAnsi="Times New Roman" w:eastAsia="SimSun"/>
                <w:sz w:val="18"/>
              </w:rPr>
              <w:t>中国东北</w:t>
            </w:r>
          </w:p>
        </w:tc>
        <w:tc>
          <w:tcPr>
            <w:tcW w:type="dxa" w:w="1728"/>
            <w:tcBorders>
              <w:top w:val="nil"/>
              <w:left w:val="nil"/>
              <w:bottom w:val="nil"/>
              <w:right w:val="nil"/>
            </w:tcBorders>
            <w:shd w:val="clear" w:color="auto" w:fill="FFFFFF"/>
          </w:tcPr>
          <w:p>
            <w:r/>
            <w:r>
              <w:rPr>
                <w:rFonts w:ascii="Times New Roman" w:hAnsi="Times New Roman" w:eastAsia="SimSun"/>
                <w:sz w:val="18"/>
              </w:rPr>
              <w:t>兼用型</w:t>
            </w:r>
          </w:p>
        </w:tc>
        <w:tc>
          <w:tcPr>
            <w:tcW w:type="dxa" w:w="1728"/>
            <w:tcBorders>
              <w:top w:val="nil"/>
              <w:left w:val="nil"/>
              <w:bottom w:val="nil"/>
              <w:right w:val="nil"/>
            </w:tcBorders>
            <w:shd w:val="clear" w:color="auto" w:fill="FFFFFF"/>
          </w:tcPr>
          <w:p>
            <w:r/>
            <w:r>
              <w:rPr>
                <w:rFonts w:ascii="Times New Roman" w:hAnsi="Times New Roman" w:eastAsia="SimSun"/>
                <w:sz w:val="18"/>
              </w:rPr>
              <w:t>NCAPG, FAM184B, HOXA</w:t>
            </w:r>
          </w:p>
        </w:tc>
        <w:tc>
          <w:tcPr>
            <w:tcW w:type="dxa" w:w="1728"/>
            <w:tcBorders>
              <w:top w:val="nil"/>
              <w:left w:val="nil"/>
              <w:bottom w:val="nil"/>
              <w:right w:val="nil"/>
            </w:tcBorders>
            <w:shd w:val="clear" w:color="auto" w:fill="FFFFFF"/>
          </w:tcPr>
          <w:p>
            <w:r/>
            <w:r>
              <w:rPr>
                <w:rFonts w:ascii="Times New Roman" w:hAnsi="Times New Roman" w:eastAsia="SimSun"/>
                <w:sz w:val="18"/>
              </w:rPr>
              <w:t>[91]</w:t>
            </w:r>
          </w:p>
        </w:tc>
      </w:tr>
      <w:tr>
        <w:tc>
          <w:tcPr>
            <w:tcW w:type="dxa" w:w="1728"/>
            <w:tcBorders>
              <w:top w:val="nil"/>
              <w:left w:val="nil"/>
              <w:bottom w:val="nil"/>
              <w:right w:val="nil"/>
            </w:tcBorders>
            <w:shd w:val="clear" w:color="auto" w:fill="FFFFFF"/>
          </w:tcPr>
          <w:p>
            <w:r/>
            <w:r>
              <w:rPr>
                <w:rFonts w:ascii="Times New Roman" w:hAnsi="Times New Roman" w:eastAsia="SimSun"/>
                <w:sz w:val="18"/>
              </w:rPr>
              <w:t>俄罗斯白鸡 (Russian White)</w:t>
            </w:r>
          </w:p>
        </w:tc>
        <w:tc>
          <w:tcPr>
            <w:tcW w:type="dxa" w:w="1728"/>
            <w:tcBorders>
              <w:top w:val="nil"/>
              <w:left w:val="nil"/>
              <w:bottom w:val="nil"/>
              <w:right w:val="nil"/>
            </w:tcBorders>
            <w:shd w:val="clear" w:color="auto" w:fill="FFFFFF"/>
          </w:tcPr>
          <w:p>
            <w:r/>
            <w:r>
              <w:rPr>
                <w:rFonts w:ascii="Times New Roman" w:hAnsi="Times New Roman" w:eastAsia="SimSun"/>
                <w:sz w:val="18"/>
              </w:rPr>
              <w:t>俄罗斯</w:t>
            </w:r>
          </w:p>
        </w:tc>
        <w:tc>
          <w:tcPr>
            <w:tcW w:type="dxa" w:w="1728"/>
            <w:tcBorders>
              <w:top w:val="nil"/>
              <w:left w:val="nil"/>
              <w:bottom w:val="nil"/>
              <w:right w:val="nil"/>
            </w:tcBorders>
            <w:shd w:val="clear" w:color="auto" w:fill="FFFFFF"/>
          </w:tcPr>
          <w:p>
            <w:r/>
            <w:r>
              <w:rPr>
                <w:rFonts w:ascii="Times New Roman" w:hAnsi="Times New Roman" w:eastAsia="SimSun"/>
                <w:sz w:val="18"/>
              </w:rPr>
              <w:t>严寒环境</w:t>
            </w:r>
          </w:p>
        </w:tc>
        <w:tc>
          <w:tcPr>
            <w:tcW w:type="dxa" w:w="1728"/>
            <w:tcBorders>
              <w:top w:val="nil"/>
              <w:left w:val="nil"/>
              <w:bottom w:val="nil"/>
              <w:right w:val="nil"/>
            </w:tcBorders>
            <w:shd w:val="clear" w:color="auto" w:fill="FFFFFF"/>
          </w:tcPr>
          <w:p>
            <w:r/>
            <w:r>
              <w:rPr>
                <w:rFonts w:ascii="Times New Roman" w:hAnsi="Times New Roman" w:eastAsia="SimSun"/>
                <w:sz w:val="18"/>
              </w:rPr>
              <w:t>ADIPOQ, GCGR, TRPM2, RYR2, CAMK2G</w:t>
            </w:r>
          </w:p>
        </w:tc>
        <w:tc>
          <w:tcPr>
            <w:tcW w:type="dxa" w:w="1728"/>
            <w:tcBorders>
              <w:top w:val="nil"/>
              <w:left w:val="nil"/>
              <w:bottom w:val="nil"/>
              <w:right w:val="nil"/>
            </w:tcBorders>
            <w:shd w:val="clear" w:color="auto" w:fill="FFFFFF"/>
          </w:tcPr>
          <w:p>
            <w:r/>
            <w:r>
              <w:rPr>
                <w:rFonts w:ascii="Times New Roman" w:hAnsi="Times New Roman" w:eastAsia="SimSun"/>
                <w:sz w:val="18"/>
              </w:rPr>
              <w:t>[131][132]</w:t>
            </w:r>
          </w:p>
        </w:tc>
      </w:tr>
      <w:tr>
        <w:tc>
          <w:tcPr>
            <w:tcW w:type="dxa" w:w="1728"/>
            <w:tcBorders>
              <w:top w:val="nil"/>
              <w:left w:val="nil"/>
              <w:bottom w:val="nil"/>
              <w:right w:val="nil"/>
            </w:tcBorders>
            <w:shd w:val="clear" w:color="auto" w:fill="FFFFFF"/>
          </w:tcPr>
          <w:p>
            <w:r/>
            <w:r>
              <w:rPr>
                <w:rFonts w:ascii="Times New Roman" w:hAnsi="Times New Roman" w:eastAsia="SimSun"/>
                <w:sz w:val="18"/>
              </w:rPr>
              <w:t>Ushanka / Orloff Mille Fleur</w:t>
            </w:r>
          </w:p>
        </w:tc>
        <w:tc>
          <w:tcPr>
            <w:tcW w:type="dxa" w:w="1728"/>
            <w:tcBorders>
              <w:top w:val="nil"/>
              <w:left w:val="nil"/>
              <w:bottom w:val="nil"/>
              <w:right w:val="nil"/>
            </w:tcBorders>
            <w:shd w:val="clear" w:color="auto" w:fill="FFFFFF"/>
          </w:tcPr>
          <w:p>
            <w:r/>
            <w:r>
              <w:rPr>
                <w:rFonts w:ascii="Times New Roman" w:hAnsi="Times New Roman" w:eastAsia="SimSun"/>
                <w:sz w:val="18"/>
              </w:rPr>
              <w:t>俄罗斯</w:t>
            </w:r>
          </w:p>
        </w:tc>
        <w:tc>
          <w:tcPr>
            <w:tcW w:type="dxa" w:w="1728"/>
            <w:tcBorders>
              <w:top w:val="nil"/>
              <w:left w:val="nil"/>
              <w:bottom w:val="nil"/>
              <w:right w:val="nil"/>
            </w:tcBorders>
            <w:shd w:val="clear" w:color="auto" w:fill="FFFFFF"/>
          </w:tcPr>
          <w:p>
            <w:r/>
            <w:r>
              <w:rPr>
                <w:rFonts w:ascii="Times New Roman" w:hAnsi="Times New Roman" w:eastAsia="SimSun"/>
                <w:sz w:val="18"/>
              </w:rPr>
              <w:t>寒冷气候</w:t>
            </w:r>
          </w:p>
        </w:tc>
        <w:tc>
          <w:tcPr>
            <w:tcW w:type="dxa" w:w="1728"/>
            <w:tcBorders>
              <w:top w:val="nil"/>
              <w:left w:val="nil"/>
              <w:bottom w:val="nil"/>
              <w:right w:val="nil"/>
            </w:tcBorders>
            <w:shd w:val="clear" w:color="auto" w:fill="FFFFFF"/>
          </w:tcPr>
          <w:p>
            <w:r/>
            <w:r>
              <w:rPr>
                <w:rFonts w:ascii="Times New Roman" w:hAnsi="Times New Roman" w:eastAsia="SimSun"/>
                <w:sz w:val="18"/>
              </w:rPr>
              <w:t>与能量稳态相关选择信号</w:t>
            </w:r>
          </w:p>
        </w:tc>
        <w:tc>
          <w:tcPr>
            <w:tcW w:type="dxa" w:w="1728"/>
            <w:tcBorders>
              <w:top w:val="nil"/>
              <w:left w:val="nil"/>
              <w:bottom w:val="nil"/>
              <w:right w:val="nil"/>
            </w:tcBorders>
            <w:shd w:val="clear" w:color="auto" w:fill="FFFFFF"/>
          </w:tcPr>
          <w:p>
            <w:r/>
            <w:r>
              <w:rPr>
                <w:rFonts w:ascii="Times New Roman" w:hAnsi="Times New Roman" w:eastAsia="SimSun"/>
                <w:sz w:val="18"/>
              </w:rPr>
              <w:t>[132][133]</w:t>
            </w:r>
          </w:p>
        </w:tc>
      </w:tr>
      <w:tr>
        <w:tc>
          <w:tcPr>
            <w:tcW w:type="dxa" w:w="1728"/>
            <w:tcBorders>
              <w:top w:val="nil"/>
              <w:left w:val="nil"/>
              <w:bottom w:val="nil"/>
              <w:right w:val="nil"/>
            </w:tcBorders>
            <w:shd w:val="clear" w:color="auto" w:fill="FFFFFF"/>
          </w:tcPr>
          <w:p>
            <w:r/>
            <w:r>
              <w:rPr>
                <w:rFonts w:ascii="Times New Roman" w:hAnsi="Times New Roman" w:eastAsia="SimSun"/>
                <w:sz w:val="18"/>
              </w:rPr>
              <w:t>裸颈鸡 (Naked Neck, Na)</w:t>
            </w:r>
          </w:p>
        </w:tc>
        <w:tc>
          <w:tcPr>
            <w:tcW w:type="dxa" w:w="1728"/>
            <w:tcBorders>
              <w:top w:val="nil"/>
              <w:left w:val="nil"/>
              <w:bottom w:val="nil"/>
              <w:right w:val="nil"/>
            </w:tcBorders>
            <w:shd w:val="clear" w:color="auto" w:fill="FFFFFF"/>
          </w:tcPr>
          <w:p>
            <w:r/>
            <w:r>
              <w:rPr>
                <w:rFonts w:ascii="Times New Roman" w:hAnsi="Times New Roman" w:eastAsia="SimSun"/>
                <w:sz w:val="18"/>
              </w:rPr>
              <w:t>热带及多地</w:t>
            </w:r>
          </w:p>
        </w:tc>
        <w:tc>
          <w:tcPr>
            <w:tcW w:type="dxa" w:w="1728"/>
            <w:tcBorders>
              <w:top w:val="nil"/>
              <w:left w:val="nil"/>
              <w:bottom w:val="nil"/>
              <w:right w:val="nil"/>
            </w:tcBorders>
            <w:shd w:val="clear" w:color="auto" w:fill="FFFFFF"/>
          </w:tcPr>
          <w:p>
            <w:r/>
            <w:r>
              <w:rPr>
                <w:rFonts w:ascii="Times New Roman" w:hAnsi="Times New Roman" w:eastAsia="SimSun"/>
                <w:sz w:val="18"/>
              </w:rPr>
              <w:t>热应激环境</w:t>
            </w:r>
          </w:p>
        </w:tc>
        <w:tc>
          <w:tcPr>
            <w:tcW w:type="dxa" w:w="1728"/>
            <w:tcBorders>
              <w:top w:val="nil"/>
              <w:left w:val="nil"/>
              <w:bottom w:val="nil"/>
              <w:right w:val="nil"/>
            </w:tcBorders>
            <w:shd w:val="clear" w:color="auto" w:fill="FFFFFF"/>
          </w:tcPr>
          <w:p>
            <w:r/>
            <w:r>
              <w:rPr>
                <w:rFonts w:ascii="Times New Roman" w:hAnsi="Times New Roman" w:eastAsia="SimSun"/>
                <w:sz w:val="18"/>
              </w:rPr>
              <w:t>BMP12/GDF7 远程顺式调控</w:t>
            </w:r>
          </w:p>
        </w:tc>
        <w:tc>
          <w:tcPr>
            <w:tcW w:type="dxa" w:w="1728"/>
            <w:tcBorders>
              <w:top w:val="nil"/>
              <w:left w:val="nil"/>
              <w:bottom w:val="nil"/>
              <w:right w:val="nil"/>
            </w:tcBorders>
            <w:shd w:val="clear" w:color="auto" w:fill="FFFFFF"/>
          </w:tcPr>
          <w:p>
            <w:r/>
            <w:r>
              <w:rPr>
                <w:rFonts w:ascii="Times New Roman" w:hAnsi="Times New Roman" w:eastAsia="SimSun"/>
                <w:sz w:val="18"/>
              </w:rPr>
              <w:t>[124][134][135]</w:t>
            </w:r>
          </w:p>
        </w:tc>
      </w:tr>
      <w:tr>
        <w:tc>
          <w:tcPr>
            <w:tcW w:type="dxa" w:w="1728"/>
            <w:tcBorders>
              <w:top w:val="nil"/>
              <w:left w:val="nil"/>
              <w:bottom w:val="nil"/>
              <w:right w:val="nil"/>
            </w:tcBorders>
            <w:shd w:val="clear" w:color="auto" w:fill="FFFFFF"/>
          </w:tcPr>
          <w:p>
            <w:r/>
            <w:r>
              <w:rPr>
                <w:rFonts w:ascii="Times New Roman" w:hAnsi="Times New Roman" w:eastAsia="SimSun"/>
                <w:sz w:val="18"/>
              </w:rPr>
              <w:t>尼日利亚地方鸡</w:t>
            </w:r>
          </w:p>
        </w:tc>
        <w:tc>
          <w:tcPr>
            <w:tcW w:type="dxa" w:w="1728"/>
            <w:tcBorders>
              <w:top w:val="nil"/>
              <w:left w:val="nil"/>
              <w:bottom w:val="nil"/>
              <w:right w:val="nil"/>
            </w:tcBorders>
            <w:shd w:val="clear" w:color="auto" w:fill="FFFFFF"/>
          </w:tcPr>
          <w:p>
            <w:r/>
            <w:r>
              <w:rPr>
                <w:rFonts w:ascii="Times New Roman" w:hAnsi="Times New Roman" w:eastAsia="SimSun"/>
                <w:sz w:val="18"/>
              </w:rPr>
              <w:t>尼日利亚</w:t>
            </w:r>
          </w:p>
        </w:tc>
        <w:tc>
          <w:tcPr>
            <w:tcW w:type="dxa" w:w="1728"/>
            <w:tcBorders>
              <w:top w:val="nil"/>
              <w:left w:val="nil"/>
              <w:bottom w:val="nil"/>
              <w:right w:val="nil"/>
            </w:tcBorders>
            <w:shd w:val="clear" w:color="auto" w:fill="FFFFFF"/>
          </w:tcPr>
          <w:p>
            <w:r/>
            <w:r>
              <w:rPr>
                <w:rFonts w:ascii="Times New Roman" w:hAnsi="Times New Roman" w:eastAsia="SimSun"/>
                <w:sz w:val="18"/>
              </w:rPr>
              <w:t>高温干旱、低投入饲养</w:t>
            </w:r>
          </w:p>
        </w:tc>
        <w:tc>
          <w:tcPr>
            <w:tcW w:type="dxa" w:w="1728"/>
            <w:tcBorders>
              <w:top w:val="nil"/>
              <w:left w:val="nil"/>
              <w:bottom w:val="nil"/>
              <w:right w:val="nil"/>
            </w:tcBorders>
            <w:shd w:val="clear" w:color="auto" w:fill="FFFFFF"/>
          </w:tcPr>
          <w:p>
            <w:r/>
            <w:r>
              <w:rPr>
                <w:rFonts w:ascii="Times New Roman" w:hAnsi="Times New Roman" w:eastAsia="SimSun"/>
                <w:sz w:val="18"/>
              </w:rPr>
              <w:t>HSF1, CDC37, HIF3A, SLC44A2, ILF3</w:t>
            </w:r>
          </w:p>
        </w:tc>
        <w:tc>
          <w:tcPr>
            <w:tcW w:type="dxa" w:w="1728"/>
            <w:tcBorders>
              <w:top w:val="nil"/>
              <w:left w:val="nil"/>
              <w:bottom w:val="nil"/>
              <w:right w:val="nil"/>
            </w:tcBorders>
            <w:shd w:val="clear" w:color="auto" w:fill="FFFFFF"/>
          </w:tcPr>
          <w:p>
            <w:r/>
            <w:r>
              <w:rPr>
                <w:rFonts w:ascii="Times New Roman" w:hAnsi="Times New Roman" w:eastAsia="SimSun"/>
                <w:sz w:val="18"/>
              </w:rPr>
              <w:t>[136]</w:t>
            </w:r>
          </w:p>
        </w:tc>
      </w:tr>
      <w:tr>
        <w:tc>
          <w:tcPr>
            <w:tcW w:type="dxa" w:w="1728"/>
            <w:tcBorders>
              <w:top w:val="nil"/>
              <w:left w:val="nil"/>
              <w:bottom w:val="nil"/>
              <w:right w:val="nil"/>
            </w:tcBorders>
            <w:shd w:val="clear" w:color="auto" w:fill="FFFFFF"/>
          </w:tcPr>
          <w:p>
            <w:r/>
            <w:r>
              <w:rPr>
                <w:rFonts w:ascii="Times New Roman" w:hAnsi="Times New Roman" w:eastAsia="SimSun"/>
                <w:sz w:val="18"/>
              </w:rPr>
              <w:t>Fayoumi</w:t>
            </w:r>
          </w:p>
        </w:tc>
        <w:tc>
          <w:tcPr>
            <w:tcW w:type="dxa" w:w="1728"/>
            <w:tcBorders>
              <w:top w:val="nil"/>
              <w:left w:val="nil"/>
              <w:bottom w:val="nil"/>
              <w:right w:val="nil"/>
            </w:tcBorders>
            <w:shd w:val="clear" w:color="auto" w:fill="FFFFFF"/>
          </w:tcPr>
          <w:p>
            <w:r/>
            <w:r>
              <w:rPr>
                <w:rFonts w:ascii="Times New Roman" w:hAnsi="Times New Roman" w:eastAsia="SimSun"/>
                <w:sz w:val="18"/>
              </w:rPr>
              <w:t>埃及</w:t>
            </w:r>
          </w:p>
        </w:tc>
        <w:tc>
          <w:tcPr>
            <w:tcW w:type="dxa" w:w="1728"/>
            <w:tcBorders>
              <w:top w:val="nil"/>
              <w:left w:val="nil"/>
              <w:bottom w:val="nil"/>
              <w:right w:val="nil"/>
            </w:tcBorders>
            <w:shd w:val="clear" w:color="auto" w:fill="FFFFFF"/>
          </w:tcPr>
          <w:p>
            <w:r/>
            <w:r>
              <w:rPr>
                <w:rFonts w:ascii="Times New Roman" w:hAnsi="Times New Roman" w:eastAsia="SimSun"/>
                <w:sz w:val="18"/>
              </w:rPr>
              <w:t>热带、传染病压力</w:t>
            </w:r>
          </w:p>
        </w:tc>
        <w:tc>
          <w:tcPr>
            <w:tcW w:type="dxa" w:w="1728"/>
            <w:tcBorders>
              <w:top w:val="nil"/>
              <w:left w:val="nil"/>
              <w:bottom w:val="nil"/>
              <w:right w:val="nil"/>
            </w:tcBorders>
            <w:shd w:val="clear" w:color="auto" w:fill="FFFFFF"/>
          </w:tcPr>
          <w:p>
            <w:r/>
            <w:r>
              <w:rPr>
                <w:rFonts w:ascii="Times New Roman" w:hAnsi="Times New Roman" w:eastAsia="SimSun"/>
                <w:sz w:val="18"/>
              </w:rPr>
              <w:t>与新城疫病毒抗性相关</w:t>
            </w:r>
          </w:p>
        </w:tc>
        <w:tc>
          <w:tcPr>
            <w:tcW w:type="dxa" w:w="1728"/>
            <w:tcBorders>
              <w:top w:val="nil"/>
              <w:left w:val="nil"/>
              <w:bottom w:val="nil"/>
              <w:right w:val="nil"/>
            </w:tcBorders>
            <w:shd w:val="clear" w:color="auto" w:fill="FFFFFF"/>
          </w:tcPr>
          <w:p>
            <w:r/>
            <w:r>
              <w:rPr>
                <w:rFonts w:ascii="Times New Roman" w:hAnsi="Times New Roman" w:eastAsia="SimSun"/>
                <w:sz w:val="18"/>
              </w:rPr>
              <w:t>[138]</w:t>
            </w:r>
          </w:p>
        </w:tc>
      </w:tr>
      <w:tr>
        <w:tc>
          <w:tcPr>
            <w:tcW w:type="dxa" w:w="1728"/>
            <w:tcBorders>
              <w:top w:val="nil"/>
              <w:left w:val="nil"/>
              <w:bottom w:val="nil"/>
              <w:right w:val="nil"/>
            </w:tcBorders>
            <w:shd w:val="clear" w:color="auto" w:fill="FFFFFF"/>
          </w:tcPr>
          <w:p>
            <w:r/>
            <w:r>
              <w:rPr>
                <w:rFonts w:ascii="Times New Roman" w:hAnsi="Times New Roman" w:eastAsia="SimSun"/>
                <w:sz w:val="18"/>
              </w:rPr>
              <w:t>Dandarawi</w:t>
            </w:r>
          </w:p>
        </w:tc>
        <w:tc>
          <w:tcPr>
            <w:tcW w:type="dxa" w:w="1728"/>
            <w:tcBorders>
              <w:top w:val="nil"/>
              <w:left w:val="nil"/>
              <w:bottom w:val="nil"/>
              <w:right w:val="nil"/>
            </w:tcBorders>
            <w:shd w:val="clear" w:color="auto" w:fill="FFFFFF"/>
          </w:tcPr>
          <w:p>
            <w:r/>
            <w:r>
              <w:rPr>
                <w:rFonts w:ascii="Times New Roman" w:hAnsi="Times New Roman" w:eastAsia="SimSun"/>
                <w:sz w:val="18"/>
              </w:rPr>
              <w:t>埃及</w:t>
            </w:r>
          </w:p>
        </w:tc>
        <w:tc>
          <w:tcPr>
            <w:tcW w:type="dxa" w:w="1728"/>
            <w:tcBorders>
              <w:top w:val="nil"/>
              <w:left w:val="nil"/>
              <w:bottom w:val="nil"/>
              <w:right w:val="nil"/>
            </w:tcBorders>
            <w:shd w:val="clear" w:color="auto" w:fill="FFFFFF"/>
          </w:tcPr>
          <w:p>
            <w:r/>
            <w:r>
              <w:rPr>
                <w:rFonts w:ascii="Times New Roman" w:hAnsi="Times New Roman" w:eastAsia="SimSun"/>
                <w:sz w:val="18"/>
              </w:rPr>
              <w:t>强太阳辐射环境</w:t>
            </w:r>
          </w:p>
        </w:tc>
        <w:tc>
          <w:tcPr>
            <w:tcW w:type="dxa" w:w="1728"/>
            <w:tcBorders>
              <w:top w:val="nil"/>
              <w:left w:val="nil"/>
              <w:bottom w:val="nil"/>
              <w:right w:val="nil"/>
            </w:tcBorders>
            <w:shd w:val="clear" w:color="auto" w:fill="FFFFFF"/>
          </w:tcPr>
          <w:p>
            <w:r/>
            <w:r>
              <w:rPr>
                <w:rFonts w:ascii="Times New Roman" w:hAnsi="Times New Roman" w:eastAsia="SimSun"/>
                <w:sz w:val="18"/>
              </w:rPr>
              <w:t>紫外/辐射适应选择信号</w:t>
            </w:r>
          </w:p>
        </w:tc>
        <w:tc>
          <w:tcPr>
            <w:tcW w:type="dxa" w:w="1728"/>
            <w:tcBorders>
              <w:top w:val="nil"/>
              <w:left w:val="nil"/>
              <w:bottom w:val="nil"/>
              <w:right w:val="nil"/>
            </w:tcBorders>
            <w:shd w:val="clear" w:color="auto" w:fill="FFFFFF"/>
          </w:tcPr>
          <w:p>
            <w:r/>
            <w:r>
              <w:rPr>
                <w:rFonts w:ascii="Times New Roman" w:hAnsi="Times New Roman" w:eastAsia="SimSun"/>
                <w:sz w:val="18"/>
              </w:rPr>
              <w:t>[138]</w:t>
            </w:r>
          </w:p>
        </w:tc>
      </w:tr>
      <w:tr>
        <w:tc>
          <w:tcPr>
            <w:tcW w:type="dxa" w:w="1728"/>
            <w:tcBorders>
              <w:top w:val="nil"/>
              <w:left w:val="nil"/>
              <w:bottom w:val="single" w:sz="12" w:space="0" w:color="000000"/>
              <w:right w:val="nil"/>
            </w:tcBorders>
            <w:shd w:val="clear" w:color="auto" w:fill="FFFFFF"/>
          </w:tcPr>
          <w:p>
            <w:r/>
            <w:r>
              <w:rPr>
                <w:rFonts w:ascii="Times New Roman" w:hAnsi="Times New Roman" w:eastAsia="SimSun"/>
                <w:sz w:val="18"/>
              </w:rPr>
              <w:t>埃塞俄比亚地方鸡</w:t>
            </w:r>
          </w:p>
        </w:tc>
        <w:tc>
          <w:tcPr>
            <w:tcW w:type="dxa" w:w="1728"/>
            <w:tcBorders>
              <w:top w:val="nil"/>
              <w:left w:val="nil"/>
              <w:bottom w:val="single" w:sz="12" w:space="0" w:color="000000"/>
              <w:right w:val="nil"/>
            </w:tcBorders>
            <w:shd w:val="clear" w:color="auto" w:fill="FFFFFF"/>
          </w:tcPr>
          <w:p>
            <w:r/>
            <w:r>
              <w:rPr>
                <w:rFonts w:ascii="Times New Roman" w:hAnsi="Times New Roman" w:eastAsia="SimSun"/>
                <w:sz w:val="18"/>
              </w:rPr>
              <w:t>埃塞俄比亚</w:t>
            </w:r>
          </w:p>
        </w:tc>
        <w:tc>
          <w:tcPr>
            <w:tcW w:type="dxa" w:w="1728"/>
            <w:tcBorders>
              <w:top w:val="nil"/>
              <w:left w:val="nil"/>
              <w:bottom w:val="single" w:sz="12" w:space="0" w:color="000000"/>
              <w:right w:val="nil"/>
            </w:tcBorders>
            <w:shd w:val="clear" w:color="auto" w:fill="FFFFFF"/>
          </w:tcPr>
          <w:p>
            <w:r/>
            <w:r>
              <w:rPr>
                <w:rFonts w:ascii="Times New Roman" w:hAnsi="Times New Roman" w:eastAsia="SimSun"/>
                <w:sz w:val="18"/>
              </w:rPr>
              <w:t>多生态、海拔/降雨梯度</w:t>
            </w:r>
          </w:p>
        </w:tc>
        <w:tc>
          <w:tcPr>
            <w:tcW w:type="dxa" w:w="1728"/>
            <w:tcBorders>
              <w:top w:val="nil"/>
              <w:left w:val="nil"/>
              <w:bottom w:val="single" w:sz="12" w:space="0" w:color="000000"/>
              <w:right w:val="nil"/>
            </w:tcBorders>
            <w:shd w:val="clear" w:color="auto" w:fill="FFFFFF"/>
          </w:tcPr>
          <w:p>
            <w:r/>
            <w:r>
              <w:rPr>
                <w:rFonts w:ascii="Times New Roman" w:hAnsi="Times New Roman" w:eastAsia="SimSun"/>
                <w:sz w:val="18"/>
              </w:rPr>
              <w:t>环境—基因组关联候选位点</w:t>
            </w:r>
          </w:p>
        </w:tc>
        <w:tc>
          <w:tcPr>
            <w:tcW w:type="dxa" w:w="1728"/>
            <w:tcBorders>
              <w:top w:val="nil"/>
              <w:left w:val="nil"/>
              <w:bottom w:val="single" w:sz="12" w:space="0" w:color="000000"/>
              <w:right w:val="nil"/>
            </w:tcBorders>
            <w:shd w:val="clear" w:color="auto" w:fill="FFFFFF"/>
          </w:tcPr>
          <w:p>
            <w:r/>
            <w:r>
              <w:rPr>
                <w:rFonts w:ascii="Times New Roman" w:hAnsi="Times New Roman" w:eastAsia="SimSun"/>
                <w:sz w:val="18"/>
              </w:rPr>
              <w:t>[137]</w:t>
            </w:r>
          </w:p>
        </w:tc>
      </w:tr>
    </w:tbl>
    <w:p/>
    <w:p>
      <w:pPr>
        <w:spacing w:before="280" w:after="120"/>
      </w:pPr>
      <w:r>
        <w:rPr>
          <w:rFonts w:ascii="Times New Roman" w:hAnsi="Times New Roman" w:eastAsia="SimHei"/>
          <w:b/>
          <w:sz w:val="28"/>
        </w:rPr>
        <w:t>六、家鸡遗传学成果在育种中的应用</w:t>
      </w:r>
    </w:p>
    <w:p>
      <w:pPr>
        <w:spacing w:line="360" w:lineRule="auto"/>
        <w:ind w:firstLine="420"/>
      </w:pPr>
      <w:r>
        <w:rPr>
          <w:rFonts w:ascii="Times New Roman" w:hAnsi="Times New Roman" w:eastAsia="SimSun"/>
          <w:sz w:val="22"/>
        </w:rPr>
        <w:t>家鸡遗传学研究的最终落脚点之一,在于将基础研究成果转化为可应用于实际育种的工具。从早期以经典遗传学和家系信息为核心的传统选育,到分子标记辅助选择(marker-assisted selection, MAS),再到基于全基因组信息的基因组选择(genomic selection, GS),以及近年来快速发展的基因编辑技术,家鸡育种正经历由“表型驱动”向“基因型驱动”、再到“基因型—调控—功能联合驱动”的深刻转变[12][65][71]。本节围绕标记辅助选择、基因组选择和基因编辑三个层面,讨论家鸡遗传学成果在育种实践中的主要进展、典型应用与现存问题。</w:t>
      </w:r>
    </w:p>
    <w:p>
      <w:pPr>
        <w:spacing w:before="200" w:after="80"/>
      </w:pPr>
      <w:r>
        <w:rPr>
          <w:rFonts w:ascii="Times New Roman" w:hAnsi="Times New Roman" w:eastAsia="SimHei"/>
          <w:b/>
          <w:sz w:val="24"/>
        </w:rPr>
        <w:t>6.1 标记辅助选择</w:t>
      </w:r>
    </w:p>
    <w:p>
      <w:pPr>
        <w:spacing w:line="360" w:lineRule="auto"/>
        <w:ind w:firstLine="420"/>
      </w:pPr>
      <w:r>
        <w:rPr>
          <w:rFonts w:ascii="Times New Roman" w:hAnsi="Times New Roman" w:eastAsia="SimSun"/>
          <w:sz w:val="22"/>
        </w:rPr>
        <w:t>标记辅助选择是分子标记应用于家鸡育种的最早形式。其基本思想是利用与目标性状紧密连锁或处于因果关系的分子标记,在个体早期对其遗传潜力进行预测,从而提高选择强度和育种效率。在家鸡中,MAS的典型应用主要集中于两类性状:一是由主效基因或主要QTL控制的性状,二是难以通过常规表型测定直接获取信息的性状,如抗病性、性别特异性状或晚显性状[6][34]。</w:t>
      </w:r>
    </w:p>
    <w:p>
      <w:pPr>
        <w:spacing w:line="360" w:lineRule="auto"/>
        <w:ind w:firstLine="420"/>
      </w:pPr>
      <w:r>
        <w:t>在主效基因层面,MAS已在多个家鸡性状中取得较为成熟的应用。矮小基因(dw)位于Z染色体,可显著降低母鸡体型并改善饲料转化效率,自20世纪70年代起便被广泛用于褐壳矮小型蛋鸡的培育[142];快慢羽基因(K/k+)位于Z染色体,因其雌雄羽速差异可在出雏当日通过翅羽形态进行性别鉴定[143]。在采用相应配套体系(父快母慢或父慢母快)的商业蛋鸡品系中,这一标记目前仍是雌雄鉴别的常用方法之一;但需指出,K/k+的应用并非“全行业标准化操作”——部分商业配套系采用伴性羽色(金色 / 银色,基于S/s+系统)作为雌雄鉴别依据,部分新型育种体系正在探索基于早期蛋内性别识别的非侵入性技术,以同时解决雄雏处理这一伦理难题(详见7.5节)[148][149]。K/k+标记的成熟应用,实际上是商业蛋鸡育种“按需将分子标记嵌入配套体系”的典型案例,而非通用解决方案。在表型可视性较强的品种特征方面,黄色皮肤(BCDO2)、蓝壳(SLCO1B3)、纤维黑变(EDN3)等基因座的因果变异已被相继解析,使相关品种特征能够在分子层面进行精确选择和品种鉴定[22][99][116]。这类“单基因—主效表型”的稳定关系,为MAS提供了最直接、最可靠的应用场景。</w:t>
      </w:r>
    </w:p>
    <w:p>
      <w:pPr>
        <w:spacing w:line="360" w:lineRule="auto"/>
        <w:ind w:firstLine="420"/>
      </w:pPr>
      <w:r>
        <w:rPr>
          <w:rFonts w:ascii="Times New Roman" w:hAnsi="Times New Roman" w:eastAsia="SimSun"/>
          <w:sz w:val="22"/>
        </w:rPr>
        <w:t>在抗病育种领域,MAS同样发挥了重要作用。鸡MHC-B位点的不同单倍型与马立克氏病、传染性支气管炎以及球虫病等多种疾病的抵抗或易感表型相关,长期被视为家禽抗病育种中最重要的候选遗传系统之一[105][113][114][154]。在病毒受体或限制因子层面,MX基因和TVB等位基因等也曾作为抗病候选标记进行探索;但相关研究表明,这些位点的抗病效应在不同病毒株、不同遗传背景和不同饲养条件下并不总是稳定[144][152][154]。这一现象提示,即便对于看似明确的抗病基因,MAS的实际效果仍受到病原变异、群体遗传结构和环境因素的共同制约。</w:t>
      </w:r>
    </w:p>
    <w:p>
      <w:pPr>
        <w:spacing w:line="360" w:lineRule="auto"/>
        <w:ind w:firstLine="420"/>
      </w:pPr>
      <w:r>
        <w:rPr>
          <w:rFonts w:ascii="Times New Roman" w:hAnsi="Times New Roman" w:eastAsia="SimSun"/>
          <w:sz w:val="22"/>
        </w:rPr>
        <w:t>总体来看,MAS在家鸡育种中的优势在于操作简便、成本相对较低,且对主效基因控制的性状具有较高的选择效率;但其局限同样明显:对多基因控制的复杂数量性状,MAS往往只能解释表型变异的小部分,且单一标记的预测精度容易受到连锁不平衡衰减和群体间差异的影响[6][34]。正是这些局限,推动了家鸡育种向以全基因组信息为基础的基因组选择阶段过渡。</w:t>
      </w:r>
    </w:p>
    <w:p>
      <w:pPr>
        <w:spacing w:before="200" w:after="80"/>
      </w:pPr>
      <w:r>
        <w:rPr>
          <w:rFonts w:ascii="Times New Roman" w:hAnsi="Times New Roman" w:eastAsia="SimHei"/>
          <w:b/>
          <w:sz w:val="24"/>
        </w:rPr>
        <w:t>6.2 基因组选择</w:t>
      </w:r>
    </w:p>
    <w:p>
      <w:pPr>
        <w:spacing w:line="360" w:lineRule="auto"/>
        <w:ind w:firstLine="420"/>
      </w:pPr>
      <w:r>
        <w:rPr>
          <w:rFonts w:ascii="Times New Roman" w:hAnsi="Times New Roman" w:eastAsia="SimSun"/>
          <w:sz w:val="22"/>
        </w:rPr>
        <w:t>基因组选择由Meuwissen等于2001年提出,其核心思想是利用覆盖全基因组的高密度标记同时估计大量微效位点的效应,并据此预测个体的基因组估计育种值(genomic estimated breeding value, GEBV)[145]。与传统系谱BLUP相比,GS能够在缺乏个体自身或后代记录的情况下,对幼龄候选个体作出较为准确的育种值预测,从而显著缩短世代间隔并加快遗传进展,在低遗传力性状、晚显性状和性别限制性状中尤其具有优势[65][155]。</w:t>
      </w:r>
    </w:p>
    <w:p>
      <w:pPr>
        <w:spacing w:line="360" w:lineRule="auto"/>
        <w:ind w:firstLine="420"/>
      </w:pPr>
      <w:r>
        <w:t>在家鸡中,基因组选择已逐步由理论探索走向产业化应用。Wolc等较早在商业蛋鸡群体中系统评估了GS的应用效果,显示基于60K SNP芯片的基因组预测在产蛋数、蛋重和蛋品质等性状上的精度普遍优于传统PBLUP[65]。典型增益范围为预测精度提升约10%—35%,具体幅度因性状遗传力和参考群体规模而异:遗传力较低且表型测定成本较高的性状(如蛋壳品质、晚期产蛋数)往往获得最大相对增益,而遗传力较高且表型测定容易的性状(如蛋重)的相对增益较小[65][66][155];这一规律在肉鸡群体中也基本成立[54][55]。值得注意的是,上述数字均来源于参考群体规模充分(通常≥2 000—5 000个表型 + 基因型记录)的国际育种公司核心群,在地方鸡参考群规模较小(数百以下)的研究中,GS相对PBLUP的优势可能显著缩小,甚至在部分性状上被压缩到5%以下[67][68]。此后,单步GBLUP(ssGBLUP)逐渐成为主流方法,通过将基因型个体与未基因分型个体的系谱信息整合在同一矩阵中,使GS更适合家禽育种群体规模庞大、表型记录不完全平衡的实际情况[146]。在肉鸡群体中,围绕生长、饲料效率和胴体性状的基因组预测研究表明,GS不仅能够提高选择精度,还可减少对个体破坏性测定(如剖检胴体性状)的依赖,从而保留更多优秀个体作为种用[54][55]。</w:t>
      </w:r>
    </w:p>
    <w:p>
      <w:pPr>
        <w:spacing w:line="360" w:lineRule="auto"/>
        <w:ind w:firstLine="420"/>
      </w:pPr>
      <w:r>
        <w:rPr>
          <w:rFonts w:ascii="Times New Roman" w:hAnsi="Times New Roman" w:eastAsia="SimSun"/>
          <w:sz w:val="22"/>
        </w:rPr>
        <w:t>近年来,基因组选择在中国地方鸡种和黄羽肉鸡群体中的应用也迅速增加。Yang等在黄羽肉鸡中基于基因型测序(genotyping-by-sequencing, GBS)开展GWAS和基因组预测,显示在中等密度标记下即可获得具有实际应用价值的预测精度[67];Liu等进一步比较了多种机器学习方法在黄羽肉鸡基因组预测中的表现,提示在部分复杂性状中机器学习模型可在传统线性混合模型基础上进一步提升预测能力[68];Tu等在台湾本土鸡产蛋性状预测中比较不同模型也发现,ssGBLUP在多数性状上的精度明显优于传统PBLUP[66]。这些研究说明,GS不仅适用于由国际育种公司主导的纯系培育,也已逐步进入地方品种和兼用型鸡种改良的实际操作。</w:t>
      </w:r>
    </w:p>
    <w:p>
      <w:pPr>
        <w:spacing w:line="360" w:lineRule="auto"/>
        <w:ind w:firstLine="420"/>
      </w:pPr>
      <w:r>
        <w:rPr>
          <w:rFonts w:ascii="Times New Roman" w:hAnsi="Times New Roman" w:eastAsia="SimSun"/>
          <w:sz w:val="22"/>
        </w:rPr>
        <w:t>随着多组学资源的不断丰富,GS本身也在向“信息整合”方向演进。一方面,基于全基因组重测序和图泛基因组的高密度变异资源,使得功能变异和结构变异有望被直接纳入预测模型,从而部分克服SNP芯片对低频变异和结构变异覆盖不足的问题[8][49];另一方面,ChickenGTEx等多组织eQTL资源的发布,使“调控变异加权”和“组织特异性先验”在基因组预测中的应用成为可能,有望进一步提升复杂性状的预测精度[11]。此外,宿主基因组与肠道微生物组的联合分析也开始被尝试用于饲料效率等性状的预测,提示未来GS模型可能由单一宿主层面拓展到“宿主—微生物”联合预测框架[69][70]。</w:t>
      </w:r>
    </w:p>
    <w:p>
      <w:pPr>
        <w:spacing w:line="360" w:lineRule="auto"/>
        <w:ind w:firstLine="420"/>
      </w:pPr>
      <w:r>
        <w:rPr>
          <w:rFonts w:ascii="Times New Roman" w:hAnsi="Times New Roman" w:eastAsia="SimSun"/>
          <w:sz w:val="22"/>
        </w:rPr>
        <w:t>不过,基因组选择在家鸡中仍面临若干关键问题。首先,参考群体的代表性直接决定预测精度,而多数地方鸡种参考群体规模仍然有限,跨品种和跨群体预测精度普遍偏低[67][68];其次,标记密度仍以SNP为主,对结构变异和低频变异的捕获能力不足,可能遗漏部分关键功能位点[8][49];此外,基因型—环境互作(G×E)在不同饲养体系下的稳定性、模型在高维数据下的过拟合风险,以及如何在持续推动遗传进展的同时维持遗传多样性,都是当前亟需重点解决的问题[66][68]。这些问题也为基因组选择与重测序、多组学整合及基因编辑技术的协同发展提供了进一步的研究空间。</w:t>
      </w:r>
    </w:p>
    <w:p>
      <w:pPr>
        <w:spacing w:before="200" w:after="80"/>
      </w:pPr>
      <w:r>
        <w:rPr>
          <w:rFonts w:ascii="Times New Roman" w:hAnsi="Times New Roman" w:eastAsia="SimHei"/>
          <w:b/>
          <w:sz w:val="24"/>
        </w:rPr>
        <w:t>6.3 基因编辑与精准育种</w:t>
      </w:r>
    </w:p>
    <w:p>
      <w:pPr>
        <w:spacing w:line="360" w:lineRule="auto"/>
        <w:ind w:firstLine="420"/>
      </w:pPr>
      <w:r>
        <w:rPr>
          <w:rFonts w:ascii="Times New Roman" w:hAnsi="Times New Roman" w:eastAsia="SimSun"/>
          <w:sz w:val="22"/>
        </w:rPr>
        <w:t>如果说MAS和GS主要解决的是“如何在已有变异中进行选择”,那么基因编辑技术则使“在基因组中精准引入或修复变异”成为可能,从而把家鸡育种由“在现有变异库中优选”推向“按需设计遗传改良”的阶段。家鸡基因编辑的实施依赖于较为成熟的原始生殖细胞(PGC)体系——在体外对PGC进行CRISPR/Cas9或其他编辑系统操作后,再将编辑后的PGC注入受体胚胎,通过种系传递获得稳定的编辑鸡群[12][57][58]。这一体系使家鸡成为目前少数能够实现高效、稳定生殖系基因编辑的家养动物之一。</w:t>
      </w:r>
    </w:p>
    <w:p>
      <w:pPr>
        <w:spacing w:line="360" w:lineRule="auto"/>
        <w:ind w:firstLine="420"/>
      </w:pPr>
      <w:r>
        <w:rPr>
          <w:rFonts w:ascii="Times New Roman" w:hAnsi="Times New Roman" w:eastAsia="SimSun"/>
          <w:sz w:val="22"/>
        </w:rPr>
        <w:t>在抗病育种方面,基因编辑已经由位点发现阶段进入功能验证阶段。Idoko-Akoh等利用CRISPR/Cas9对ANP32A进行编辑,使其无法支持流感病毒聚合酶的复制,所获得的基因编辑鸡在低剂量H9N2挑战下显示出明显的抗性;但同一研究也表明,在更高病毒剂量下仍可出现突破性感染,且病毒可通过适应性突变利用其他ANP32家族成员完成复制[111]。这一结果具有重要的方法学意义:它一方面证实了“基因编辑—抗病表型”的因果链条,另一方面也提示稳定的抗病改良很可能需要多基因联合编辑或与其他防控措施联合使用[153]。围绕TVB、JAK1及部分先天免疫因子的编辑研究也在持续探索鸡对其他禽源病毒的潜在抗性策略[114][147]。</w:t>
      </w:r>
    </w:p>
    <w:p>
      <w:pPr>
        <w:spacing w:line="360" w:lineRule="auto"/>
        <w:ind w:firstLine="420"/>
      </w:pPr>
      <w:r>
        <w:rPr>
          <w:rFonts w:ascii="Times New Roman" w:hAnsi="Times New Roman" w:eastAsia="SimSun"/>
          <w:sz w:val="22"/>
        </w:rPr>
        <w:t>在生产性状改良方面,基因编辑同样展现出独特价值。Wang等对IGF2BP1启动子区结构变异的解析,提示该位点是商业鸡体型增大的关键贡献者,从而为通过编辑该启动子调控元件实现体型可控改良提供了候选靶点[8];在脂肪沉积、肌肉发育和肉质相关性状中,IGFBP2/IGFBP5、PPARG、MSTN、H-FABP等基因已被多次提出作为潜在编辑目标,部分研究在体外细胞模型上验证了其调控作用,为后续在体编辑提供了基础[71][75-77]。在蛋品质相关性状中,围绕蛋壳形成关键基因(如OC-116、OCX-32)和蛋黄前体相关基因的精准调控,也为通过编辑改善延长产蛋周期下的蛋品质表现提供了可能[97][98]。</w:t>
      </w:r>
    </w:p>
    <w:p>
      <w:pPr>
        <w:spacing w:line="360" w:lineRule="auto"/>
        <w:ind w:firstLine="420"/>
      </w:pPr>
      <w:r>
        <w:rPr>
          <w:rFonts w:ascii="Times New Roman" w:hAnsi="Times New Roman" w:eastAsia="SimSun"/>
          <w:sz w:val="22"/>
        </w:rPr>
        <w:t>家鸡基因编辑的另一类重要应用是将其用作生物反应器生产药用蛋白。基于卵清蛋白(ovalbumin)启动子驱动外源基因表达的策略,使目标蛋白可被特异性地分泌到蛋清中,从而实现“鸡蛋工厂”式生产[59]。这一方向不仅具有显著的医药应用前景,也为家鸡基因组精细调控研究提供了独特平台。此外,围绕长期困扰蛋鸡产业的雄雏处理这一伦理与成本难题,基于性别决定关键基因(如DMRT1)及Z染色体早期标记的胚胎期性别鉴定与性别选择性发育策略也在积极探索之中,有望为蛋鸡产业链中的性别管理问题提供新的技术路径[148][149]。</w:t>
      </w:r>
    </w:p>
    <w:p>
      <w:pPr>
        <w:spacing w:line="360" w:lineRule="auto"/>
        <w:ind w:firstLine="420"/>
      </w:pPr>
      <w:r>
        <w:rPr>
          <w:rFonts w:ascii="Times New Roman" w:hAnsi="Times New Roman" w:eastAsia="SimSun"/>
          <w:sz w:val="22"/>
        </w:rPr>
        <w:t>不过,基因编辑在家鸡育种中的实际应用仍面临多方面挑战。在技术层面,PGC体外培养稳定性、编辑效率与位点特异性、嵌合体比例控制以及脱靶效应评估仍是限制大规模应用的关键问题[12][57][58];在性状层面,多数经济性状由多基因调控,单一位点编辑往往难以产生显著而稳定的表型改良,需要进一步发展多重编辑、调控元件编辑(CRISPRa/i)以及碱基编辑、先导编辑等更精细的工具[12][59];在产业层面,基因编辑产品的监管框架、消费者接受度及国际贸易规则尚未统一,直接影响其商业化进程。因此,未来家鸡基因编辑育种的发展,必将是技术体系完善、性状机制解析与伦理监管协同推进的综合过程。</w:t>
      </w:r>
    </w:p>
    <w:p>
      <w:pPr>
        <w:spacing w:line="360" w:lineRule="auto"/>
        <w:ind w:firstLine="420"/>
      </w:pPr>
      <w:r>
        <w:rPr>
          <w:rFonts w:ascii="Times New Roman" w:hAnsi="Times New Roman" w:eastAsia="SimSun"/>
          <w:sz w:val="22"/>
        </w:rPr>
        <w:t>综合本节内容,标记辅助选择、基因组选择与基因编辑并非简单的相互替代关系,而是共同构成了家鸡育种从“有限位点利用”,到“全基因组信息利用”,再到“精准变异设计”的连续技术体系。MAS在主效基因利用和品种鉴定层面仍具有不可替代的实用价值;GS已在主要国际家禽育种公司中广泛应用于核心育种群,并正向多组学整合和宿主—微生物联合预测方向拓展[65][155];基因编辑则代表了未来精准育种的发展方向,其作用更多体现在突破常规变异库限制、定向改良关键性状上。值得注意的是,基因编辑鸡进入产业仍需突破各国监管框架与消费者接受度的双重门槛,这一议题将在 7.5 节进一步讨论[156]。这三类技术的协同应用,将为家鸡高产、优质、健康和抗逆育种提供更加完整的工具链(图 4)。</w:t>
      </w:r>
    </w:p>
    <w:p>
      <w:pPr>
        <w:spacing w:before="120" w:after="120"/>
        <w:jc w:val="center"/>
      </w:pPr>
      <w:r>
        <w:rPr>
          <w:rFonts w:ascii="Times New Roman" w:hAnsi="Times New Roman" w:eastAsia="SimHei"/>
          <w:b/>
          <w:sz w:val="20"/>
        </w:rPr>
        <w:t>[图 4] MAS / GS / 基因编辑三类家鸡育种技术的协同框架(本文图 4)。详见附录“图表说明”。</w:t>
      </w:r>
    </w:p>
    <w:p>
      <w:pPr>
        <w:spacing w:before="280" w:after="120"/>
      </w:pPr>
      <w:r>
        <w:rPr>
          <w:rFonts w:ascii="Times New Roman" w:hAnsi="Times New Roman" w:eastAsia="SimHei"/>
          <w:b/>
          <w:sz w:val="28"/>
        </w:rPr>
        <w:t>七、当前研究中的关键问题与未来展望</w:t>
      </w:r>
    </w:p>
    <w:p>
      <w:pPr>
        <w:spacing w:line="360" w:lineRule="auto"/>
        <w:ind w:firstLine="420"/>
      </w:pPr>
      <w:r>
        <w:t>经过近二十年的快速发展,家鸡遗传学已在起源驯化、变异资源、复杂性状解析和育种应用等方面取得了系统性进展。但从“基础研究产出”到“产业可用工具”的转化链条上,真正未解决的问题并不主要集中在“还有多少位点未被发现”,而集中在三个更深层的方面:其一,以SNP芯片和短读GWAS为代表的“位点发现红利”已经接近耗尽,新增样本带来的边际信息增益正在快速下降;其二,跨研究综合判断与功能验证之间存在结构性脱节,大量候选位点处于“统计上显著但机制上沉默”的状态;其三,基础研究产出与产业级育种工具之间的转化通道并不顺畅,优秀的功能基因组资源在国际育种公司核心群之外的实际利用程度仍然有限。本章首先从基因组与变异资源、复杂性状解析、地方资源与环境适应、育种应用、伦理与监管五个层面讨论关键瓶颈(7.1—7.5),随后在7.6节给出本文针对未来5年家鸡遗传学走向的若干带立场的预判,以期为后续研究设计提供更具方向性的参考(图 5)。</w:t>
      </w:r>
    </w:p>
    <w:p>
      <w:pPr>
        <w:spacing w:before="120" w:after="120"/>
        <w:jc w:val="center"/>
      </w:pPr>
      <w:r>
        <w:rPr>
          <w:rFonts w:ascii="Times New Roman" w:hAnsi="Times New Roman" w:eastAsia="SimHei"/>
          <w:b/>
          <w:sz w:val="20"/>
        </w:rPr>
        <w:t>[图 5] 家鸡遗传学当前研究瓶颈与未来发展方向概念图(本文图 5)。详见附录“图表说明”。</w:t>
      </w:r>
    </w:p>
    <w:p>
      <w:pPr>
        <w:spacing w:before="200" w:after="80"/>
      </w:pPr>
      <w:r>
        <w:rPr>
          <w:rFonts w:ascii="Times New Roman" w:hAnsi="Times New Roman" w:eastAsia="SimHei"/>
          <w:b/>
          <w:sz w:val="24"/>
        </w:rPr>
        <w:t>7.1 基因组与变异资源仍未被充分解析</w:t>
      </w:r>
    </w:p>
    <w:p>
      <w:pPr>
        <w:spacing w:line="360" w:lineRule="auto"/>
        <w:ind w:firstLine="420"/>
      </w:pPr>
      <w:r>
        <w:rPr>
          <w:rFonts w:ascii="Times New Roman" w:hAnsi="Times New Roman" w:eastAsia="SimSun"/>
          <w:sz w:val="22"/>
        </w:rPr>
        <w:t>尽管家鸡参考基因组已经更新至基于长读长测序的高质量版本,泛基因组与图泛基因组研究也取得显著进展,但若干关键区域和变异类型的解析仍不充分。微染色体、高GC区、着丝粒附近重复区段以及部分免疫相关复杂区域,在现有参考组装中仍存在较高错误率或拼接缺口[7][8][49]。这意味着,部分GWAS峰值可能落在变异捕获不完整的区域内,为后续因果变异精细定位带来挑战。</w:t>
      </w:r>
    </w:p>
    <w:p>
      <w:pPr>
        <w:spacing w:line="360" w:lineRule="auto"/>
        <w:ind w:firstLine="420"/>
      </w:pPr>
      <w:r>
        <w:rPr>
          <w:rFonts w:ascii="Times New Roman" w:hAnsi="Times New Roman" w:eastAsia="SimSun"/>
          <w:sz w:val="22"/>
        </w:rPr>
        <w:t>此外,泛基因组研究的样本代表性问题仍未得到根本解决。当前主要图泛基因组工作所纳入的鸡种数量有限,对全球地方鸡种的覆盖远不如商业品种和典型模式品种充分[8][49];而稀有变异和大型结构变异(SV)在大群体研究中的系统性漏检,也使得泛基因组与GWAS结果之间存在尚未完全弥合的信息断层。未来工作应在三个方向上同时推进:一是依托长读长测序和Telomere-to-Telomere(T2T)装配策略,持续完善参考组装在微染色体、复杂区段和免疫位点上的精细描绘;二是显著扩大图泛基因组的品种覆盖,尤其纳入更多中国、东南亚、非洲和南美地方品种,以更准确地刻画家鸡可变序列空间;三是发展面向SV的标准化分型流程和功能优先级评估方法,使SV从“描述性发现”转向“可常规纳入分析的变异类型”。</w:t>
      </w:r>
    </w:p>
    <w:p>
      <w:pPr>
        <w:spacing w:before="200" w:after="80"/>
      </w:pPr>
      <w:r>
        <w:rPr>
          <w:rFonts w:ascii="Times New Roman" w:hAnsi="Times New Roman" w:eastAsia="SimHei"/>
          <w:b/>
          <w:sz w:val="24"/>
        </w:rPr>
        <w:t>7.2 复杂性状的因果性解析仍是核心瓶颈</w:t>
      </w:r>
    </w:p>
    <w:p>
      <w:pPr>
        <w:spacing w:line="360" w:lineRule="auto"/>
        <w:ind w:firstLine="420"/>
      </w:pPr>
      <w:r>
        <w:rPr>
          <w:rFonts w:ascii="Times New Roman" w:hAnsi="Times New Roman" w:eastAsia="SimSun"/>
          <w:sz w:val="22"/>
        </w:rPr>
        <w:t>当前家鸡复杂性状研究的总体瓶颈,可以概括为“关联易得、因果难证”。GWAS和QTL定位提供了大量候选区域,但绝大多数候选位点缺乏直接的功能证据;现有功能证据多集中于个别表型(如蓝壳、IGF2BP1启动子缺失、ANP32A流感受性等),整体上呈现“点状突破、线状缺失”的状态[8][75][83][111]。</w:t>
      </w:r>
    </w:p>
    <w:p>
      <w:pPr>
        <w:spacing w:line="360" w:lineRule="auto"/>
        <w:ind w:firstLine="420"/>
      </w:pPr>
      <w:r>
        <w:rPr>
          <w:rFonts w:ascii="Times New Roman" w:hAnsi="Times New Roman" w:eastAsia="SimSun"/>
          <w:sz w:val="22"/>
        </w:rPr>
        <w:t>这一瓶颈的产生有多方面原因。首先,家鸡功能验证体系虽然近年来有所突破,但相对于变异发现的速度仍显不足:CRISPR/Cas9生殖系编辑通量有限,体内功能验证周期较长,而高通量功能筛选(如CRISPR文库筛选、报告基因高通量筛选)在家鸡细胞模型中尚未充分建立[12][59]。其次,组织特异性、发育阶段特异性和细胞类型特异性,对于解释非编码区调控变异至关重要;但当前研究在多数性状中仍主要依赖少数“代表性组织”的转录组数据[10][11][50]。再次,GWAS、eQTL、表观组和单细胞数据之间的因果整合方法仍不成熟,跨数据集共定位的统计推断在低样本量场景下的稳健性较弱[56]。</w:t>
      </w:r>
    </w:p>
    <w:p>
      <w:pPr>
        <w:spacing w:line="360" w:lineRule="auto"/>
        <w:ind w:firstLine="420"/>
      </w:pPr>
      <w:r>
        <w:rPr>
          <w:rFonts w:ascii="Times New Roman" w:hAnsi="Times New Roman" w:eastAsia="SimSun"/>
          <w:sz w:val="22"/>
        </w:rPr>
        <w:t>因此,未来家鸡复杂性状的解析需要在三个层面同时推进:一是大幅扩展高通量功能验证手段,例如鸡PGC衍生细胞系中的CRISPRi/CRISPRa文库筛选、基于报告基因的增强子活性高通量测定、以及多重碱基/先导编辑技术;二是深化组织和细胞分辨率,围绕HPO轴、壳腺、膨大部、骨骼肌、脂肪组织和免疫器官等关键组织,系统建设单细胞和空间转录组图谱;三是发展针对家鸡群体特点的因果推断方法,使GWAS结果能够在多组学先验和家鸡特有的家系结构下,更可靠地映射到具体的因果变异和调控机制。</w:t>
      </w:r>
    </w:p>
    <w:p>
      <w:pPr>
        <w:spacing w:before="200" w:after="80"/>
      </w:pPr>
      <w:r>
        <w:rPr>
          <w:rFonts w:ascii="Times New Roman" w:hAnsi="Times New Roman" w:eastAsia="SimHei"/>
          <w:b/>
          <w:sz w:val="24"/>
        </w:rPr>
        <w:t>7.3 地方资源、环境适应与遗传多样性维护</w:t>
      </w:r>
    </w:p>
    <w:p>
      <w:pPr>
        <w:spacing w:line="360" w:lineRule="auto"/>
        <w:ind w:firstLine="420"/>
      </w:pPr>
      <w:r>
        <w:rPr>
          <w:rFonts w:ascii="Times New Roman" w:hAnsi="Times New Roman" w:eastAsia="SimSun"/>
          <w:sz w:val="22"/>
        </w:rPr>
        <w:t>中国和全球范围内的地方鸡种是宝贵的遗传资源库,但其研究和利用仍存在不平衡:在分类、表型、基因组多样性方面已有较多积累[140][141],但围绕“环境适应—生产性能—优异等位变异”的因果链条解析仍较为薄弱。许多与高海拔、耐寒、耐热和抗病相关的候选基因仍停留在群体遗传扫描层面,缺乏功能验证与机制阐释[127-139]。同时,过度集中的现代育种方向可能导致核心商业群体遗传多样性持续下降,从而限制其对未来环境变化和新发疾病的适应能力。</w:t>
      </w:r>
    </w:p>
    <w:p>
      <w:pPr>
        <w:spacing w:line="360" w:lineRule="auto"/>
        <w:ind w:firstLine="420"/>
      </w:pPr>
      <w:r>
        <w:rPr>
          <w:rFonts w:ascii="Times New Roman" w:hAnsi="Times New Roman" w:eastAsia="SimSun"/>
          <w:sz w:val="22"/>
        </w:rPr>
        <w:t>对此,有三方面工作值得加强:一是建立面向地方品种的多组学比较框架,系统整合基因组、转录组、表观组、单细胞和环境表型数据,以厘清环境适应性变异的因果性;二是推动地方品种与商业育种之间的“双向利用”,既将地方品种中识别到的优异等位变异通过基因编辑或精细引入应用于现代育种,也借助现代育种技术对地方品种本身进行系统改良;三是建立可持续的地方资源保护与利用机制,在遗传多样性维护、知识产权安排和地方社区利益之间寻求平衡,使地方鸡资源能够长期支撑全球家禽产业的可持续发展。</w:t>
      </w:r>
    </w:p>
    <w:p>
      <w:pPr>
        <w:spacing w:before="200" w:after="80"/>
      </w:pPr>
      <w:r>
        <w:rPr>
          <w:rFonts w:ascii="Times New Roman" w:hAnsi="Times New Roman" w:eastAsia="SimHei"/>
          <w:b/>
          <w:sz w:val="24"/>
        </w:rPr>
        <w:t>7.4 育种应用中的瓶颈与转化挑战</w:t>
      </w:r>
    </w:p>
    <w:p>
      <w:pPr>
        <w:spacing w:line="360" w:lineRule="auto"/>
        <w:ind w:firstLine="420"/>
      </w:pPr>
      <w:r>
        <w:rPr>
          <w:rFonts w:ascii="Times New Roman" w:hAnsi="Times New Roman" w:eastAsia="SimSun"/>
          <w:sz w:val="22"/>
        </w:rPr>
        <w:t>在育种应用层面,家鸡仍面临从“工具可用”到“工具可靠”的现实挑战。基因组选择虽然已在国际蛋鸡和肉鸡公司中投入实际应用,但其在地方品种、跨群体预测以及对结构变异的纳入等方面仍有较大改进空间[65-68];基因编辑虽然已经实现了从位点验证到功能改良的关键突破,但在多基因联合编辑、表型稳定性、可重复性和大规模产业化方面仍处于起步阶段[12][59][111]。此外,精准育种工具与传统选择体系如何衔接、如何在核心群、扩繁群和商品群之间形成有效的技术链条,这些问题在很大程度上决定了遗传学成果能否真正转化为生产力。</w:t>
      </w:r>
    </w:p>
    <w:p>
      <w:pPr>
        <w:spacing w:line="360" w:lineRule="auto"/>
        <w:ind w:firstLine="420"/>
      </w:pPr>
      <w:r>
        <w:rPr>
          <w:rFonts w:ascii="Times New Roman" w:hAnsi="Times New Roman" w:eastAsia="SimSun"/>
          <w:sz w:val="22"/>
        </w:rPr>
        <w:t>未来,家鸡育种应用的发展应至少关注以下几方面:一是发展能够同时容纳SNP、SV、调控变异和组织特异性效应的“多变异类型基因组预测模型”,以充分利用日益丰富的多组学资源;二是构建跨品种、跨地区共享的参考群体和表型数据库,以缓解地方品种参考群体过小的问题;三是建立“GS + 编辑”的协同育种体系,使日常选育依靠GS,关键性状改良通过精准编辑实现突破;四是发展面向产蛋持久性、肠道健康、抗逆性和动物福利等综合性状的新型表型测定方法,以匹配多组学时代的精细遗传解析。</w:t>
      </w:r>
    </w:p>
    <w:p>
      <w:pPr>
        <w:spacing w:before="200" w:after="80"/>
      </w:pPr>
      <w:r>
        <w:rPr>
          <w:rFonts w:ascii="Times New Roman" w:hAnsi="Times New Roman" w:eastAsia="SimHei"/>
          <w:b/>
          <w:sz w:val="24"/>
        </w:rPr>
        <w:t>7.5 伦理、监管与公众接受</w:t>
      </w:r>
    </w:p>
    <w:p>
      <w:pPr>
        <w:spacing w:line="360" w:lineRule="auto"/>
        <w:ind w:firstLine="420"/>
      </w:pPr>
      <w:r>
        <w:t>家鸡作为重要食用动物,其遗传改良技术的应用必须在科学进展之外充分考虑伦理、监管和公众接受问题。在国际监管层面,基因编辑动物的法规框架尚未统一:美国 FDA 将外源 DNA 介导的可遗传修饰纳入新动物药品监管路径,欧盟则倾向于将基因编辑动物比照转基因生物管理,而部分国家(如阿根廷、巴西、日本)对未引入外源序列的基因编辑产品采取相对开放的审查路径[12][156][158]。这种异质性的监管格局直接影响相关产品的审批进度、跨境贸易和食品标识规则。就中国情况而言,基因编辑动物的监管路径目前尚未完全明朗:农业农村部于2022年发布的《农业用基因编辑植物安全评价指南(试行)》明确了植物基因编辑产品的监管路径,但动物层面的具体审批框架尚未单独出台,目前仍参照转基因动物的整体监管框架处理,这与美国FDA的“新动物药品”路径、欧盟的从严转基因路径以及阿根廷/巴西/日本对未引入外源序列产品的相对开放路径之间存在显著差异。这种“植物先行、动物滞后”的格局对家鸡基因编辑产业有两个直接影响——抗病编辑鸡(如ANP32编辑鸡)即便在国际期刊上完成功能验证,在中国的产业化落地仍需等待动物层面的具体审批路径明确;中国育种企业在基因编辑技术研发上的投入策略,在很大程度上受到这一监管不确定性的反向制约。进而通过监管成本反向塑造研发投入方向——Van Eenennaam 等基于动物育种产业的经济分析指出,过长的监管延迟本身即构成显著的"机会成本",可能令家畜基因编辑产业落后于植物领域[156][159]。</w:t>
      </w:r>
    </w:p>
    <w:p>
      <w:pPr>
        <w:spacing w:line="360" w:lineRule="auto"/>
        <w:ind w:firstLine="420"/>
      </w:pPr>
      <w:r>
        <w:rPr>
          <w:rFonts w:ascii="Times New Roman" w:hAnsi="Times New Roman" w:eastAsia="SimSun"/>
          <w:sz w:val="22"/>
        </w:rPr>
        <w:t>在动物福利层面,持续推动高生产性能的同时,也需要关注与之伴随的代谢负担、骨骼健康、行为异常和疾病易感等问题。Knowles 等基于英国大规模商业肉鸡群体的调查发现,腿部疾病在快长型肉鸡中具有较高发生率,与遗传选择压力下的快速增重密切相关,提示生长性状改良必须与骨骼发育和行为福利指标同步评估[157]。围绕雄雏处理、长产蛋周期蛋鸡的健康管理以及高密度饲养下的福利改善,遗传学研究均可在工具层面提供支撑——基于性别决定关键基因(如DMRT1)的胚胎期性别鉴定与性别选择性发育策略,以及基于光谱学的非侵入性蛋内性别识别技术,均为缓解雄雏处理这一长期伦理难题提供了可能的技术路径[148][149]。</w:t>
      </w:r>
    </w:p>
    <w:p>
      <w:pPr>
        <w:spacing w:line="360" w:lineRule="auto"/>
        <w:ind w:firstLine="420"/>
      </w:pPr>
      <w:r>
        <w:rPr>
          <w:rFonts w:ascii="Times New Roman" w:hAnsi="Times New Roman" w:eastAsia="SimSun"/>
          <w:sz w:val="22"/>
        </w:rPr>
        <w:t>在公众接受与遗传资源保护层面,基因编辑产品的最终落地仍需依靠透明的信息披露、清晰的食品标识体系以及与公众和消费者团体的持续沟通[156][158]。与此同时,过度集中的现代育种方向可能导致核心商业群体遗传多样性持续下降,进而限制其对未来环境变化和新发疾病的适应能力(详见 7.3 节)。因此,未来家鸡遗传学研究在追求生产性能突破的同时,有必要加强与伦理学、社会科学、产业经济和公共政策研究的交叉合作,推动建立更加透明、负责任的技术应用框架,使遗传改良成果能够在科学性、产业性和公众可接受性之间取得长期平衡。</w:t>
      </w:r>
    </w:p>
    <w:p>
      <w:r>
        <w:t>7.6 对未来 5 年家鸡遗传学走向的若干预判</w:t>
      </w:r>
    </w:p>
    <w:p>
      <w:r>
        <w:t>学术综述的真正价值,不仅在于“汇总已发生的事实”,还在于“提出可被后续研究验证或证伪的方向性判断”。在本章前述讨论的基础上,本文提出以下五点带有作者立场的预判,供同行参考与批评。</w:t>
      </w:r>
    </w:p>
    <w:p>
      <w:r>
        <w:t>预判1:短读GWAS的“位点发现红利”已接近耗尽,下一阶段的实质突破将主要由长读测序与图泛基因组带来。当前家鸡GWAS文献中,新增研究往往在已知染色体区域中重新发现相似信号,真正能够引入新的“硬信号”的研究比例正在下降。这一现象的根本原因在于,商业群体中基于SNP芯片可分型的常见变异空间已被反复扫描;未来5年,新的因果变异将更多来自图泛基因组下的SV、TE插入与启动子重复等“短读盲区”,而非更大样本的SNP-GWAS。IGF2BP1启动子缺失只是这一类发现的第一例,而非最后一例。</w:t>
      </w:r>
    </w:p>
    <w:p>
      <w:r>
        <w:t>预判2:ChickenGTEx类多组织mol-QTL资源将在3—5年内成为家鸡GS模型的标准“先验”,但其增益在地方品种中将显著低于国际核心群。多组织eQTL/sQTL资源对GS模型的潜在贡献,在于将SNP效应从“统计估计”转化为“调控加权”,从而提高在低参考群规模下的预测稳健性[11][65][66];但这一增益在很大程度上依赖于参考群与商业群之间的遗传背景一致性。对于中国地方鸡和黄羽肉鸡,由于多数ChickenGTEx数据来自相对有限的群体,直接迁移所获得的边际增益可能远低于在原始参考群中观察到的水平。因此,中国地方鸡GS的实质突破不仅依赖于“用上ChickenGTEx”,更依赖于“建设属于地方品种的多组学先验资源”;这一资源建设在未来5年仍是空白领域。</w:t>
      </w:r>
    </w:p>
    <w:p>
      <w:r>
        <w:t>预判3:多基因联合编辑(2—3个位点同时编辑)在抗病性状中可能率先突破,但在产蛋、生长等复杂数量性状上不会因编辑技术成熟而出现“飞跃”。ANP32家族编辑鸡的研究[111]已经证明,即便在功能链条相对清晰的抗病性状上,单位点编辑也不足以产生稳定的表型改良——病毒可通过适应性突变利用其他家族成员逃逸;但抗病性状的优势在于:候选位点数量有限、效应方向清晰、表型测定标准化。反观产蛋数、饲料效率等复杂数量性状,即便挑选出5—10个最强候选位点同时编辑,所能解释的表型方差仍可能远低于GS在常规育种中已经实现的进展水平。换言之,基因编辑在抗病育种中具有“突破性”潜力,而在多数生产性状上仅是“增量补充”;这一定位本身需要在产业沟通中被明确界定,以避免不切实际的预期。</w:t>
      </w:r>
    </w:p>
    <w:p>
      <w:r>
        <w:t>预判4:宿主—微生物联合预测在高水平期刊中将持续是“热点话题”,但其在工业级育种中的可重复增益可能有限(很可能 &lt; 5%)。已有研究在宿主基因组与肠道菌群联合预测饲料效率上展示了原理性增益[69][70],但这些研究通常面临三重限制:菌群表型测定成本高、菌群组成的环境敏感性远高于宿主基因型、在跨群体迁移中可重复性较差。在工业级核心群中,即便菌群联合预测能够稳定产生3%—5%的精度增益,其与额外测定成本之间的成本效益比也未必为正。这一方向的真正价值,可能并非“立即提升GS精度”,而是“为肠道健康与饲养管理提供可被分子化的中间表型”;其产业贡献会以间接方式呈现。</w:t>
      </w:r>
    </w:p>
    <w:p>
      <w:r>
        <w:t>预判5:中国地方鸡资源若无系统性整合机制,在未来5年内仍将以“局部高水平研究 + 整体碎片化”的方式存在。当前中国地方鸡研究的总体格局是:特定鸡种(藏鸡、北京油鸡、文昌鸡、莱芜黑鸡等)的单品种研究在国际期刊上不断取得高水平产出[127-130][140][141][74][87][88][90],但这些研究在表型标准、采样策略、数据共享层面缺乏统一框架,导致跨品种比较与综合利用极为困难。Tan等针对13个地方鸡种的全基因组变异数据集[141]是迄今为止最具方法学示范价值的整合性工作之一,但要使中国地方鸡资源真正进入“图泛基因组与多组学联合解析”阶段,仍需国家层面的系统性资源协调机制。在缺乏这一机制的前提下,即便单项研究继续向上突破,整体仍将停留在“高水平的局部研究”层面,而难以形成与国际商业群体研究并列的整合体系。</w:t>
      </w:r>
    </w:p>
    <w:p>
      <w:pPr>
        <w:spacing w:before="280" w:after="120"/>
      </w:pPr>
      <w:r>
        <w:rPr>
          <w:rFonts w:ascii="Times New Roman" w:hAnsi="Times New Roman" w:eastAsia="SimHei"/>
          <w:b/>
          <w:sz w:val="28"/>
        </w:rPr>
        <w:t>八、结语</w:t>
      </w:r>
    </w:p>
    <w:p>
      <w:pPr>
        <w:spacing w:line="360" w:lineRule="auto"/>
        <w:ind w:firstLine="420"/>
      </w:pPr>
      <w:r>
        <w:rPr>
          <w:rFonts w:ascii="Times New Roman" w:hAnsi="Times New Roman" w:eastAsia="SimSun"/>
          <w:sz w:val="22"/>
        </w:rPr>
        <w:t>家鸡遗传学的发展是经典遗传学、基因组学和多组学整合不断融合的过程,也是“基础研究—资源建设—育种应用”相互推动的过程。在过去二十多年间,家鸡参考基因组、群体重测序、SNP芯片和高密度图谱、QTL定位和GWAS、泛基因组、功能调控元件图谱、ChickenGTEx以及PGC基因编辑等技术的出现,使家鸡从经典模式动物逐步发展为兼具基础生物学价值和产业应用价值的重要模型物种。这些资源不仅深化了人们对家鸡起源、扩散、复杂性状形成机制的理解,也为现代分子育种提供了可操作的工具。</w:t>
      </w:r>
    </w:p>
    <w:p>
      <w:pPr>
        <w:spacing w:line="360" w:lineRule="auto"/>
        <w:ind w:firstLine="420"/>
      </w:pPr>
      <w:r>
        <w:rPr>
          <w:rFonts w:ascii="Times New Roman" w:hAnsi="Times New Roman" w:eastAsia="SimSun"/>
          <w:sz w:val="22"/>
        </w:rPr>
        <w:t>然而,家鸡遗传学并未走完其发展之路。无论是在变异资源的精细解析、复杂性状的因果性证明,还是在地方资源利用、育种应用转化和伦理监管协同方面,仍存在大量需要解决的问题。未来,家鸡遗传学若能够在长读长测序、图泛基因组、单细胞和空间转录组、表观组学、高通量基因编辑、宿主—微生物互作以及伦理监管框架等方向上取得协调推进,有望真正建立起“变异发现—统计定位—功能注释—实验验证—育种转化”的完整研究链条,为家鸡产业的高产、优质、健康和抗逆改良,以及全球家禽业的可持续发展,提供更加坚实的科学基础。</w:t>
      </w:r>
    </w:p>
    <w:p>
      <w:pPr>
        <w:spacing w:before="280" w:after="120"/>
      </w:pPr>
      <w:r>
        <w:rPr>
          <w:rFonts w:ascii="Times New Roman" w:hAnsi="Times New Roman" w:eastAsia="SimHei"/>
          <w:b/>
          <w:sz w:val="28"/>
        </w:rPr>
        <w:t>附录:图表说明</w:t>
      </w:r>
    </w:p>
    <w:p>
      <w:pPr>
        <w:spacing w:line="360" w:lineRule="auto"/>
        <w:ind w:firstLine="420"/>
      </w:pPr>
      <w:r>
        <w:rPr>
          <w:rFonts w:ascii="Times New Roman" w:hAnsi="Times New Roman" w:eastAsia="SimSun"/>
          <w:sz w:val="22"/>
        </w:rPr>
        <w:t>本文共包含 5 张图(图 1—图 5)和 3 张表(表 1—表 3),其中表 1—表 3 已直接嵌入正文相应位置;图 1—图 5 由于版式原因以图注形式出现在正文中,具体作图说明详见本附录,可据此使用 BioRender、PowerPoint 或类似工具完成最终绘制。</w:t>
      </w:r>
    </w:p>
    <w:p>
      <w:pPr>
        <w:spacing w:before="200" w:after="80"/>
      </w:pPr>
      <w:r>
        <w:t>图 1:家鸡遗传学研究技术演进时间线。类型:横向时间线泳道图。横轴为时间(1990—2030),纵向5条平行泳道,自上而下依次为:①分子标记(RFLP / RAPD / 微卫星 / 60K SNP / 600K SNP);②参考基因组(WUGSC 2.1 / Gallus_gallus-5.0 / GRCg7b / 鸡泛基因组 / 图泛基因组);③群体研究(QTL → GWAS → 选择信号 → meta-GWAS → mGWAS → 宿主-微生物联合分析);④功能注释(FAANG / ATAC-seq染色质图谱 / 调控元件图谱 / ChickenGTEx / 单细胞与空间转录组);⑤编辑工具(PGC体系 / CRISPR/Cas9 / CRISPRa-i / 碱基编辑 / 先导编辑 / 多重位点联合编辑)。每个里程碑标注代表性参考文献编号([7][8][11][12][13][34][37][39][48-56][58-59][67-68][81-83]等);建议在2010年与2020年加竖向虚线分隔“低密度标记—基因组—多组学”三阶段。</w:t>
      </w:r>
    </w:p>
    <w:p>
      <w:pPr>
        <w:spacing w:line="360" w:lineRule="auto"/>
        <w:ind w:firstLine="420"/>
      </w:pPr>
      <w:r/>
    </w:p>
    <w:p>
      <w:pPr>
        <w:spacing w:before="200" w:after="80"/>
      </w:pPr>
      <w:r>
        <w:t>图 2:家鸡起源与全球扩散路线示意图。类型:世界地图叠加路线图。在世界地图上标注:①驯化中心(中国西南—缅甸北部—泰国北部,代表G. g. spadiceus分布区);②主要扩散路线:中国南方→中国北方;东南亚→南亚→中亚→西亚→地中海;经埃及/红海/印度洋三条路线进入非洲;欧洲殖民/非洲奴隶贸易/太平洋贸易进入美洲;③沿途标注关键考古或分子证据点(中亚 Peters 蛋壳证据[28]、欧洲 Best 测年[24][25]、智利 El Arenal-1[32][33]);④用不同颜色或线型区分mtDNA证据(细线)与全基因组证据(粗线);⑤在驯化中心附近用单独图例标注灰原鸡(G. sonneratii)对家鸡黄色皮肤性状的渐渗贡献[22]。比例尺保留主要大洲轮廓即可,不需要国家边界。</w:t>
      </w:r>
    </w:p>
    <w:p>
      <w:pPr>
        <w:spacing w:line="360" w:lineRule="auto"/>
        <w:ind w:firstLine="420"/>
      </w:pPr>
      <w:r/>
    </w:p>
    <w:p>
      <w:pPr>
        <w:spacing w:before="200" w:after="80"/>
      </w:pPr>
      <w:r>
        <w:t>图 3:家鸡复杂性状“基因型—调控—表型”五层解析框架。类型:垂直堆叠多层框架图,自下而上6层:①DNA层(SNP / InDel / 结构变异 / 调控元件,标注代表案例 IGF2BP1 启动子缺失[8],并以独立标识链接 Box 1);②表观层(DNA甲基化 / 组蛋白修饰 / ATAC-seq染色质开放区 / Hi-C三维构象[50][61][75]);③转录层(mRNA);④非编码RNA层(lncRNA / miRNA / circRNA / ceRNA海绵机制,标注 IMFNCR-PPARG[77]、lncRNA 6302-SLC22A16[64]);⑤mol-QTL与单细胞层(eQTL / sQTL / scRNA-seq,标注 ChickenGTEx 多组织[11]、单细胞图谱[51-53][103][110]);⑥组织与表型层(HPO轴 / 壳腺 / 膨大部 / 骨骼肌 / 脂肪 / 免疫器官 → 生长 / 产蛋 / 蛋品质 / 抗病 / 特色表型 / 环境适应)。各层之间用向上箭头连接;关键调控案例(IGFBP2/5增强子→腹脂[75]、PHIP内含子SNP→颗粒细胞[83]、SLCO1B3 EAV-HP插入→蓝壳[99])用横跨多层的彩色“事件链”标注;右侧用一列灰色背景注明对应方法学(WGS / 长读测序 / 图泛基因组 / Bisulfite-seq / RNA-seq / scRNA-seq / Hi-C / 报告基因 / CRISPR验证)。</w:t>
      </w:r>
    </w:p>
    <w:p>
      <w:pPr>
        <w:spacing w:line="360" w:lineRule="auto"/>
        <w:ind w:firstLine="420"/>
      </w:pPr>
      <w:r/>
    </w:p>
    <w:p>
      <w:pPr>
        <w:spacing w:before="200" w:after="80"/>
      </w:pPr>
      <w:r>
        <w:t>图 4:MAS / GS / 基因编辑三类家鸡育种技术的协同框架。类型:三柱协同流程图。中央三个并列的圆角矩形,自左至右依次为:①MAS(标注代表案例:dw矮小基因[142]、K/k+快慢羽[143]、伴性羽色 S/s+、MHC-B 抗病单倍型[105][113][114]、品种特征基因[22][99][116]);②GS(标注 GBLUP / ssGBLUP / 多组学加权 / 机器学习 / 宿主-微生物联合,代表参考[65-68][146][69][70]);③基因编辑(标注 PGC体系 / CRISPR/Cas9 / 碱基-先导编辑 / 多重位点联合编辑,代表参考[12][59][111][147])。三个模块下方用箭头汇入一条横向产业链:核心育种群→扩繁群→商品群;上方箭头汇入育种目标(高产、优质、抗病、抗逆、福利);三个模块之间用双向虚线箭头表示“协同关系”,如:GS提供候选位点→基因编辑验证;MAS主效基因→GS加权先验。</w:t>
      </w:r>
    </w:p>
    <w:p>
      <w:pPr>
        <w:spacing w:line="360" w:lineRule="auto"/>
        <w:ind w:firstLine="420"/>
      </w:pPr>
      <w:r/>
    </w:p>
    <w:p>
      <w:pPr>
        <w:spacing w:before="200" w:after="80"/>
      </w:pPr>
      <w:r>
        <w:t>图 5:家鸡遗传学当前研究瓶颈、未来发展方向与作者预判图。类型:鱼骨图(Ishikawa diagram)+ 右侧预判区。中央写主轴“家鸡遗传学下一阶段研究链”,从中央向外辐射4条主分支,每条分支再分2—3个子项:①变异资源:T2T装配 / 图泛基因组扩样 / SV标准化分型;②因果性解析:高通量功能筛选(CRISPRi/a文库)/ 单细胞与空间转录组 / 因果推断方法;③育种转化:多变异类型预测模型 / 跨品种参考群体 / GS+编辑协同体系 / 宿主-微生物联合预测;④伦理监管:基因编辑动物监管框架 / 中国监管路径 / 动物福利 / 公众接受。图右侧另设一栏“作者预判”,以独立小框列出:P1 短读GWAS红利接近耗尽 / P2 ChickenGTEx在地方品种增益受限 / P3 编辑只在抗病有飞跃 / P4 微生物联合GS增益&lt;5% / P5 中国地方鸡资源仍将碎片化;每个预判用箭头连回左侧鱼骨对应子项。图右下角注明:“箭头宽度示意当前优先程度”。</w:t>
      </w:r>
    </w:p>
    <w:p>
      <w:pPr>
        <w:spacing w:line="360" w:lineRule="auto"/>
        <w:ind w:firstLine="420"/>
      </w:pPr>
      <w:r/>
    </w:p>
    <w:p>
      <w:pPr>
        <w:spacing w:before="280" w:after="120"/>
      </w:pPr>
      <w:r>
        <w:rPr>
          <w:rFonts w:ascii="Times New Roman" w:hAnsi="Times New Roman" w:eastAsia="SimHei"/>
          <w:b/>
          <w:sz w:val="28"/>
        </w:rPr>
        <w:t>参考文献</w:t>
      </w:r>
    </w:p>
    <w:p>
      <w:pPr>
        <w:spacing w:line="300" w:lineRule="auto"/>
        <w:ind w:left="420" w:hanging="420"/>
      </w:pPr>
      <w:r>
        <w:rPr>
          <w:rFonts w:ascii="Times New Roman" w:hAnsi="Times New Roman" w:eastAsia="SimSun"/>
          <w:sz w:val="20"/>
        </w:rPr>
        <w:t>[1] Food and Agriculture Organization of the United Nations. Gateway to poultry production and products: Products and processing [EB/OL]. [2026-04-05]. https://www.fao.org/poultry-production-products/products-and-processing/products-and-processing/en/.</w:t>
      </w:r>
    </w:p>
    <w:p>
      <w:pPr>
        <w:spacing w:line="300" w:lineRule="auto"/>
        <w:ind w:left="420" w:hanging="420"/>
      </w:pPr>
      <w:r>
        <w:rPr>
          <w:rFonts w:ascii="Times New Roman" w:hAnsi="Times New Roman" w:eastAsia="SimSun"/>
          <w:sz w:val="20"/>
        </w:rPr>
        <w:t>[2] Food and Agriculture Organization of the United Nations. Gateway to poultry production and products: Production [EB/OL]. [2026-04-05]. https://www.fao.org/poultry-production-products/production/en/.</w:t>
      </w:r>
    </w:p>
    <w:p>
      <w:pPr>
        <w:spacing w:line="300" w:lineRule="auto"/>
        <w:ind w:left="420" w:hanging="420"/>
      </w:pPr>
      <w:r>
        <w:rPr>
          <w:rFonts w:ascii="Times New Roman" w:hAnsi="Times New Roman" w:eastAsia="SimSun"/>
          <w:sz w:val="20"/>
        </w:rPr>
        <w:t>[3] Stern C D. The chick: a great model system becomes even greater [J]. Developmental Cell, 2005, 8(1): 9-17.</w:t>
      </w:r>
    </w:p>
    <w:p>
      <w:pPr>
        <w:spacing w:line="300" w:lineRule="auto"/>
        <w:ind w:left="420" w:hanging="420"/>
      </w:pPr>
      <w:r>
        <w:rPr>
          <w:rFonts w:ascii="Times New Roman" w:hAnsi="Times New Roman" w:eastAsia="SimSun"/>
          <w:sz w:val="20"/>
        </w:rPr>
        <w:t>[4] Burt D W. Emergence of the chicken as a model organism: implications for agriculture and biology [J]. Poultry Science, 2007, 86(7): 1460-1471.</w:t>
      </w:r>
    </w:p>
    <w:p>
      <w:pPr>
        <w:spacing w:line="300" w:lineRule="auto"/>
        <w:ind w:left="420" w:hanging="420"/>
      </w:pPr>
      <w:r>
        <w:rPr>
          <w:rFonts w:ascii="Times New Roman" w:hAnsi="Times New Roman" w:eastAsia="SimSun"/>
          <w:sz w:val="20"/>
        </w:rPr>
        <w:t>[5] Garcia P, Wang Y, Viallet J, et al. The chicken embryo model: a novel and relevant model for immune-based studies [J]. Frontiers in Immunology, 2021, 12: 791081.</w:t>
      </w:r>
    </w:p>
    <w:p>
      <w:pPr>
        <w:spacing w:line="300" w:lineRule="auto"/>
        <w:ind w:left="420" w:hanging="420"/>
      </w:pPr>
      <w:r>
        <w:rPr>
          <w:rFonts w:ascii="Times New Roman" w:hAnsi="Times New Roman" w:eastAsia="SimSun"/>
          <w:sz w:val="20"/>
        </w:rPr>
        <w:t>[6] Abasht B, Dekkers J C M, Lamont S J. Review of quantitative trait loci identified in the chicken [J]. Poultry Science, 2006, 85(12): 2079-2096.</w:t>
      </w:r>
    </w:p>
    <w:p>
      <w:pPr>
        <w:spacing w:line="300" w:lineRule="auto"/>
        <w:ind w:left="420" w:hanging="420"/>
      </w:pPr>
      <w:r>
        <w:rPr>
          <w:rFonts w:ascii="Times New Roman" w:hAnsi="Times New Roman" w:eastAsia="SimSun"/>
          <w:sz w:val="20"/>
        </w:rPr>
        <w:t>[7] Warren W C, Hillier L D W, Tomlinson C, et al. A new chicken genome assembly provides insight into avian genome structure [J]. G3: Genes, Genomes, Genetics, 2017, 7(1): 109-117.</w:t>
      </w:r>
    </w:p>
    <w:p>
      <w:pPr>
        <w:spacing w:line="300" w:lineRule="auto"/>
        <w:ind w:left="420" w:hanging="420"/>
      </w:pPr>
      <w:r>
        <w:rPr>
          <w:rFonts w:ascii="Times New Roman" w:hAnsi="Times New Roman" w:eastAsia="SimSun"/>
          <w:sz w:val="20"/>
        </w:rPr>
        <w:t>[8] Wang K, Hu H, Tian Y, et al. The chicken pan-genome reveals gene content variation and a promoter region deletion in IGF2BP1 affecting body size [J]. Molecular Biology and Evolution, 2021, 38(11): 5066-5081.</w:t>
      </w:r>
    </w:p>
    <w:p>
      <w:pPr>
        <w:spacing w:line="300" w:lineRule="auto"/>
        <w:ind w:left="420" w:hanging="420"/>
      </w:pPr>
      <w:r>
        <w:rPr>
          <w:rFonts w:ascii="Times New Roman" w:hAnsi="Times New Roman" w:eastAsia="SimSun"/>
          <w:sz w:val="20"/>
        </w:rPr>
        <w:t>[9] Kern C, Wang Y, Xu X, et al. Functional annotations of three domestic animal genomes provide vital resources for comparative and agricultural research [J]. Nature Communications, 2021, 12: 1821.</w:t>
      </w:r>
    </w:p>
    <w:p>
      <w:pPr>
        <w:spacing w:line="300" w:lineRule="auto"/>
        <w:ind w:left="420" w:hanging="420"/>
      </w:pPr>
      <w:r>
        <w:rPr>
          <w:rFonts w:ascii="Times New Roman" w:hAnsi="Times New Roman" w:eastAsia="SimSun"/>
          <w:sz w:val="20"/>
        </w:rPr>
        <w:t>[10] Pan Z, et al. An atlas of regulatory elements in chicken: a resource for chicken genetics and genomics [J]. Science Advances, 2023, 9: eade1204.</w:t>
      </w:r>
    </w:p>
    <w:p>
      <w:pPr>
        <w:spacing w:line="300" w:lineRule="auto"/>
        <w:ind w:left="420" w:hanging="420"/>
      </w:pPr>
      <w:r>
        <w:rPr>
          <w:rFonts w:ascii="Times New Roman" w:hAnsi="Times New Roman" w:eastAsia="SimSun"/>
          <w:sz w:val="20"/>
        </w:rPr>
        <w:t>[11] Guan D, Bai Z, Zhu X, et al. Genetic regulation of gene expression across multiple tissues in chickens [J]. Nature Genetics, 2025, 57: 1298-1308.</w:t>
      </w:r>
    </w:p>
    <w:p>
      <w:pPr>
        <w:spacing w:line="300" w:lineRule="auto"/>
        <w:ind w:left="420" w:hanging="420"/>
      </w:pPr>
      <w:r>
        <w:rPr>
          <w:rFonts w:ascii="Times New Roman" w:hAnsi="Times New Roman" w:eastAsia="SimSun"/>
          <w:sz w:val="20"/>
        </w:rPr>
        <w:t>[12] He J, Shi N, Yao H, et al. Genome editing in the chicken: from PGC-mediated germline transmission to advanced applications [J]. International Journal of Molecular Sciences, 2025, 26: 9426.</w:t>
      </w:r>
    </w:p>
    <w:p>
      <w:pPr>
        <w:spacing w:line="300" w:lineRule="auto"/>
        <w:ind w:left="420" w:hanging="420"/>
      </w:pPr>
      <w:r>
        <w:rPr>
          <w:rFonts w:ascii="Times New Roman" w:hAnsi="Times New Roman" w:eastAsia="SimSun"/>
          <w:sz w:val="20"/>
        </w:rPr>
        <w:t>[13] Wang M S, Thakur M, Peng M S, et al. 863 genomes reveal the origin and domestication of chicken [J]. Cell Research, 2020, 30: 693-701.</w:t>
      </w:r>
    </w:p>
    <w:p>
      <w:pPr>
        <w:spacing w:line="300" w:lineRule="auto"/>
        <w:ind w:left="420" w:hanging="420"/>
      </w:pPr>
      <w:r>
        <w:rPr>
          <w:rFonts w:ascii="Times New Roman" w:hAnsi="Times New Roman" w:eastAsia="SimSun"/>
          <w:sz w:val="20"/>
        </w:rPr>
        <w:t>[14] Peters J, Lebrasseur O, Irving-Pease E K, et al. The biocultural origins and dispersal of domestic chickens [J]. Proceedings of the National Academy of Sciences of the United States of America, 2022, 119(24): e2121978119.</w:t>
      </w:r>
    </w:p>
    <w:p>
      <w:pPr>
        <w:spacing w:line="300" w:lineRule="auto"/>
        <w:ind w:left="420" w:hanging="420"/>
      </w:pPr>
      <w:r>
        <w:rPr>
          <w:rFonts w:ascii="Times New Roman" w:hAnsi="Times New Roman" w:eastAsia="SimSun"/>
          <w:sz w:val="20"/>
        </w:rPr>
        <w:t>[15] Darwin C. The variation of animals and plants under domestication [M]. London: John Murray, 1868.</w:t>
      </w:r>
    </w:p>
    <w:p>
      <w:pPr>
        <w:spacing w:line="300" w:lineRule="auto"/>
        <w:ind w:left="420" w:hanging="420"/>
      </w:pPr>
      <w:r>
        <w:rPr>
          <w:rFonts w:ascii="Times New Roman" w:hAnsi="Times New Roman" w:eastAsia="SimSun"/>
          <w:sz w:val="20"/>
        </w:rPr>
        <w:t>[16] Tegetmeier W B. The poultry book: comprising the breeding and management of profitable and ornamental poultry [M]. London: George Routledge and Sons, 1867.</w:t>
      </w:r>
    </w:p>
    <w:p>
      <w:pPr>
        <w:spacing w:line="300" w:lineRule="auto"/>
        <w:ind w:left="420" w:hanging="420"/>
      </w:pPr>
      <w:r>
        <w:rPr>
          <w:rFonts w:ascii="Times New Roman" w:hAnsi="Times New Roman" w:eastAsia="SimSun"/>
          <w:sz w:val="20"/>
        </w:rPr>
        <w:t>[17] Hutt F B. Genetics of the fowl [M]. New York: McGraw-Hill, 1949.</w:t>
      </w:r>
    </w:p>
    <w:p>
      <w:pPr>
        <w:spacing w:line="300" w:lineRule="auto"/>
        <w:ind w:left="420" w:hanging="420"/>
      </w:pPr>
      <w:r>
        <w:rPr>
          <w:rFonts w:ascii="Times New Roman" w:hAnsi="Times New Roman" w:eastAsia="SimSun"/>
          <w:sz w:val="20"/>
        </w:rPr>
        <w:t>[18] Fumihito A, Miyake T, Sumi S, et al. One subspecies of the red junglefowl (Gallus gallus gallus) suffices as the matriarchic ancestor of all domestic breeds [J]. Proceedings of the National Academy of Sciences of the United States of America, 1994, 91(26): 12505-12509.</w:t>
      </w:r>
    </w:p>
    <w:p>
      <w:pPr>
        <w:spacing w:line="300" w:lineRule="auto"/>
        <w:ind w:left="420" w:hanging="420"/>
      </w:pPr>
      <w:r>
        <w:rPr>
          <w:rFonts w:ascii="Times New Roman" w:hAnsi="Times New Roman" w:eastAsia="SimSun"/>
          <w:sz w:val="20"/>
        </w:rPr>
        <w:t>[19] Fumihito A, Miyake T, Takada M, et al. Monophyletic origin and unique dispersal patterns of domestic fowls [J]. Proceedings of the National Academy of Sciences of the United States of America, 1996, 93(13): 6792-6795.</w:t>
      </w:r>
    </w:p>
    <w:p>
      <w:pPr>
        <w:spacing w:line="300" w:lineRule="auto"/>
        <w:ind w:left="420" w:hanging="420"/>
      </w:pPr>
      <w:r>
        <w:rPr>
          <w:rFonts w:ascii="Times New Roman" w:hAnsi="Times New Roman" w:eastAsia="SimSun"/>
          <w:sz w:val="20"/>
        </w:rPr>
        <w:t>[20] Liu Y P, Wu G S, Yao Y G, et al. Multiple maternal origins of chickens: out of the Asian jungles [J]. Molecular Phylogenetics and Evolution, 2006, 38(1): 12-19.</w:t>
      </w:r>
    </w:p>
    <w:p>
      <w:pPr>
        <w:spacing w:line="300" w:lineRule="auto"/>
        <w:ind w:left="420" w:hanging="420"/>
      </w:pPr>
      <w:r>
        <w:rPr>
          <w:rFonts w:ascii="Times New Roman" w:hAnsi="Times New Roman" w:eastAsia="SimSun"/>
          <w:sz w:val="20"/>
        </w:rPr>
        <w:t>[21] Miao Y W, Peng M S, Wu G S, et al. Chicken domestication: an updated perspective based on mitochondrial genomes [J]. Heredity, 2013, 110: 277-282.</w:t>
      </w:r>
    </w:p>
    <w:p>
      <w:pPr>
        <w:spacing w:line="300" w:lineRule="auto"/>
        <w:ind w:left="420" w:hanging="420"/>
      </w:pPr>
      <w:r>
        <w:rPr>
          <w:rFonts w:ascii="Times New Roman" w:hAnsi="Times New Roman" w:eastAsia="SimSun"/>
          <w:sz w:val="20"/>
        </w:rPr>
        <w:t>[22] Eriksson J, Larson G, Gunnarsson U, et al. Identification of the yellow skin gene reveals a hybrid origin of the domestic chicken [J]. PLoS Genetics, 2008, 4(2): e1000010.</w:t>
      </w:r>
    </w:p>
    <w:p>
      <w:pPr>
        <w:spacing w:line="300" w:lineRule="auto"/>
        <w:ind w:left="420" w:hanging="420"/>
      </w:pPr>
      <w:r>
        <w:rPr>
          <w:rFonts w:ascii="Times New Roman" w:hAnsi="Times New Roman" w:eastAsia="SimSun"/>
          <w:sz w:val="20"/>
        </w:rPr>
        <w:t>[23] Eda M, Lu P, Kikuchi H, et al. Reevaluation of early Holocene chicken domestication in northern China [J]. Journal of Archaeological Science, 2016, 67: 25-31.</w:t>
      </w:r>
    </w:p>
    <w:p>
      <w:pPr>
        <w:spacing w:line="300" w:lineRule="auto"/>
        <w:ind w:left="420" w:hanging="420"/>
      </w:pPr>
      <w:r>
        <w:rPr>
          <w:rFonts w:ascii="Times New Roman" w:hAnsi="Times New Roman" w:eastAsia="SimSun"/>
          <w:sz w:val="20"/>
        </w:rPr>
        <w:t>[24] Best J, Doherty S, Armit I, et al. Redefining the timing and circumstances of the chicken's introduction to Europe and north-west Africa [J]. Antiquity, 2022, 96(388): 868-882.</w:t>
      </w:r>
    </w:p>
    <w:p>
      <w:pPr>
        <w:spacing w:line="300" w:lineRule="auto"/>
        <w:ind w:left="420" w:hanging="420"/>
      </w:pPr>
      <w:r>
        <w:rPr>
          <w:rFonts w:ascii="Times New Roman" w:hAnsi="Times New Roman" w:eastAsia="SimSun"/>
          <w:sz w:val="20"/>
        </w:rPr>
        <w:t>[25] Peters J, Lebrasseur O, Deng H, et al. Holocene cultural history of red jungle fowl (Gallus gallus) and its domestic descendant in East Asia [J]. Quaternary Science Reviews, 2016, 142: 102-119.</w:t>
      </w:r>
    </w:p>
    <w:p>
      <w:pPr>
        <w:spacing w:line="300" w:lineRule="auto"/>
        <w:ind w:left="420" w:hanging="420"/>
      </w:pPr>
      <w:r>
        <w:rPr>
          <w:rFonts w:ascii="Times New Roman" w:hAnsi="Times New Roman" w:eastAsia="SimSun"/>
          <w:sz w:val="20"/>
        </w:rPr>
        <w:t>[26] Oka T, Ino Y, Nomura K, et al. Analysis of mtDNA sequences shows Japanese native chickens have multiple origins [J]. Animal Genetics, 2007, 38: 287-293.</w:t>
      </w:r>
    </w:p>
    <w:p>
      <w:pPr>
        <w:spacing w:line="300" w:lineRule="auto"/>
        <w:ind w:left="420" w:hanging="420"/>
      </w:pPr>
      <w:r>
        <w:rPr>
          <w:rFonts w:ascii="Times New Roman" w:hAnsi="Times New Roman" w:eastAsia="SimSun"/>
          <w:sz w:val="20"/>
        </w:rPr>
        <w:t>[27] Yonezawa T, Nishibori M, Yamamoto Y, et al. Complete mitochondrial genome analysis clarifies the enigmatic origin of haplogroup D in Japanese native chickens [J]. Journal of Poultry Science, 2022, 59(4): 316-322.</w:t>
      </w:r>
    </w:p>
    <w:p>
      <w:pPr>
        <w:spacing w:line="300" w:lineRule="auto"/>
        <w:ind w:left="420" w:hanging="420"/>
      </w:pPr>
      <w:r>
        <w:rPr>
          <w:rFonts w:ascii="Times New Roman" w:hAnsi="Times New Roman" w:eastAsia="SimSun"/>
          <w:sz w:val="20"/>
        </w:rPr>
        <w:t>[28] Peters C, Richter K K, Wilkin S, et al. Archaeological and molecular evidence for ancient chickens in Central Asia [J]. Nature Communications, 2024, 15: 2697.</w:t>
      </w:r>
    </w:p>
    <w:p>
      <w:pPr>
        <w:spacing w:line="300" w:lineRule="auto"/>
        <w:ind w:left="420" w:hanging="420"/>
      </w:pPr>
      <w:r>
        <w:rPr>
          <w:rFonts w:ascii="Times New Roman" w:hAnsi="Times New Roman" w:eastAsia="SimSun"/>
          <w:sz w:val="20"/>
        </w:rPr>
        <w:t>[29] Mwacharo J M, Bjornstad G, Mobegi V, et al. Mitochondrial DNA reveals multiple introductions of domestic chicken in East Africa [J]. Molecular Phylogenetics and Evolution, 2011, 58(2): 374-382.</w:t>
      </w:r>
    </w:p>
    <w:p>
      <w:pPr>
        <w:spacing w:line="300" w:lineRule="auto"/>
        <w:ind w:left="420" w:hanging="420"/>
      </w:pPr>
      <w:r>
        <w:rPr>
          <w:rFonts w:ascii="Times New Roman" w:hAnsi="Times New Roman" w:eastAsia="SimSun"/>
          <w:sz w:val="20"/>
        </w:rPr>
        <w:t>[30] Mwacharo J M, Nomura K, Hanada H, et al. Reconstructing the origin and dispersal patterns of village chickens across East Africa: insights from autosomal markers [J]. Molecular Ecology, 2013, 22: 2683-2697.</w:t>
      </w:r>
    </w:p>
    <w:p>
      <w:pPr>
        <w:spacing w:line="300" w:lineRule="auto"/>
        <w:ind w:left="420" w:hanging="420"/>
      </w:pPr>
      <w:r>
        <w:rPr>
          <w:rFonts w:ascii="Times New Roman" w:hAnsi="Times New Roman" w:eastAsia="SimSun"/>
          <w:sz w:val="20"/>
        </w:rPr>
        <w:t>[31] Muchadeyi F C, Eding H, Simianer H, et al. Mitochondrial DNA D-loop sequences suggest a Southeast Asian and Indian origin of Zimbabwean village chickens [J]. Animal Genetics, 2008, 39(6): 615-622.</w:t>
      </w:r>
    </w:p>
    <w:p>
      <w:pPr>
        <w:spacing w:line="300" w:lineRule="auto"/>
        <w:ind w:left="420" w:hanging="420"/>
      </w:pPr>
      <w:r>
        <w:rPr>
          <w:rFonts w:ascii="Times New Roman" w:hAnsi="Times New Roman" w:eastAsia="SimSun"/>
          <w:sz w:val="20"/>
        </w:rPr>
        <w:t>[32] Storey A A, Ramirez J M, Quiroz D, et al. Radiocarbon and DNA evidence for a pre-Columbian introduction of Polynesian chickens to Chile [J]. Proceedings of the National Academy of Sciences of the United States of America, 2007, 104(25): 10335-10339.</w:t>
      </w:r>
    </w:p>
    <w:p>
      <w:pPr>
        <w:spacing w:line="300" w:lineRule="auto"/>
        <w:ind w:left="420" w:hanging="420"/>
      </w:pPr>
      <w:r>
        <w:rPr>
          <w:rFonts w:ascii="Times New Roman" w:hAnsi="Times New Roman" w:eastAsia="SimSun"/>
          <w:sz w:val="20"/>
        </w:rPr>
        <w:t>[33] Gongora J, Rawlence N J, Mobegi V A, et al. Indo-European and Asian origins for Chilean and Pacific chickens revealed by mtDNA [J]. Proceedings of the National Academy of Sciences of the United States of America, 2008, 105(30): 10308-10313.</w:t>
      </w:r>
    </w:p>
    <w:p>
      <w:pPr>
        <w:spacing w:line="300" w:lineRule="auto"/>
        <w:ind w:left="420" w:hanging="420"/>
      </w:pPr>
      <w:r>
        <w:rPr>
          <w:rFonts w:ascii="Times New Roman" w:hAnsi="Times New Roman" w:eastAsia="SimSun"/>
          <w:sz w:val="20"/>
        </w:rPr>
        <w:t>[34] Emara M G, Kim H. Genetic markers and their application in poultry breeding [J]. Poultry Science, 2003, 82(6): 952-957.</w:t>
      </w:r>
    </w:p>
    <w:p>
      <w:pPr>
        <w:spacing w:line="300" w:lineRule="auto"/>
        <w:ind w:left="420" w:hanging="420"/>
      </w:pPr>
      <w:r>
        <w:rPr>
          <w:rFonts w:ascii="Times New Roman" w:hAnsi="Times New Roman" w:eastAsia="SimSun"/>
          <w:sz w:val="20"/>
        </w:rPr>
        <w:t>[35] Groenen M A M, Crooijmans R P M A, Veenendaal A, et al. A comprehensive microsatellite linkage map of the chicken genome [J]. Genomics, 1998, 49(2): 265-274.</w:t>
      </w:r>
    </w:p>
    <w:p>
      <w:pPr>
        <w:spacing w:line="300" w:lineRule="auto"/>
        <w:ind w:left="420" w:hanging="420"/>
      </w:pPr>
      <w:r>
        <w:rPr>
          <w:rFonts w:ascii="Times New Roman" w:hAnsi="Times New Roman" w:eastAsia="SimSun"/>
          <w:sz w:val="20"/>
        </w:rPr>
        <w:t>[36] Groenen M A M, Cheng H H, Bumstead N, et al. A consensus linkage map of the chicken genome [J]. Genome Research, 2000, 10(1): 137-147.</w:t>
      </w:r>
    </w:p>
    <w:p>
      <w:pPr>
        <w:spacing w:line="300" w:lineRule="auto"/>
        <w:ind w:left="420" w:hanging="420"/>
      </w:pPr>
      <w:r>
        <w:rPr>
          <w:rFonts w:ascii="Times New Roman" w:hAnsi="Times New Roman" w:eastAsia="SimSun"/>
          <w:sz w:val="20"/>
        </w:rPr>
        <w:t>[37] Groenen M A M, et al. A high-density SNP-based linkage map of the chicken genome reveals sequence features correlated with recombination rate [J]. Genome Research, 2009, 19(3): 510-519.</w:t>
      </w:r>
    </w:p>
    <w:p>
      <w:pPr>
        <w:spacing w:line="300" w:lineRule="auto"/>
        <w:ind w:left="420" w:hanging="420"/>
      </w:pPr>
      <w:r>
        <w:rPr>
          <w:rFonts w:ascii="Times New Roman" w:hAnsi="Times New Roman" w:eastAsia="SimSun"/>
          <w:sz w:val="20"/>
        </w:rPr>
        <w:t>[38] Groenen M A M, et al. The development and characterization of a 60K SNP chip for chicken [J]. BMC Genomics, 2011, 12: 274.</w:t>
      </w:r>
    </w:p>
    <w:p>
      <w:pPr>
        <w:spacing w:line="300" w:lineRule="auto"/>
        <w:ind w:left="420" w:hanging="420"/>
      </w:pPr>
      <w:r>
        <w:rPr>
          <w:rFonts w:ascii="Times New Roman" w:hAnsi="Times New Roman" w:eastAsia="SimSun"/>
          <w:sz w:val="20"/>
        </w:rPr>
        <w:t>[39] Kranis A, Gheyas A A, Boschiero C, et al. Development of a high density 600K SNP genotyping array for chicken [J]. BMC Genomics, 2013, 14: 59.</w:t>
      </w:r>
    </w:p>
    <w:p>
      <w:pPr>
        <w:spacing w:line="300" w:lineRule="auto"/>
        <w:ind w:left="420" w:hanging="420"/>
      </w:pPr>
      <w:r>
        <w:rPr>
          <w:rFonts w:ascii="Times New Roman" w:hAnsi="Times New Roman" w:eastAsia="SimSun"/>
          <w:sz w:val="20"/>
        </w:rPr>
        <w:t>[40] Kerje S, et al. The twofold difference in adult size between the red junglefowl and White Leghorn chickens is largely explained by a limited number of QTLs [J]. Animal Genetics, 2003, 34(4): 264-274.</w:t>
      </w:r>
    </w:p>
    <w:p>
      <w:pPr>
        <w:spacing w:line="300" w:lineRule="auto"/>
        <w:ind w:left="420" w:hanging="420"/>
      </w:pPr>
      <w:r>
        <w:rPr>
          <w:rFonts w:ascii="Times New Roman" w:hAnsi="Times New Roman" w:eastAsia="SimSun"/>
          <w:sz w:val="20"/>
        </w:rPr>
        <w:t>[41] Ikeobi C O N, et al. Quantitative trait loci affecting fatness in the chicken [J]. Animal Genetics, 2002, 33(6): 428-435.</w:t>
      </w:r>
    </w:p>
    <w:p>
      <w:pPr>
        <w:spacing w:line="300" w:lineRule="auto"/>
        <w:ind w:left="420" w:hanging="420"/>
      </w:pPr>
      <w:r>
        <w:rPr>
          <w:rFonts w:ascii="Times New Roman" w:hAnsi="Times New Roman" w:eastAsia="SimSun"/>
          <w:sz w:val="20"/>
        </w:rPr>
        <w:t>[42] Tuiskula-Haavisto M, Honkatukia M, Preisinger R, et al. Quantitative trait loci affecting eggshell traits in an F2 population [J]. Animal Genetics, 2011, 42: 293-299.</w:t>
      </w:r>
    </w:p>
    <w:p>
      <w:pPr>
        <w:spacing w:line="300" w:lineRule="auto"/>
        <w:ind w:left="420" w:hanging="420"/>
      </w:pPr>
      <w:r>
        <w:rPr>
          <w:rFonts w:ascii="Times New Roman" w:hAnsi="Times New Roman" w:eastAsia="SimSun"/>
          <w:sz w:val="20"/>
        </w:rPr>
        <w:t>[43] Liu W, et al. A genome-wide SNP scan reveals novel loci for egg production and quality traits in white Leghorn and brown-egg dwarf layers [J]. PLOS ONE, 2011, 6(12): e28600.</w:t>
      </w:r>
    </w:p>
    <w:p>
      <w:pPr>
        <w:spacing w:line="300" w:lineRule="auto"/>
        <w:ind w:left="420" w:hanging="420"/>
      </w:pPr>
      <w:r>
        <w:rPr>
          <w:rFonts w:ascii="Times New Roman" w:hAnsi="Times New Roman" w:eastAsia="SimSun"/>
          <w:sz w:val="20"/>
        </w:rPr>
        <w:t>[44] Luo C, Qu H, Ma J, et al. Genome-wide association study of antibody response to Newcastle disease virus in chicken [J]. BMC Genetics, 2013, 14: 42.</w:t>
      </w:r>
    </w:p>
    <w:p>
      <w:pPr>
        <w:spacing w:line="300" w:lineRule="auto"/>
        <w:ind w:left="420" w:hanging="420"/>
      </w:pPr>
      <w:r>
        <w:rPr>
          <w:rFonts w:ascii="Times New Roman" w:hAnsi="Times New Roman" w:eastAsia="SimSun"/>
          <w:sz w:val="20"/>
        </w:rPr>
        <w:t>[45] Sun Y, Zhao G, Liu R, et al. The identification of 14 new genes for meat quality traits in chicken using a genome-wide association study [J]. BMC Genomics, 2013, 14: 458.</w:t>
      </w:r>
    </w:p>
    <w:p>
      <w:pPr>
        <w:spacing w:line="300" w:lineRule="auto"/>
        <w:ind w:left="420" w:hanging="420"/>
      </w:pPr>
      <w:r>
        <w:rPr>
          <w:rFonts w:ascii="Times New Roman" w:hAnsi="Times New Roman" w:eastAsia="SimSun"/>
          <w:sz w:val="20"/>
        </w:rPr>
        <w:t>[46] International Chicken Genome Sequencing Consortium. Sequence and comparative analysis of the chicken genome provide unique perspectives on vertebrate evolution [J]. Nature, 2004, 432: 695-716.</w:t>
      </w:r>
    </w:p>
    <w:p>
      <w:pPr>
        <w:spacing w:line="300" w:lineRule="auto"/>
        <w:ind w:left="420" w:hanging="420"/>
      </w:pPr>
      <w:r>
        <w:rPr>
          <w:rFonts w:ascii="Times New Roman" w:hAnsi="Times New Roman" w:eastAsia="SimSun"/>
          <w:sz w:val="20"/>
        </w:rPr>
        <w:t>[47] International Chicken Polymorphism Map Consortium. A genetic variation map for chicken with 2.8 million single-nucleotide polymorphisms [J]. Nature, 2004, 432: 717-722.</w:t>
      </w:r>
    </w:p>
    <w:p>
      <w:pPr>
        <w:spacing w:line="300" w:lineRule="auto"/>
        <w:ind w:left="420" w:hanging="420"/>
      </w:pPr>
      <w:r>
        <w:rPr>
          <w:rFonts w:ascii="Times New Roman" w:hAnsi="Times New Roman" w:eastAsia="SimSun"/>
          <w:sz w:val="20"/>
        </w:rPr>
        <w:t>[48] Rubin C J, Zody M, Eriksson J, et al. Whole-genome resequencing reveals loci under selection during chicken domestication [J]. Nature, 2010, 464: 587-591.</w:t>
      </w:r>
    </w:p>
    <w:p>
      <w:pPr>
        <w:spacing w:line="300" w:lineRule="auto"/>
        <w:ind w:left="420" w:hanging="420"/>
      </w:pPr>
      <w:r>
        <w:rPr>
          <w:rFonts w:ascii="Times New Roman" w:hAnsi="Times New Roman" w:eastAsia="SimSun"/>
          <w:sz w:val="20"/>
        </w:rPr>
        <w:t>[49] Rice E S, Alberdi A, Alfieri J, et al. A pangenome graph reference of 30 chicken genomes allows genotyping of large and complex structural variants [J]. BMC Biology, 2023, 21: 267.</w:t>
      </w:r>
    </w:p>
    <w:p>
      <w:pPr>
        <w:spacing w:line="300" w:lineRule="auto"/>
        <w:ind w:left="420" w:hanging="420"/>
      </w:pPr>
      <w:r>
        <w:rPr>
          <w:rFonts w:ascii="Times New Roman" w:hAnsi="Times New Roman" w:eastAsia="SimSun"/>
          <w:sz w:val="20"/>
        </w:rPr>
        <w:t>[50] Zhu X N, Wang Y Z, Li C, et al. Chicken chromatin accessibility atlas accelerates epigenetic annotation of birds and gene fine-mapping associated with growth traits [J]. Zoological Research, 2023, 44(1): 53-62.</w:t>
      </w:r>
    </w:p>
    <w:p>
      <w:pPr>
        <w:spacing w:line="300" w:lineRule="auto"/>
        <w:ind w:left="420" w:hanging="420"/>
      </w:pPr>
      <w:r>
        <w:rPr>
          <w:rFonts w:ascii="Times New Roman" w:hAnsi="Times New Roman" w:eastAsia="SimSun"/>
          <w:sz w:val="20"/>
        </w:rPr>
        <w:t>[51] Estermann M A, et al. Insights into gonadal sex differentiation provided by single-cell transcriptomics in the chicken embryo [J]. Cell Reports, 2020, 31(1): 107491.</w:t>
      </w:r>
    </w:p>
    <w:p>
      <w:pPr>
        <w:spacing w:line="300" w:lineRule="auto"/>
        <w:ind w:left="420" w:hanging="420"/>
      </w:pPr>
      <w:r>
        <w:rPr>
          <w:rFonts w:ascii="Times New Roman" w:hAnsi="Times New Roman" w:eastAsia="SimSun"/>
          <w:sz w:val="20"/>
        </w:rPr>
        <w:t>[52] Wang T, Leng D, Cai Z, et al. Insights into left-right asymmetric development of chicken ovary at the single-cell level [J]. Journal of Genetics and Genomics, 2024, 51(11): 1265-1277.</w:t>
      </w:r>
    </w:p>
    <w:p>
      <w:pPr>
        <w:spacing w:line="300" w:lineRule="auto"/>
        <w:ind w:left="420" w:hanging="420"/>
      </w:pPr>
      <w:r>
        <w:rPr>
          <w:rFonts w:ascii="Times New Roman" w:hAnsi="Times New Roman" w:eastAsia="SimSun"/>
          <w:sz w:val="20"/>
        </w:rPr>
        <w:t>[53] Li J, Yang D, Chen C, et al. Single-cell RNA transcriptome uncovers distinct developmental trajectories in the embryonic skeletal muscle of Daheng broiler and Tibetan chicken [J]. BMC Genomics, 2025, 26: 187.</w:t>
      </w:r>
    </w:p>
    <w:p>
      <w:pPr>
        <w:spacing w:line="300" w:lineRule="auto"/>
        <w:ind w:left="420" w:hanging="420"/>
      </w:pPr>
      <w:r>
        <w:rPr>
          <w:rFonts w:ascii="Times New Roman" w:hAnsi="Times New Roman" w:eastAsia="SimSun"/>
          <w:sz w:val="20"/>
        </w:rPr>
        <w:t>[54] Moreira G C M, Boschiero C, Cesar A S M, et al. Integration of genome wide association studies and whole genome sequencing provides novel insights into fat deposition in chicken [J]. Scientific Reports, 2018, 8: 16222.</w:t>
      </w:r>
    </w:p>
    <w:p>
      <w:pPr>
        <w:spacing w:line="300" w:lineRule="auto"/>
        <w:ind w:left="420" w:hanging="420"/>
      </w:pPr>
      <w:r>
        <w:rPr>
          <w:rFonts w:ascii="Times New Roman" w:hAnsi="Times New Roman" w:eastAsia="SimSun"/>
          <w:sz w:val="20"/>
        </w:rPr>
        <w:t>[55] Mebratie W, Reyer H, Wimmers K, et al. Genome wide association study of body weight and feed efficiency traits in a commercial broiler chicken population, a re-visitation [J]. Scientific Reports, 2019, 9: 922.</w:t>
      </w:r>
    </w:p>
    <w:p>
      <w:pPr>
        <w:spacing w:line="300" w:lineRule="auto"/>
        <w:ind w:left="420" w:hanging="420"/>
      </w:pPr>
      <w:r>
        <w:rPr>
          <w:rFonts w:ascii="Times New Roman" w:hAnsi="Times New Roman" w:eastAsia="SimSun"/>
          <w:sz w:val="20"/>
        </w:rPr>
        <w:t>[56] Zhu X, Li C, Luo C, et al. Mapping the regulatory genetic landscape of complex traits using a chicken advanced intercross line [J]. Nature Communications, 2025, 16: 5841.</w:t>
      </w:r>
    </w:p>
    <w:p>
      <w:pPr>
        <w:spacing w:line="300" w:lineRule="auto"/>
        <w:ind w:left="420" w:hanging="420"/>
      </w:pPr>
      <w:r>
        <w:rPr>
          <w:rFonts w:ascii="Times New Roman" w:hAnsi="Times New Roman" w:eastAsia="SimSun"/>
          <w:sz w:val="20"/>
        </w:rPr>
        <w:t>[57] Chapman B, et al. Targeted modulation of chicken genes in vitro using CRISPRa and CRISPRi toolkit [J]. Genes, 2023, 14(4): 906.</w:t>
      </w:r>
    </w:p>
    <w:p>
      <w:pPr>
        <w:spacing w:line="300" w:lineRule="auto"/>
        <w:ind w:left="420" w:hanging="420"/>
      </w:pPr>
      <w:r>
        <w:rPr>
          <w:rFonts w:ascii="Times New Roman" w:hAnsi="Times New Roman" w:eastAsia="SimSun"/>
          <w:sz w:val="20"/>
        </w:rPr>
        <w:t>[58] Mathan, Zaib G, Jin K, et al. Formation, application, and significance of chicken primordial germ cells: a review [J]. Animals, 2023, 13: 1096.</w:t>
      </w:r>
    </w:p>
    <w:p>
      <w:pPr>
        <w:spacing w:line="300" w:lineRule="auto"/>
        <w:ind w:left="420" w:hanging="420"/>
      </w:pPr>
      <w:r>
        <w:rPr>
          <w:rFonts w:ascii="Times New Roman" w:hAnsi="Times New Roman" w:eastAsia="SimSun"/>
          <w:sz w:val="20"/>
        </w:rPr>
        <w:t>[59] Meng S, Miao A, Wu S, et al. Genetically modified chickens as bioreactors for protein-based drugs [J]. Frontiers in Genome Editing, 2025, 6: 1522837.</w:t>
      </w:r>
    </w:p>
    <w:p>
      <w:pPr>
        <w:spacing w:line="300" w:lineRule="auto"/>
        <w:ind w:left="420" w:hanging="420"/>
      </w:pPr>
      <w:r>
        <w:rPr>
          <w:rFonts w:ascii="Times New Roman" w:hAnsi="Times New Roman" w:eastAsia="SimSun"/>
          <w:sz w:val="20"/>
        </w:rPr>
        <w:t>[60] Degalez F, Charles M, Foissac S, et al. Enriched atlas of lncRNA and protein-coding genes for the GRCg7b chicken assembly and its functional annotation across 47 tissues [J]. Scientific Reports, 2024, 14: 6588.</w:t>
      </w:r>
    </w:p>
    <w:p>
      <w:pPr>
        <w:spacing w:line="300" w:lineRule="auto"/>
        <w:ind w:left="420" w:hanging="420"/>
      </w:pPr>
      <w:r>
        <w:rPr>
          <w:rFonts w:ascii="Times New Roman" w:hAnsi="Times New Roman" w:eastAsia="SimSun"/>
          <w:sz w:val="20"/>
        </w:rPr>
        <w:t>[61] Yang Y, Fan X, Yan J, et al. A comprehensive epigenome atlas reveals DNA methylation regulating skeletal muscle development [J]. Nucleic Acids Research, 2021, 49(3): 1313-1329.</w:t>
      </w:r>
    </w:p>
    <w:p>
      <w:pPr>
        <w:spacing w:line="300" w:lineRule="auto"/>
        <w:ind w:left="420" w:hanging="420"/>
      </w:pPr>
      <w:r>
        <w:rPr>
          <w:rFonts w:ascii="Times New Roman" w:hAnsi="Times New Roman" w:eastAsia="SimSun"/>
          <w:sz w:val="20"/>
        </w:rPr>
        <w:t>[62] Jing Y, et al. The landscape of long non-coding RNAs and circular RNAs of the abdominal fat tissues in chicken lines divergently selected for fatness [J]. BMC Genomics, 2022, 23: 790.</w:t>
      </w:r>
    </w:p>
    <w:p>
      <w:pPr>
        <w:spacing w:line="300" w:lineRule="auto"/>
        <w:ind w:left="420" w:hanging="420"/>
      </w:pPr>
      <w:r>
        <w:rPr>
          <w:rFonts w:ascii="Times New Roman" w:hAnsi="Times New Roman" w:eastAsia="SimSun"/>
          <w:sz w:val="20"/>
        </w:rPr>
        <w:t>[63] Yu S, et al. Comprehensive analysis of changes in expression of lncRNA, microRNA and mRNA in liver tissues of chickens with high or low abdominal fat deposition [J]. British Poultry Science, 2024, 65(3): 250-258.</w:t>
      </w:r>
    </w:p>
    <w:p>
      <w:pPr>
        <w:spacing w:line="300" w:lineRule="auto"/>
        <w:ind w:left="420" w:hanging="420"/>
      </w:pPr>
      <w:r>
        <w:rPr>
          <w:rFonts w:ascii="Times New Roman" w:hAnsi="Times New Roman" w:eastAsia="SimSun"/>
          <w:sz w:val="20"/>
        </w:rPr>
        <w:t>[64] Ma X, et al. Long noncoding RNA 6302 regulates chicken preadipocyte differentiation by targeting SLC22A16 [J]. Genes, 2024, 15(6): 758.</w:t>
      </w:r>
    </w:p>
    <w:p>
      <w:pPr>
        <w:spacing w:line="300" w:lineRule="auto"/>
        <w:ind w:left="420" w:hanging="420"/>
      </w:pPr>
      <w:r>
        <w:rPr>
          <w:rFonts w:ascii="Times New Roman" w:hAnsi="Times New Roman" w:eastAsia="SimSun"/>
          <w:sz w:val="20"/>
        </w:rPr>
        <w:t>[65] Wolc A, Kranis A, Arango J, et al. Implementation of genomic selection in the poultry industry [J]. Animal Frontiers, 2016, 6(1): 23-31.</w:t>
      </w:r>
    </w:p>
    <w:p>
      <w:pPr>
        <w:spacing w:line="300" w:lineRule="auto"/>
        <w:ind w:left="420" w:hanging="420"/>
      </w:pPr>
      <w:r>
        <w:rPr>
          <w:rFonts w:ascii="Times New Roman" w:hAnsi="Times New Roman" w:eastAsia="SimSun"/>
          <w:sz w:val="20"/>
        </w:rPr>
        <w:t>[66] Tu T C, Lin C J, Liu M C, et al. Comparison of genomic prediction accuracy using different models for egg production traits in Taiwan country chicken [J]. Poultry Science, 2024, 103(10): 104063.</w:t>
      </w:r>
    </w:p>
    <w:p>
      <w:pPr>
        <w:spacing w:line="300" w:lineRule="auto"/>
        <w:ind w:left="420" w:hanging="420"/>
      </w:pPr>
      <w:r>
        <w:rPr>
          <w:rFonts w:ascii="Times New Roman" w:hAnsi="Times New Roman" w:eastAsia="SimSun"/>
          <w:sz w:val="20"/>
        </w:rPr>
        <w:t>[67] Yang R, Xu Z, Wang Q, et al. Genome-wide association study and genomic prediction for growth traits in yellow-plumage chicken using genotyping-by-sequencing [J]. Genetics Selection Evolution, 2021, 53: 82.</w:t>
      </w:r>
    </w:p>
    <w:p>
      <w:pPr>
        <w:spacing w:line="300" w:lineRule="auto"/>
        <w:ind w:left="420" w:hanging="420"/>
      </w:pPr>
      <w:r>
        <w:rPr>
          <w:rFonts w:ascii="Times New Roman" w:hAnsi="Times New Roman" w:eastAsia="SimSun"/>
          <w:sz w:val="20"/>
        </w:rPr>
        <w:t>[68] Liu B, Liu H, Tu J, et al. An investigation of machine learning methods applied to genomic prediction in yellow-feathered broilers [J]. Poultry Science, 2025, 104(1): 104489.</w:t>
      </w:r>
    </w:p>
    <w:p>
      <w:pPr>
        <w:spacing w:line="300" w:lineRule="auto"/>
        <w:ind w:left="420" w:hanging="420"/>
      </w:pPr>
      <w:r>
        <w:rPr>
          <w:rFonts w:ascii="Times New Roman" w:hAnsi="Times New Roman" w:eastAsia="SimSun"/>
          <w:sz w:val="20"/>
        </w:rPr>
        <w:t>[69] Zhang W, Lan F, Zhou Q, et al. Host genetics and gut microbiota synergistically regulate feed utilization in egg-type chickens [J]. Journal of Animal Science and Biotechnology, 2024, 15: 123.</w:t>
      </w:r>
    </w:p>
    <w:p>
      <w:pPr>
        <w:spacing w:line="300" w:lineRule="auto"/>
        <w:ind w:left="420" w:hanging="420"/>
      </w:pPr>
      <w:r>
        <w:rPr>
          <w:rFonts w:ascii="Times New Roman" w:hAnsi="Times New Roman" w:eastAsia="SimSun"/>
          <w:sz w:val="20"/>
        </w:rPr>
        <w:t>[70] Zhang L, Wang C, Zhang X, et al. Identification of key gut microbiota and microbial QTL contributing to differences in body weight between two Chinese local chicken breeds [J]. Animal Genetics, 2026, 57: e70060.</w:t>
      </w:r>
    </w:p>
    <w:p>
      <w:pPr>
        <w:spacing w:line="300" w:lineRule="auto"/>
        <w:ind w:left="420" w:hanging="420"/>
      </w:pPr>
      <w:r>
        <w:rPr>
          <w:rFonts w:ascii="Times New Roman" w:hAnsi="Times New Roman" w:eastAsia="SimSun"/>
          <w:sz w:val="20"/>
        </w:rPr>
        <w:t>[71] Nawaz A H, Ding J, Ali M, et al. Decoding chicken growth regulation through multi-omics insights and emerging genetic tools for growth optimization [J]. Poultry Science, 2025, 104(10): 105542.</w:t>
      </w:r>
    </w:p>
    <w:p>
      <w:pPr>
        <w:spacing w:line="300" w:lineRule="auto"/>
        <w:ind w:left="420" w:hanging="420"/>
      </w:pPr>
      <w:r>
        <w:rPr>
          <w:rFonts w:ascii="Times New Roman" w:hAnsi="Times New Roman" w:eastAsia="SimSun"/>
          <w:sz w:val="20"/>
        </w:rPr>
        <w:t>[72] Luo W, Abdalla B A, Nie Q, et al. The genetic regulation of skeletal muscle development: insights from chicken studies [J]. Frontiers of Agricultural Science and Engineering, 2017, 4(3): 295-304.</w:t>
      </w:r>
    </w:p>
    <w:p>
      <w:pPr>
        <w:spacing w:line="300" w:lineRule="auto"/>
        <w:ind w:left="420" w:hanging="420"/>
      </w:pPr>
      <w:r>
        <w:rPr>
          <w:rFonts w:ascii="Times New Roman" w:hAnsi="Times New Roman" w:eastAsia="SimSun"/>
          <w:sz w:val="20"/>
        </w:rPr>
        <w:t>[73] He Y, et al. Identification of new genes and genetic variant loci associated with breast muscle development in the mini-Cobb F2 chicken population using a genome-wide association study [J]. Genes, 2022, 13(11): 2153.</w:t>
      </w:r>
    </w:p>
    <w:p>
      <w:pPr>
        <w:spacing w:line="300" w:lineRule="auto"/>
        <w:ind w:left="420" w:hanging="420"/>
      </w:pPr>
      <w:r>
        <w:rPr>
          <w:rFonts w:ascii="Times New Roman" w:hAnsi="Times New Roman" w:eastAsia="SimSun"/>
          <w:sz w:val="20"/>
        </w:rPr>
        <w:t>[74] Liu R, Sun Y, Zhao G, et al. Genome-wide association study identifies loci and candidate genes for body composition and meat quality traits in Beijing-You chickens [J]. PLOS ONE, 2013, 8(4): e61172.</w:t>
      </w:r>
    </w:p>
    <w:p>
      <w:pPr>
        <w:spacing w:line="300" w:lineRule="auto"/>
        <w:ind w:left="420" w:hanging="420"/>
      </w:pPr>
      <w:r>
        <w:rPr>
          <w:rFonts w:ascii="Times New Roman" w:hAnsi="Times New Roman" w:eastAsia="SimSun"/>
          <w:sz w:val="20"/>
        </w:rPr>
        <w:t>[75] Shen L, Bai X, Zhao L, et al. Integrative 3D genomics with multi-omics analysis and functional validation of genetic regulatory mechanisms of abdominal fat deposition in chickens [J]. Nature Communications, 2024, 15: 9274.</w:t>
      </w:r>
    </w:p>
    <w:p>
      <w:pPr>
        <w:spacing w:line="300" w:lineRule="auto"/>
        <w:ind w:left="420" w:hanging="420"/>
      </w:pPr>
      <w:r>
        <w:rPr>
          <w:rFonts w:ascii="Times New Roman" w:hAnsi="Times New Roman" w:eastAsia="SimSun"/>
          <w:sz w:val="20"/>
        </w:rPr>
        <w:t>[76] Wang Y, et al. Association of H-FABP gene polymorphisms with intramuscular fat content in three-yellow chickens and Hetian-black chickens [J]. Journal of Animal Science and Biotechnology, 2016, 7: 9.</w:t>
      </w:r>
    </w:p>
    <w:p>
      <w:pPr>
        <w:spacing w:line="300" w:lineRule="auto"/>
        <w:ind w:left="420" w:hanging="420"/>
      </w:pPr>
      <w:r>
        <w:rPr>
          <w:rFonts w:ascii="Times New Roman" w:hAnsi="Times New Roman" w:eastAsia="SimSun"/>
          <w:sz w:val="20"/>
        </w:rPr>
        <w:t>[77] Zhang M, et al. LncRNA IMFNCR promotes intramuscular adipocyte differentiation by sponging miR-128-3p and miR-27b-3p [J]. Frontiers in Genetics, 2019, 10: 42.</w:t>
      </w:r>
    </w:p>
    <w:p>
      <w:pPr>
        <w:spacing w:line="300" w:lineRule="auto"/>
        <w:ind w:left="420" w:hanging="420"/>
      </w:pPr>
      <w:r>
        <w:rPr>
          <w:rFonts w:ascii="Times New Roman" w:hAnsi="Times New Roman" w:eastAsia="SimSun"/>
          <w:sz w:val="20"/>
        </w:rPr>
        <w:t>[78] Shu J T, et al. Analysis of the genetic effects of CAPN1 gene polymorphisms on chicken meat tenderness [J]. Genetics and Molecular Research, 2015, 14(1): 1393-1403.</w:t>
      </w:r>
    </w:p>
    <w:p>
      <w:pPr>
        <w:spacing w:line="300" w:lineRule="auto"/>
        <w:ind w:left="420" w:hanging="420"/>
      </w:pPr>
      <w:r>
        <w:rPr>
          <w:rFonts w:ascii="Times New Roman" w:hAnsi="Times New Roman" w:eastAsia="SimSun"/>
          <w:sz w:val="20"/>
        </w:rPr>
        <w:t>[79] Zhou Y G, et al. Experimental verification of CAPN1 and CAST gene polymorphisms in different generations of Da-Heng broilers [J]. BioMed Research International, 2017, 2017: 7968450.</w:t>
      </w:r>
    </w:p>
    <w:p>
      <w:pPr>
        <w:spacing w:line="300" w:lineRule="auto"/>
        <w:ind w:left="420" w:hanging="420"/>
      </w:pPr>
      <w:r>
        <w:rPr>
          <w:rFonts w:ascii="Times New Roman" w:hAnsi="Times New Roman" w:eastAsia="SimSun"/>
          <w:sz w:val="20"/>
        </w:rPr>
        <w:t>[80] Ye M H, Chen J L, Zhao G P, et al. Correlation between polymorphisms in ADSL and GARS-AIRS-GART genes with inosine 5'-monophosphate (IMP) contents in Beijing-You chickens [J]. British Poultry Science, 2010, 51: 609-613.</w:t>
      </w:r>
    </w:p>
    <w:p>
      <w:pPr>
        <w:spacing w:line="300" w:lineRule="auto"/>
        <w:ind w:left="420" w:hanging="420"/>
      </w:pPr>
      <w:r>
        <w:rPr>
          <w:rFonts w:ascii="Times New Roman" w:hAnsi="Times New Roman" w:eastAsia="SimSun"/>
          <w:sz w:val="20"/>
        </w:rPr>
        <w:t>[81] Wang D, Tan L, Zhi Y, et al. Genome-wide variation study and inter-tissue communication analysis unveil regulatory mechanisms of egg-laying performance in chickens [J]. Nature Communications, 2024, 15: 7069.</w:t>
      </w:r>
    </w:p>
    <w:p>
      <w:pPr>
        <w:spacing w:line="300" w:lineRule="auto"/>
        <w:ind w:left="420" w:hanging="420"/>
      </w:pPr>
      <w:r>
        <w:rPr>
          <w:rFonts w:ascii="Times New Roman" w:hAnsi="Times New Roman" w:eastAsia="SimSun"/>
          <w:sz w:val="20"/>
        </w:rPr>
        <w:t>[82] Zhu D, Shi K, ChickenGTEx Consortium, et al. Egg-laying ChickenGTEx resource deciphers context-specific regulatory effects on fertility traits [J]. Nature Communications, 2026, 17: 553.</w:t>
      </w:r>
    </w:p>
    <w:p>
      <w:pPr>
        <w:spacing w:line="300" w:lineRule="auto"/>
        <w:ind w:left="420" w:hanging="420"/>
      </w:pPr>
      <w:r>
        <w:rPr>
          <w:rFonts w:ascii="Times New Roman" w:hAnsi="Times New Roman" w:eastAsia="SimSun"/>
          <w:sz w:val="20"/>
        </w:rPr>
        <w:t>[83] Wang D, Zhu Y, Dong J, et al. Exploring the functional variations of key candidate genes affecting egg production by hypothalamic-pituitary-ovarian axis in chickens [J]. Poultry Science, 2025, 104(5): 105027.</w:t>
      </w:r>
    </w:p>
    <w:p>
      <w:pPr>
        <w:spacing w:line="300" w:lineRule="auto"/>
        <w:ind w:left="420" w:hanging="420"/>
      </w:pPr>
      <w:r>
        <w:rPr>
          <w:rFonts w:ascii="Times New Roman" w:hAnsi="Times New Roman" w:eastAsia="SimSun"/>
          <w:sz w:val="20"/>
        </w:rPr>
        <w:t>[84] Gao J, Xu W, Zeng T, et al. Genome-wide association study of egg-laying traits and egg quality in LingKun chickens [J]. Frontiers in Veterinary Science, 2022, 9: 877739.</w:t>
      </w:r>
    </w:p>
    <w:p>
      <w:pPr>
        <w:spacing w:line="300" w:lineRule="auto"/>
        <w:ind w:left="420" w:hanging="420"/>
      </w:pPr>
      <w:r>
        <w:rPr>
          <w:rFonts w:ascii="Times New Roman" w:hAnsi="Times New Roman" w:eastAsia="SimSun"/>
          <w:sz w:val="20"/>
        </w:rPr>
        <w:t>[85] Wolc A, Arango J, Jankowski T, et al. Genome-wide association study for egg production and quality in layer chickens [J]. Journal of Animal Breeding and Genetics, 2014, 131(3): 173-182.</w:t>
      </w:r>
    </w:p>
    <w:p>
      <w:pPr>
        <w:spacing w:line="300" w:lineRule="auto"/>
        <w:ind w:left="420" w:hanging="420"/>
      </w:pPr>
      <w:r>
        <w:rPr>
          <w:rFonts w:ascii="Times New Roman" w:hAnsi="Times New Roman" w:eastAsia="SimSun"/>
          <w:sz w:val="20"/>
        </w:rPr>
        <w:t>[86] Liu Z, Yang N, Yan Y, et al. Genome-wide association analysis of egg production performance in chickens across the whole laying period [J]. BMC Genetics, 2019, 20: 67.</w:t>
      </w:r>
    </w:p>
    <w:p>
      <w:pPr>
        <w:spacing w:line="300" w:lineRule="auto"/>
        <w:ind w:left="420" w:hanging="420"/>
      </w:pPr>
      <w:r>
        <w:rPr>
          <w:rFonts w:ascii="Times New Roman" w:hAnsi="Times New Roman" w:eastAsia="SimSun"/>
          <w:sz w:val="20"/>
        </w:rPr>
        <w:t>[87] Yang H, Li Y, Yuan J, et al. Research note: genetic parameters for egg production and clutch-related traits in indigenous Beijing-You chickens [J]. Poultry Science, 2023, 102: 102904.</w:t>
      </w:r>
    </w:p>
    <w:p>
      <w:pPr>
        <w:spacing w:line="300" w:lineRule="auto"/>
        <w:ind w:left="420" w:hanging="420"/>
      </w:pPr>
      <w:r>
        <w:rPr>
          <w:rFonts w:ascii="Times New Roman" w:hAnsi="Times New Roman" w:eastAsia="SimSun"/>
          <w:sz w:val="20"/>
        </w:rPr>
        <w:t>[88] Zhang Z, Ge C, Ni A, et al. Phenotype and genetic characterization of the egg-laying related traits in indigenous Beijing-You chickens [J]. Poultry Science, 2025, 104(11): 105733.</w:t>
      </w:r>
    </w:p>
    <w:p>
      <w:pPr>
        <w:spacing w:line="300" w:lineRule="auto"/>
        <w:ind w:left="420" w:hanging="420"/>
      </w:pPr>
      <w:r>
        <w:rPr>
          <w:rFonts w:ascii="Times New Roman" w:hAnsi="Times New Roman" w:eastAsia="SimSun"/>
          <w:sz w:val="20"/>
        </w:rPr>
        <w:t>[89] Fu M, Wu Y, Shen J, et al. Genome-wide association study of egg production traits in Shuanglian chickens using whole genome sequencing [J]. Genes, 2023, 14: 2129.</w:t>
      </w:r>
    </w:p>
    <w:p>
      <w:pPr>
        <w:spacing w:line="300" w:lineRule="auto"/>
        <w:ind w:left="420" w:hanging="420"/>
      </w:pPr>
      <w:r>
        <w:rPr>
          <w:rFonts w:ascii="Times New Roman" w:hAnsi="Times New Roman" w:eastAsia="SimSun"/>
          <w:sz w:val="20"/>
        </w:rPr>
        <w:t>[90] Lei Q, Zhang S, Wang J, et al. Genome-wide association studies of egg production traits by whole genome sequencing of Laiwu Black chicken [J]. Poultry Science, 2024, 103(6): 103705.</w:t>
      </w:r>
    </w:p>
    <w:p>
      <w:pPr>
        <w:spacing w:line="300" w:lineRule="auto"/>
        <w:ind w:left="420" w:hanging="420"/>
      </w:pPr>
      <w:r>
        <w:rPr>
          <w:rFonts w:ascii="Times New Roman" w:hAnsi="Times New Roman" w:eastAsia="SimSun"/>
          <w:sz w:val="20"/>
        </w:rPr>
        <w:t>[91] You G, Jiang T, Li H, et al. Genetic basis of egg production in Baicheng-You chickens: a genome-wide association study [J]. Animals, 2025, 15: 3360.</w:t>
      </w:r>
    </w:p>
    <w:p>
      <w:pPr>
        <w:spacing w:line="300" w:lineRule="auto"/>
        <w:ind w:left="420" w:hanging="420"/>
      </w:pPr>
      <w:r>
        <w:rPr>
          <w:rFonts w:ascii="Times New Roman" w:hAnsi="Times New Roman" w:eastAsia="SimSun"/>
          <w:sz w:val="20"/>
        </w:rPr>
        <w:t>[92] Liu J, Liang F, Sun C, et al. Estimation of genetic parameters for egg production and clutch traits in Lindian chickens [J]. Animals, 2025, 15: 1867.</w:t>
      </w:r>
    </w:p>
    <w:p>
      <w:pPr>
        <w:spacing w:line="300" w:lineRule="auto"/>
        <w:ind w:left="420" w:hanging="420"/>
      </w:pPr>
      <w:r>
        <w:rPr>
          <w:rFonts w:ascii="Times New Roman" w:hAnsi="Times New Roman" w:eastAsia="SimSun"/>
          <w:sz w:val="20"/>
        </w:rPr>
        <w:t>[93] Volkova N A, et al. Genome-wide association studies and candidate genes for egg production traits in layers from an F2 crossbred population produced using two divergently selected chicken breeds, Russian White and Cornish White [J]. Genes, 2025, 16(5): 583.</w:t>
      </w:r>
    </w:p>
    <w:p>
      <w:pPr>
        <w:spacing w:line="300" w:lineRule="auto"/>
        <w:ind w:left="420" w:hanging="420"/>
      </w:pPr>
      <w:r>
        <w:rPr>
          <w:rFonts w:ascii="Times New Roman" w:hAnsi="Times New Roman" w:eastAsia="SimSun"/>
          <w:sz w:val="20"/>
        </w:rPr>
        <w:t>[94] Yang L, Yang Y, Jing Y, et al. Research progress on genetic factors of poultry egg quality: a review [J]. Animals, 2025, 15: 3652.</w:t>
      </w:r>
    </w:p>
    <w:p>
      <w:pPr>
        <w:spacing w:line="300" w:lineRule="auto"/>
        <w:ind w:left="420" w:hanging="420"/>
      </w:pPr>
      <w:r>
        <w:rPr>
          <w:rFonts w:ascii="Times New Roman" w:hAnsi="Times New Roman" w:eastAsia="SimSun"/>
          <w:sz w:val="20"/>
        </w:rPr>
        <w:t>[95] Zhang L C, Ning Z H, Xu G Y, et al. Heritabilities and genetic and phenotypic correlations of egg quality traits in brown-egg dwarf layers [J]. Poultry Science, 2005, 84(8): 1209-1213.</w:t>
      </w:r>
    </w:p>
    <w:p>
      <w:pPr>
        <w:spacing w:line="300" w:lineRule="auto"/>
        <w:ind w:left="420" w:hanging="420"/>
      </w:pPr>
      <w:r>
        <w:rPr>
          <w:rFonts w:ascii="Times New Roman" w:hAnsi="Times New Roman" w:eastAsia="SimSun"/>
          <w:sz w:val="20"/>
        </w:rPr>
        <w:t>[96] Liu Z, Sun C, Yan Y, et al. Genetic variations for egg quality of chickens at late laying period revealed by genome-wide association study [J]. Scientific Reports, 2018, 8: 10832.</w:t>
      </w:r>
    </w:p>
    <w:p>
      <w:pPr>
        <w:spacing w:line="300" w:lineRule="auto"/>
        <w:ind w:left="420" w:hanging="420"/>
      </w:pPr>
      <w:r>
        <w:rPr>
          <w:rFonts w:ascii="Times New Roman" w:hAnsi="Times New Roman" w:eastAsia="SimSun"/>
          <w:sz w:val="20"/>
        </w:rPr>
        <w:t>[97] Chen X, Li X, Zhong C, et al. Genetic patterns and genome-wide association analysis of eggshell quality traits of egg-type chicken across an extended laying period [J]. Poultry Science, 2024, 103(4): 103458.</w:t>
      </w:r>
    </w:p>
    <w:p>
      <w:pPr>
        <w:spacing w:line="300" w:lineRule="auto"/>
        <w:ind w:left="420" w:hanging="420"/>
      </w:pPr>
      <w:r>
        <w:rPr>
          <w:rFonts w:ascii="Times New Roman" w:hAnsi="Times New Roman" w:eastAsia="SimSun"/>
          <w:sz w:val="20"/>
        </w:rPr>
        <w:t>[98] Zhang Q, Zhu F, Liu L, et al. Integrating transcriptome and genome re-sequencing data to identify key genes and mutations affecting chicken eggshell qualities [J]. PLOS ONE, 2015, 10(5): e0125890.</w:t>
      </w:r>
    </w:p>
    <w:p>
      <w:pPr>
        <w:spacing w:line="300" w:lineRule="auto"/>
        <w:ind w:left="420" w:hanging="420"/>
      </w:pPr>
      <w:r>
        <w:rPr>
          <w:rFonts w:ascii="Times New Roman" w:hAnsi="Times New Roman" w:eastAsia="SimSun"/>
          <w:sz w:val="20"/>
        </w:rPr>
        <w:t>[99] Wang Z, Qu L, Yao J, et al. An EAV-HP insertion in 5' flanking region of SLCO1B3 causes blue eggshell in the chicken [J]. PLOS Genetics, 2013, 9(1): e1003183.</w:t>
      </w:r>
    </w:p>
    <w:p>
      <w:pPr>
        <w:spacing w:line="300" w:lineRule="auto"/>
        <w:ind w:left="420" w:hanging="420"/>
      </w:pPr>
      <w:r>
        <w:rPr>
          <w:rFonts w:ascii="Times New Roman" w:hAnsi="Times New Roman" w:eastAsia="SimSun"/>
          <w:sz w:val="20"/>
        </w:rPr>
        <w:t>[100] Wang Z P, et al. Expression and activity analysis reveal that heme oxygenase (HMOX1) is associated with blue egg formation [J]. Poultry Science, 2011, 90(4): 836-841.</w:t>
      </w:r>
    </w:p>
    <w:p>
      <w:pPr>
        <w:spacing w:line="300" w:lineRule="auto"/>
        <w:ind w:left="420" w:hanging="420"/>
      </w:pPr>
      <w:r>
        <w:rPr>
          <w:rFonts w:ascii="Times New Roman" w:hAnsi="Times New Roman" w:eastAsia="SimSun"/>
          <w:sz w:val="20"/>
        </w:rPr>
        <w:t>[101] Honkatukia M, Tuiskula-Haavisto M, Arango J, et al. QTL mapping of egg albumen quality in egg layers [J]. Genetics Selection Evolution, 2013, 45: 31.</w:t>
      </w:r>
    </w:p>
    <w:p>
      <w:pPr>
        <w:spacing w:line="300" w:lineRule="auto"/>
        <w:ind w:left="420" w:hanging="420"/>
      </w:pPr>
      <w:r>
        <w:rPr>
          <w:rFonts w:ascii="Times New Roman" w:hAnsi="Times New Roman" w:eastAsia="SimSun"/>
          <w:sz w:val="20"/>
        </w:rPr>
        <w:t>[102] Qu L, et al. Identification of potential genomic regions and candidate genes for egg albumen quality by a genome-wide association study [J]. Archives Animal Breeding, 2019, 62(1): 113-123.</w:t>
      </w:r>
    </w:p>
    <w:p>
      <w:pPr>
        <w:spacing w:line="300" w:lineRule="auto"/>
        <w:ind w:left="420" w:hanging="420"/>
      </w:pPr>
      <w:r>
        <w:rPr>
          <w:rFonts w:ascii="Times New Roman" w:hAnsi="Times New Roman" w:eastAsia="SimSun"/>
          <w:sz w:val="20"/>
        </w:rPr>
        <w:t>[103] Gao M, et al. Multi-omics reveals molecular and genetic mechanisms underlying egg albumen quality decline in aging laying hens [J]. International Journal of Molecular Sciences, 2025, 26(16): 7876.</w:t>
      </w:r>
    </w:p>
    <w:p>
      <w:pPr>
        <w:spacing w:line="300" w:lineRule="auto"/>
        <w:ind w:left="420" w:hanging="420"/>
      </w:pPr>
      <w:r>
        <w:rPr>
          <w:rFonts w:ascii="Times New Roman" w:hAnsi="Times New Roman" w:eastAsia="SimSun"/>
          <w:sz w:val="20"/>
        </w:rPr>
        <w:t>[104] Lamont S J. Impact of genetics on disease resistance [J]. Poultry Science, 1998, 77(8): 1111-1118.</w:t>
      </w:r>
    </w:p>
    <w:p>
      <w:pPr>
        <w:spacing w:line="300" w:lineRule="auto"/>
        <w:ind w:left="420" w:hanging="420"/>
      </w:pPr>
      <w:r>
        <w:rPr>
          <w:rFonts w:ascii="Times New Roman" w:hAnsi="Times New Roman" w:eastAsia="SimSun"/>
          <w:sz w:val="20"/>
        </w:rPr>
        <w:t>[105] Miller M M, Taylor R L. Brief review of the chicken major histocompatibility complex: the genes, their distribution on chromosome 16, and their contributions to disease resistance [J]. Poultry Science, 2016, 95(2): 375-392.</w:t>
      </w:r>
    </w:p>
    <w:p>
      <w:pPr>
        <w:spacing w:line="300" w:lineRule="auto"/>
        <w:ind w:left="420" w:hanging="420"/>
      </w:pPr>
      <w:r>
        <w:rPr>
          <w:rFonts w:ascii="Times New Roman" w:hAnsi="Times New Roman" w:eastAsia="SimSun"/>
          <w:sz w:val="20"/>
        </w:rPr>
        <w:t>[106] Silva A P da, Gallardo R A. The chicken MHC: insights into genetic resistance, immunity, and inflammation following infectious bronchitis virus infections [J]. Vaccines, 2020, 8(4): 637.</w:t>
      </w:r>
    </w:p>
    <w:p>
      <w:pPr>
        <w:spacing w:line="300" w:lineRule="auto"/>
        <w:ind w:left="420" w:hanging="420"/>
      </w:pPr>
      <w:r>
        <w:rPr>
          <w:rFonts w:ascii="Times New Roman" w:hAnsi="Times New Roman" w:eastAsia="SimSun"/>
          <w:sz w:val="20"/>
        </w:rPr>
        <w:t>[107] Lakshmanan N, Lamont S J. Rfp-Y region polymorphism and Marek's disease resistance in multitrait immunocompetence-selected chicken lines [J]. Poultry Science, 1998, 77(4): 538-541.</w:t>
      </w:r>
    </w:p>
    <w:p>
      <w:pPr>
        <w:spacing w:line="300" w:lineRule="auto"/>
        <w:ind w:left="420" w:hanging="420"/>
      </w:pPr>
      <w:r>
        <w:rPr>
          <w:rFonts w:ascii="Times New Roman" w:hAnsi="Times New Roman" w:eastAsia="SimSun"/>
          <w:sz w:val="20"/>
        </w:rPr>
        <w:t>[108] Boodhoo N, Gurung A, Sharif S, et al. Marek's disease in chickens: a review with focus on immunology [J]. Veterinary Research, 2016, 47: 119.</w:t>
      </w:r>
    </w:p>
    <w:p>
      <w:pPr>
        <w:spacing w:line="300" w:lineRule="auto"/>
        <w:ind w:left="420" w:hanging="420"/>
      </w:pPr>
      <w:r>
        <w:rPr>
          <w:rFonts w:ascii="Times New Roman" w:hAnsi="Times New Roman" w:eastAsia="SimSun"/>
          <w:sz w:val="20"/>
        </w:rPr>
        <w:t>[109] Smith J, et al. Mapping QTL associated with resistance to avian oncogenic Marek's disease virus (MDV) reveals major candidate genes and variants [J]. Genes, 2020, 11(9): 1019.</w:t>
      </w:r>
    </w:p>
    <w:p>
      <w:pPr>
        <w:spacing w:line="300" w:lineRule="auto"/>
        <w:ind w:left="420" w:hanging="420"/>
      </w:pPr>
      <w:r>
        <w:rPr>
          <w:rFonts w:ascii="Times New Roman" w:hAnsi="Times New Roman" w:eastAsia="SimSun"/>
          <w:sz w:val="20"/>
        </w:rPr>
        <w:t>[110] Warren W C, Rice E S, Meyer A, et al. The immune cell landscape and response of Marek's disease resistant and susceptible chickens infected with Marek's disease virus [J]. Scientific Reports, 2023, 13: 5355.</w:t>
      </w:r>
    </w:p>
    <w:p>
      <w:pPr>
        <w:spacing w:line="300" w:lineRule="auto"/>
        <w:ind w:left="420" w:hanging="420"/>
      </w:pPr>
      <w:r>
        <w:rPr>
          <w:rFonts w:ascii="Times New Roman" w:hAnsi="Times New Roman" w:eastAsia="SimSun"/>
          <w:sz w:val="20"/>
        </w:rPr>
        <w:t>[111] Idoko-Akoh A, Goldhill D H, Sheppard C M, et al. Creating resistance to avian influenza infection through genome editing of the ANP32 gene family [J]. Nature Communications, 2023, 14: 6136.</w:t>
      </w:r>
    </w:p>
    <w:p>
      <w:pPr>
        <w:spacing w:line="300" w:lineRule="auto"/>
        <w:ind w:left="420" w:hanging="420"/>
      </w:pPr>
      <w:r>
        <w:rPr>
          <w:rFonts w:ascii="Times New Roman" w:hAnsi="Times New Roman" w:eastAsia="SimSun"/>
          <w:sz w:val="20"/>
        </w:rPr>
        <w:t>[112] Lillehoj H S, Min W, Dalloul R A. Recent progress on the cytokine regulation of intestinal immune responses to Eimeria [J]. Poultry Science, 2004, 83(4): 611-623.</w:t>
      </w:r>
    </w:p>
    <w:p>
      <w:pPr>
        <w:spacing w:line="300" w:lineRule="auto"/>
        <w:ind w:left="420" w:hanging="420"/>
      </w:pPr>
      <w:r>
        <w:rPr>
          <w:rFonts w:ascii="Times New Roman" w:hAnsi="Times New Roman" w:eastAsia="SimSun"/>
          <w:sz w:val="20"/>
        </w:rPr>
        <w:t>[113] Niraula A, Wolc A, Fulton J E, et al. The chicken major histocompatibility complex (MHC-B) and alloantigen systems A, D, E, and I impact resistance to coccidiosis [J]. Poultry Science, 2025, 104: 105151.</w:t>
      </w:r>
    </w:p>
    <w:p>
      <w:pPr>
        <w:spacing w:line="300" w:lineRule="auto"/>
        <w:ind w:left="420" w:hanging="420"/>
      </w:pPr>
      <w:r>
        <w:rPr>
          <w:rFonts w:ascii="Times New Roman" w:hAnsi="Times New Roman" w:eastAsia="SimSun"/>
          <w:sz w:val="20"/>
        </w:rPr>
        <w:t>[114] Banat G R, Tkalcic S, Dzielawa J A, et al. Association of the chicken MHC B haplotypes with resistance to avian coronavirus [J]. Developmental and Comparative Immunology, 2013, 39(4): 430-437.</w:t>
      </w:r>
    </w:p>
    <w:p>
      <w:pPr>
        <w:spacing w:line="300" w:lineRule="auto"/>
        <w:ind w:left="420" w:hanging="420"/>
      </w:pPr>
      <w:r>
        <w:rPr>
          <w:rFonts w:ascii="Times New Roman" w:hAnsi="Times New Roman" w:eastAsia="SimSun"/>
          <w:sz w:val="20"/>
        </w:rPr>
        <w:t>[115] Fulton J E, et al. A review of genetic variation underlying chicken phenotypic diversity [J]. Poultry Science, 2025, 104(11): 105761.</w:t>
      </w:r>
    </w:p>
    <w:p>
      <w:pPr>
        <w:spacing w:line="300" w:lineRule="auto"/>
        <w:ind w:left="420" w:hanging="420"/>
      </w:pPr>
      <w:r>
        <w:rPr>
          <w:rFonts w:ascii="Times New Roman" w:hAnsi="Times New Roman" w:eastAsia="SimSun"/>
          <w:sz w:val="20"/>
        </w:rPr>
        <w:t>[116] Dorshorst B, Molin A M, Rubin C J, et al. A complex genomic rearrangement involving the endothelin 3 locus causes dermal hyperpigmentation in the chicken [J]. PLOS Genetics, 2011, 7(12): e1002412.</w:t>
      </w:r>
    </w:p>
    <w:p>
      <w:pPr>
        <w:spacing w:line="300" w:lineRule="auto"/>
        <w:ind w:left="420" w:hanging="420"/>
      </w:pPr>
      <w:r>
        <w:rPr>
          <w:rFonts w:ascii="Times New Roman" w:hAnsi="Times New Roman" w:eastAsia="SimSun"/>
          <w:sz w:val="20"/>
        </w:rPr>
        <w:t>[117] Kerje S, Sharma P, Gunnarsson U, et al. The Dominant white, Dun and Smoky color variants in chicken are associated with insertion/deletion polymorphisms in the PMEL17 gene [J]. Genetics, 2004, 168(3): 1507-1518.</w:t>
      </w:r>
    </w:p>
    <w:p>
      <w:pPr>
        <w:spacing w:line="300" w:lineRule="auto"/>
        <w:ind w:left="420" w:hanging="420"/>
      </w:pPr>
      <w:r>
        <w:rPr>
          <w:rFonts w:ascii="Times New Roman" w:hAnsi="Times New Roman" w:eastAsia="SimSun"/>
          <w:sz w:val="20"/>
        </w:rPr>
        <w:t>[118] Wright D, Boije H, Meadows J R S, et al. Copy number variation in intron 1 of SOX5 causes the pea-comb phenotype in chickens [J]. PLOS Genetics, 2009, 5(6): e1000512.</w:t>
      </w:r>
    </w:p>
    <w:p>
      <w:pPr>
        <w:spacing w:line="300" w:lineRule="auto"/>
        <w:ind w:left="420" w:hanging="420"/>
      </w:pPr>
      <w:r>
        <w:rPr>
          <w:rFonts w:ascii="Times New Roman" w:hAnsi="Times New Roman" w:eastAsia="SimSun"/>
          <w:sz w:val="20"/>
        </w:rPr>
        <w:t>[119] Imsland F, Feng C, Boije H, et al. The Rose-comb mutation in chickens constitutes a structural rearrangement causing both altered comb morphology and defective sperm motility [J]. PLOS Genetics, 2012, 8(6): e1002775.</w:t>
      </w:r>
    </w:p>
    <w:p>
      <w:pPr>
        <w:spacing w:line="300" w:lineRule="auto"/>
        <w:ind w:left="420" w:hanging="420"/>
      </w:pPr>
      <w:r>
        <w:rPr>
          <w:rFonts w:ascii="Times New Roman" w:hAnsi="Times New Roman" w:eastAsia="SimSun"/>
          <w:sz w:val="20"/>
        </w:rPr>
        <w:t>[120] Dorshorst B, et al. A genomic duplication is associated with ectopic eomesodermin expression in the embryonic chicken comb and two duplex-comb phenotypes [J]. PLOS Genetics, 2015, 11(3): e1004947.</w:t>
      </w:r>
    </w:p>
    <w:p>
      <w:pPr>
        <w:spacing w:line="300" w:lineRule="auto"/>
        <w:ind w:left="420" w:hanging="420"/>
      </w:pPr>
      <w:r>
        <w:rPr>
          <w:rFonts w:ascii="Times New Roman" w:hAnsi="Times New Roman" w:eastAsia="SimSun"/>
          <w:sz w:val="20"/>
        </w:rPr>
        <w:t>[121] Li J, et al. The crest phenotype in domestic chicken is caused by a 197 bp duplication in the intron of HOXC10 [J]. G3: Genes, Genomes, Genetics, 2021, 11(2): jkaa048.</w:t>
      </w:r>
    </w:p>
    <w:p>
      <w:pPr>
        <w:spacing w:line="300" w:lineRule="auto"/>
        <w:ind w:left="420" w:hanging="420"/>
      </w:pPr>
      <w:r>
        <w:rPr>
          <w:rFonts w:ascii="Times New Roman" w:hAnsi="Times New Roman" w:eastAsia="SimSun"/>
          <w:sz w:val="20"/>
        </w:rPr>
        <w:t>[122] Guo Y, Gu X, Sheng Z, et al. A complex structural variation on chromosome 27 leads to the ectopic expression of HOXB8 and the muffs and beard phenotype in chickens [J]. PLOS Genetics, 2016, 12(6): e1006071.</w:t>
      </w:r>
    </w:p>
    <w:p>
      <w:pPr>
        <w:spacing w:line="300" w:lineRule="auto"/>
        <w:ind w:left="420" w:hanging="420"/>
      </w:pPr>
      <w:r>
        <w:rPr>
          <w:rFonts w:ascii="Times New Roman" w:hAnsi="Times New Roman" w:eastAsia="SimSun"/>
          <w:sz w:val="20"/>
        </w:rPr>
        <w:t>[123] Ng C S, Wu P, Foley J, et al. The chicken frizzle feather is due to an alpha-keratin (KRT75) mutation that causes a defective rachis [J]. PLOS Genetics, 2012, 8(7): e1002748.</w:t>
      </w:r>
    </w:p>
    <w:p>
      <w:pPr>
        <w:spacing w:line="300" w:lineRule="auto"/>
        <w:ind w:left="420" w:hanging="420"/>
      </w:pPr>
      <w:r>
        <w:rPr>
          <w:rFonts w:ascii="Times New Roman" w:hAnsi="Times New Roman" w:eastAsia="SimSun"/>
          <w:sz w:val="20"/>
        </w:rPr>
        <w:t>[124] Mou C, Pitel F, Gourichon D, et al. Cryptic patterning of avian skin confers a developmental facility for loss of neck feathering [J]. PLOS Biology, 2011, 9(3): e1001028.</w:t>
      </w:r>
    </w:p>
    <w:p>
      <w:pPr>
        <w:spacing w:line="300" w:lineRule="auto"/>
        <w:ind w:left="420" w:hanging="420"/>
      </w:pPr>
      <w:r>
        <w:rPr>
          <w:rFonts w:ascii="Times New Roman" w:hAnsi="Times New Roman" w:eastAsia="SimSun"/>
          <w:sz w:val="20"/>
        </w:rPr>
        <w:t>[125] Wells K L, Hadad Y, Ben-Avraham D, et al. Genome-wide SNP scan of pooled DNA reveals nonsense mutation in FGF20 in the scaleless line of featherless chickens [J]. BMC Genomics, 2012, 13: 257.</w:t>
      </w:r>
    </w:p>
    <w:p>
      <w:pPr>
        <w:spacing w:line="300" w:lineRule="auto"/>
        <w:ind w:left="420" w:hanging="420"/>
      </w:pPr>
      <w:r>
        <w:rPr>
          <w:rFonts w:ascii="Times New Roman" w:hAnsi="Times New Roman" w:eastAsia="SimSun"/>
          <w:sz w:val="20"/>
        </w:rPr>
        <w:t>[126] Feng C, Gao Y, Dorshorst B, et al. A cis-regulatory mutation of PDSS2 causes silky-feather in chickens [J]. PLOS Genetics, 2014, 10(8): e1004576.</w:t>
      </w:r>
    </w:p>
    <w:p>
      <w:pPr>
        <w:spacing w:line="300" w:lineRule="auto"/>
        <w:ind w:left="420" w:hanging="420"/>
      </w:pPr>
      <w:r>
        <w:rPr>
          <w:rFonts w:ascii="Times New Roman" w:hAnsi="Times New Roman" w:eastAsia="SimSun"/>
          <w:sz w:val="20"/>
        </w:rPr>
        <w:t>[127] Wang M S, Li Y, Peng M S, et al. Genomic analyses reveal potential independent adaptation to high altitude in Tibetan chickens [J]. Molecular Biology and Evolution, 2015, 32(7): 1880-1889.</w:t>
      </w:r>
    </w:p>
    <w:p>
      <w:pPr>
        <w:spacing w:line="300" w:lineRule="auto"/>
        <w:ind w:left="420" w:hanging="420"/>
      </w:pPr>
      <w:r>
        <w:rPr>
          <w:rFonts w:ascii="Times New Roman" w:hAnsi="Times New Roman" w:eastAsia="SimSun"/>
          <w:sz w:val="20"/>
        </w:rPr>
        <w:t>[128] Zhang Q, et al. Genome resequencing identifies unique adaptations of Tibetan chickens to hypoxia and high-dose ultraviolet radiation in high-altitude environments [J]. Genome Biology and Evolution, 2016, 8(3): 765-776.</w:t>
      </w:r>
    </w:p>
    <w:p>
      <w:pPr>
        <w:spacing w:line="300" w:lineRule="auto"/>
        <w:ind w:left="420" w:hanging="420"/>
      </w:pPr>
      <w:r>
        <w:rPr>
          <w:rFonts w:ascii="Times New Roman" w:hAnsi="Times New Roman" w:eastAsia="SimSun"/>
          <w:sz w:val="20"/>
        </w:rPr>
        <w:t>[129] Li S, et al. Genetic structure and characteristics of Tibetan chickens [J]. Poultry Science, 2023, 102(8): 102767.</w:t>
      </w:r>
    </w:p>
    <w:p>
      <w:pPr>
        <w:spacing w:line="300" w:lineRule="auto"/>
        <w:ind w:left="420" w:hanging="420"/>
      </w:pPr>
      <w:r>
        <w:rPr>
          <w:rFonts w:ascii="Times New Roman" w:hAnsi="Times New Roman" w:eastAsia="SimSun"/>
          <w:sz w:val="20"/>
        </w:rPr>
        <w:t>[130] Xue M, et al. Metabolomics and transcriptomics of embryonic livers reveal hypoxia adaptation of Tibetan chickens [J]. BMC Genomics, 2024, 25(1): 131.</w:t>
      </w:r>
    </w:p>
    <w:p>
      <w:pPr>
        <w:spacing w:line="300" w:lineRule="auto"/>
        <w:ind w:left="420" w:hanging="420"/>
      </w:pPr>
      <w:r>
        <w:rPr>
          <w:rFonts w:ascii="Times New Roman" w:hAnsi="Times New Roman" w:eastAsia="SimSun"/>
          <w:sz w:val="20"/>
        </w:rPr>
        <w:t>[131] Fedorova E S, et al. Identification of key candidate genes in runs of homozygosity of the genome of two chicken breeds, associated with cold adaptation [J]. Biology, 2022, 11(4): 547.</w:t>
      </w:r>
    </w:p>
    <w:p>
      <w:pPr>
        <w:spacing w:line="300" w:lineRule="auto"/>
        <w:ind w:left="420" w:hanging="420"/>
      </w:pPr>
      <w:r>
        <w:rPr>
          <w:rFonts w:ascii="Times New Roman" w:hAnsi="Times New Roman" w:eastAsia="SimSun"/>
          <w:sz w:val="20"/>
        </w:rPr>
        <w:t>[132] Romanov M N, et al. Selective footprints and genes relevant to cold adaptation and other phenotypic traits are unscrambled in the genomes of divergently selected chicken breeds [J]. Journal of Animal Science and Biotechnology, 2023, 14(1): 35.</w:t>
      </w:r>
    </w:p>
    <w:p>
      <w:pPr>
        <w:spacing w:line="300" w:lineRule="auto"/>
        <w:ind w:left="420" w:hanging="420"/>
      </w:pPr>
      <w:r>
        <w:rPr>
          <w:rFonts w:ascii="Times New Roman" w:hAnsi="Times New Roman" w:eastAsia="SimSun"/>
          <w:sz w:val="20"/>
        </w:rPr>
        <w:t>[133] Fleming D S, et al. Genomic comparison of indigenous African and Northern European chickens reveals putative mechanisms of stress tolerance related to environmental selection pressure [J]. G3: Genes, Genomes, Genetics, 2017, 7(5): 1525-1537.</w:t>
      </w:r>
    </w:p>
    <w:p>
      <w:pPr>
        <w:spacing w:line="300" w:lineRule="auto"/>
        <w:ind w:left="420" w:hanging="420"/>
      </w:pPr>
      <w:r>
        <w:rPr>
          <w:rFonts w:ascii="Times New Roman" w:hAnsi="Times New Roman" w:eastAsia="SimSun"/>
          <w:sz w:val="20"/>
        </w:rPr>
        <w:t>[134] Fernandes E, Raymundo A, Martins L L, et al. The naked neck gene in the domestic chicken: a genetic strategy to mitigate the impact of heat stress in poultry production-a review [J]. Animals, 2023, 13: 1007.</w:t>
      </w:r>
    </w:p>
    <w:p>
      <w:pPr>
        <w:spacing w:line="300" w:lineRule="auto"/>
        <w:ind w:left="420" w:hanging="420"/>
      </w:pPr>
      <w:r>
        <w:rPr>
          <w:rFonts w:ascii="Times New Roman" w:hAnsi="Times New Roman" w:eastAsia="SimSun"/>
          <w:sz w:val="20"/>
        </w:rPr>
        <w:t>[135] Cahaner A, et al. Effects of the genetically reduced feather coverage in naked neck and featherless broilers on their performance under hot conditions [J]. Poultry Science, 2008, 87(12): 2517-2527.</w:t>
      </w:r>
    </w:p>
    <w:p>
      <w:pPr>
        <w:spacing w:line="300" w:lineRule="auto"/>
        <w:ind w:left="420" w:hanging="420"/>
      </w:pPr>
      <w:r>
        <w:rPr>
          <w:rFonts w:ascii="Times New Roman" w:hAnsi="Times New Roman" w:eastAsia="SimSun"/>
          <w:sz w:val="20"/>
        </w:rPr>
        <w:t>[136] Rachman M P, Bamidele O, Dessie T, et al. Genomic analysis of Nigerian indigenous chickens reveals their genetic diversity and adaptation to heat-stress [J]. Scientific Reports, 2024, 14: 2209.</w:t>
      </w:r>
    </w:p>
    <w:p>
      <w:pPr>
        <w:spacing w:line="300" w:lineRule="auto"/>
        <w:ind w:left="420" w:hanging="420"/>
      </w:pPr>
      <w:r>
        <w:rPr>
          <w:rFonts w:ascii="Times New Roman" w:hAnsi="Times New Roman" w:eastAsia="SimSun"/>
          <w:sz w:val="20"/>
        </w:rPr>
        <w:t>[137] Gheyas A A, Vallejo-Trujillo A, Kebede A, et al. Integrated environmental and genomic analysis reveals the drivers of local adaptation in African indigenous chickens [J]. Molecular Biology and Evolution, 2021, 38(10): 4268-4285.</w:t>
      </w:r>
    </w:p>
    <w:p>
      <w:pPr>
        <w:spacing w:line="300" w:lineRule="auto"/>
        <w:ind w:left="420" w:hanging="420"/>
      </w:pPr>
      <w:r>
        <w:rPr>
          <w:rFonts w:ascii="Times New Roman" w:hAnsi="Times New Roman" w:eastAsia="SimSun"/>
          <w:sz w:val="20"/>
        </w:rPr>
        <w:t>[138] Elbeltagy A R, et al. Natural selection footprints among African chicken breeds and village ecotypes [J]. Frontiers in Genetics, 2019, 10: 376.</w:t>
      </w:r>
    </w:p>
    <w:p>
      <w:pPr>
        <w:spacing w:line="300" w:lineRule="auto"/>
        <w:ind w:left="420" w:hanging="420"/>
      </w:pPr>
      <w:r>
        <w:rPr>
          <w:rFonts w:ascii="Times New Roman" w:hAnsi="Times New Roman" w:eastAsia="SimSun"/>
          <w:sz w:val="20"/>
        </w:rPr>
        <w:t>[139] Mpenda F N, Schilling M A, Campbell Z, et al. The genetic diversity of local African chickens: a potential for selection of chickens resistant to viral infections [J]. Journal of Applied Poultry Research, 2019, 28(1): 1-12.</w:t>
      </w:r>
    </w:p>
    <w:p>
      <w:pPr>
        <w:spacing w:line="300" w:lineRule="auto"/>
        <w:ind w:left="420" w:hanging="420"/>
      </w:pPr>
      <w:r>
        <w:rPr>
          <w:rFonts w:ascii="Times New Roman" w:hAnsi="Times New Roman" w:eastAsia="SimSun"/>
          <w:sz w:val="20"/>
        </w:rPr>
        <w:t>[140] Gu L H, Wu R R, Zheng X L, et al. Genomic insights into local adaptation and phenotypic diversity of Wenchang chickens [J]. Poultry Science, 2024, 103(3): 103376.</w:t>
      </w:r>
    </w:p>
    <w:p>
      <w:pPr>
        <w:spacing w:line="300" w:lineRule="auto"/>
        <w:ind w:left="420" w:hanging="420"/>
      </w:pPr>
      <w:r>
        <w:rPr>
          <w:rFonts w:ascii="Times New Roman" w:hAnsi="Times New Roman" w:eastAsia="SimSun"/>
          <w:sz w:val="20"/>
        </w:rPr>
        <w:t>[141] Tan X, Zhang J, Dong J, et al. Whole-genome variants dataset of 209 local chickens from China [J]. Scientific Data, 2024, 11: 169.</w:t>
      </w:r>
    </w:p>
    <w:p>
      <w:pPr>
        <w:spacing w:line="300" w:lineRule="auto"/>
        <w:ind w:left="420" w:hanging="420"/>
      </w:pPr>
      <w:r>
        <w:rPr>
          <w:rFonts w:ascii="Times New Roman" w:hAnsi="Times New Roman" w:eastAsia="SimSun"/>
          <w:sz w:val="20"/>
        </w:rPr>
        <w:t>[142] Hutt F B. Sex-linked dwarfism in the fowl [J]. Journal of Heredity, 1959, 50(5): 209-221.</w:t>
      </w:r>
    </w:p>
    <w:p>
      <w:pPr>
        <w:spacing w:line="300" w:lineRule="auto"/>
        <w:ind w:left="420" w:hanging="420"/>
      </w:pPr>
      <w:r>
        <w:rPr>
          <w:rFonts w:ascii="Times New Roman" w:hAnsi="Times New Roman" w:eastAsia="SimSun"/>
          <w:sz w:val="20"/>
        </w:rPr>
        <w:t>[143] Bacon L D, Smith E, Crittenden L B, et al. Association of the slow feathering (K) and an endogenous viral (ev21) gene on the Z chromosome of chickens [J]. Poultry Science, 1988, 67(2): 191-197.</w:t>
      </w:r>
    </w:p>
    <w:p>
      <w:pPr>
        <w:spacing w:line="300" w:lineRule="auto"/>
        <w:ind w:left="420" w:hanging="420"/>
      </w:pPr>
      <w:r>
        <w:rPr>
          <w:rFonts w:ascii="Times New Roman" w:hAnsi="Times New Roman" w:eastAsia="SimSun"/>
          <w:sz w:val="20"/>
        </w:rPr>
        <w:t>[144] Ko J H, Jin H K, Asano A, et al. Polymorphisms and the differential antiviral activity of the chicken Mx gene [J]. Genome Research, 2002, 12(4): 595-601.</w:t>
      </w:r>
    </w:p>
    <w:p>
      <w:pPr>
        <w:spacing w:line="300" w:lineRule="auto"/>
        <w:ind w:left="420" w:hanging="420"/>
      </w:pPr>
      <w:r>
        <w:rPr>
          <w:rFonts w:ascii="Times New Roman" w:hAnsi="Times New Roman" w:eastAsia="SimSun"/>
          <w:sz w:val="20"/>
        </w:rPr>
        <w:t>[145] Meuwissen T H E, Hayes B J, Goddard M E. Prediction of total genetic value using genome-wide dense marker maps [J]. Genetics, 2001, 157(4): 1819-1829.</w:t>
      </w:r>
    </w:p>
    <w:p>
      <w:pPr>
        <w:spacing w:line="300" w:lineRule="auto"/>
        <w:ind w:left="420" w:hanging="420"/>
      </w:pPr>
      <w:r>
        <w:rPr>
          <w:rFonts w:ascii="Times New Roman" w:hAnsi="Times New Roman" w:eastAsia="SimSun"/>
          <w:sz w:val="20"/>
        </w:rPr>
        <w:t>[146] Legarra A, Aguilar I, Misztal I. A relationship matrix including full pedigree and genomic information [J]. Journal of Dairy Science, 2009, 92(9): 4656-4663.</w:t>
      </w:r>
    </w:p>
    <w:p>
      <w:pPr>
        <w:spacing w:line="300" w:lineRule="auto"/>
        <w:ind w:left="420" w:hanging="420"/>
      </w:pPr>
      <w:r>
        <w:rPr>
          <w:rFonts w:ascii="Times New Roman" w:hAnsi="Times New Roman" w:eastAsia="SimSun"/>
          <w:sz w:val="20"/>
        </w:rPr>
        <w:t>[147] Hellmich R, Sid H, Lengyel K, et al. Acquiring resistance against a retroviral infection via CRISPR/Cas9 targeted genome editing in a commercial chicken line [J]. Frontiers in Genome Editing, 2020, 2: 3.</w:t>
      </w:r>
    </w:p>
    <w:p>
      <w:pPr>
        <w:spacing w:line="300" w:lineRule="auto"/>
        <w:ind w:left="420" w:hanging="420"/>
      </w:pPr>
      <w:r>
        <w:rPr>
          <w:rFonts w:ascii="Times New Roman" w:hAnsi="Times New Roman" w:eastAsia="SimSun"/>
          <w:sz w:val="20"/>
        </w:rPr>
        <w:t>[148] Galli R, Preusse G, Uckermann O, Bartels T, Krautwald-Junghanns M E, Koch E, Steiner G. In ovo sexing of chicken eggs by fluorescence spectroscopy [J]. Analytical and Bioanalytical Chemistry, 2017, 409(5): 1185-1194.</w:t>
      </w:r>
    </w:p>
    <w:p>
      <w:pPr>
        <w:spacing w:line="300" w:lineRule="auto"/>
        <w:ind w:left="420" w:hanging="420"/>
      </w:pPr>
      <w:r>
        <w:rPr>
          <w:rFonts w:ascii="Times New Roman" w:hAnsi="Times New Roman" w:eastAsia="SimSun"/>
          <w:sz w:val="20"/>
        </w:rPr>
        <w:t>[149] Smith C A, Roeszler K N, Ohnesorg T, et al. The avian Z-linked gene DMRT1 is required for male sex determination in the chicken [J]. Nature, 2009, 461(7261): 267-271.</w:t>
      </w:r>
    </w:p>
    <w:p>
      <w:pPr>
        <w:spacing w:line="300" w:lineRule="auto"/>
        <w:ind w:left="420" w:hanging="420"/>
      </w:pPr>
      <w:r>
        <w:rPr>
          <w:rFonts w:ascii="Times New Roman" w:hAnsi="Times New Roman" w:eastAsia="SimSun"/>
          <w:sz w:val="20"/>
        </w:rPr>
        <w:t>[150] Schmid M, Smith J, Burt D W, et al. Third report on chicken genes and chromosomes 2015 [J]. Cytogenetic and Genome Research, 2015, 145(2): 78-179.</w:t>
      </w:r>
    </w:p>
    <w:p>
      <w:pPr>
        <w:spacing w:line="300" w:lineRule="auto"/>
        <w:ind w:left="420" w:hanging="420"/>
      </w:pPr>
      <w:r>
        <w:rPr>
          <w:rFonts w:ascii="Times New Roman" w:hAnsi="Times New Roman" w:eastAsia="SimSun"/>
          <w:sz w:val="20"/>
        </w:rPr>
        <w:t>[151] Andersson L. Domestic animals as models for biomedical research [J]. Upsala Journal of Medical Sciences, 2016, 121(1): 1-11.</w:t>
      </w:r>
    </w:p>
    <w:p>
      <w:pPr>
        <w:spacing w:line="300" w:lineRule="auto"/>
        <w:ind w:left="420" w:hanging="420"/>
      </w:pPr>
      <w:r>
        <w:rPr>
          <w:rFonts w:ascii="Times New Roman" w:hAnsi="Times New Roman" w:eastAsia="SimSun"/>
          <w:sz w:val="20"/>
        </w:rPr>
        <w:t>[152] Lamont S J, Pinard-van der Laan M H, Cahaner A, et al. Selection for disease resistance: direct selection on the immune response [M]. In: Muir W M, Aggrey S E, eds. Poultry Genetics, Breeding and Biotechnology. CABI, 2003: 399-418.</w:t>
      </w:r>
    </w:p>
    <w:p>
      <w:pPr>
        <w:spacing w:line="300" w:lineRule="auto"/>
        <w:ind w:left="420" w:hanging="420"/>
      </w:pPr>
      <w:r>
        <w:rPr>
          <w:rFonts w:ascii="Times New Roman" w:hAnsi="Times New Roman" w:eastAsia="SimSun"/>
          <w:sz w:val="20"/>
        </w:rPr>
        <w:t>[153] Sid H, Schusser B. Applications of gene editing in chickens: a new era is on the horizon [J]. Frontiers in Genetics, 2018, 9: 456.</w:t>
      </w:r>
    </w:p>
    <w:p>
      <w:pPr>
        <w:spacing w:line="300" w:lineRule="auto"/>
        <w:ind w:left="420" w:hanging="420"/>
      </w:pPr>
      <w:r>
        <w:rPr>
          <w:rFonts w:ascii="Times New Roman" w:hAnsi="Times New Roman" w:eastAsia="SimSun"/>
          <w:sz w:val="20"/>
        </w:rPr>
        <w:t>[154] Cheng H H, Kaiser P, Lamont S J. Integrated genomic approaches to enhance genetic resistance in chickens [J]. Annual Review of Animal Biosciences, 2013, 1: 239-260.</w:t>
      </w:r>
    </w:p>
    <w:p>
      <w:pPr>
        <w:spacing w:line="300" w:lineRule="auto"/>
        <w:ind w:left="420" w:hanging="420"/>
      </w:pPr>
      <w:r>
        <w:rPr>
          <w:rFonts w:ascii="Times New Roman" w:hAnsi="Times New Roman" w:eastAsia="SimSun"/>
          <w:sz w:val="20"/>
        </w:rPr>
        <w:t>[155] Goddard M E, Hayes B J, Meuwissen T H E. Genomic selection in livestock populations [J]. Genetics Research, 2010, 92(5-6): 413-421.</w:t>
      </w:r>
    </w:p>
    <w:p>
      <w:pPr>
        <w:spacing w:line="300" w:lineRule="auto"/>
        <w:ind w:left="420" w:hanging="420"/>
      </w:pPr>
      <w:r>
        <w:rPr>
          <w:rFonts w:ascii="Times New Roman" w:hAnsi="Times New Roman" w:eastAsia="SimSun"/>
          <w:sz w:val="20"/>
        </w:rPr>
        <w:t>[156] Van Eenennaam A L, De Figueiredo Silva F, Trott J F, Zilberman D. Genetic engineering of livestock: the opportunity cost of regulatory delay [J]. Annual Review of Animal Biosciences, 2021, 9: 453-478.</w:t>
      </w:r>
    </w:p>
    <w:p>
      <w:pPr>
        <w:spacing w:line="300" w:lineRule="auto"/>
        <w:ind w:left="420" w:hanging="420"/>
      </w:pPr>
      <w:r>
        <w:rPr>
          <w:rFonts w:ascii="Times New Roman" w:hAnsi="Times New Roman" w:eastAsia="SimSun"/>
          <w:sz w:val="20"/>
        </w:rPr>
        <w:t>[157] Knowles T G, Kestin S C, Haslam S M, Brown S N, Green L E, Butterworth A, Pope S J, Pfeiffer D, Nicol C J. Leg disorders in broiler chickens: prevalence, risk factors and prevention [J]. PLOS ONE, 2008, 3(2): e1545.</w:t>
      </w:r>
    </w:p>
    <w:p>
      <w:pPr>
        <w:spacing w:line="300" w:lineRule="auto"/>
        <w:ind w:left="420" w:hanging="420"/>
      </w:pPr>
      <w:r>
        <w:rPr>
          <w:rFonts w:ascii="Times New Roman" w:hAnsi="Times New Roman" w:eastAsia="SimSun"/>
          <w:sz w:val="20"/>
        </w:rPr>
        <w:t>[158] Bishop T F, Van Eenennaam A L. Genome editing approaches to augment livestock breeding programs [J]. Journal of Experimental Biology, 2020, 223(Suppl 1): jeb207159.</w:t>
      </w:r>
    </w:p>
    <w:p>
      <w:pPr>
        <w:spacing w:line="300" w:lineRule="auto"/>
        <w:ind w:left="420" w:hanging="420"/>
      </w:pPr>
      <w:r>
        <w:rPr>
          <w:rFonts w:ascii="Times New Roman" w:hAnsi="Times New Roman" w:eastAsia="SimSun"/>
          <w:sz w:val="20"/>
        </w:rPr>
        <w:t>[159] Van Eenennaam A L. The contribution of transgenic and genome-edited animals to agricultural and industrial applications [J]. Revue Scientifique et Technique, 2018, 37(1): 97-112.</w:t>
      </w:r>
    </w:p>
    <w:p>
      <w:r>
        <w:t>[160] Yuan J, Wang K, Yi G, et al. Genome-wide association studies for feed intake and efficiency in two laying periods of chickens [J]. Genetics Selection Evolution, 2015, 47: 82.</w:t>
      </w:r>
    </w:p>
    <w:p>
      <w:r>
        <w:t>[161] Reyer H, Hawken R, Murani E, et al. The genetics of feed conversion efficiency traits in a commercial broiler line [J]. Scientific Reports, 2015, 5: 16387.</w:t>
      </w:r>
    </w:p>
    <w:p>
      <w:r>
        <w:t>[162] Yi G, Yuan J, Bi H, et al. In-depth duodenal transcriptome survey in chickens with divergent feed efficiency using RNA-Seq [J]. PLOS ONE, 2015, 10(9): e0136765.</w:t>
      </w:r>
    </w:p>
    <w:p>
      <w:r>
        <w:t>[163] Liu Y, Yang X, Jing X, et al. New insights from imputed whole-genome sequence-based genome-wide association analysis and transcriptome analysis: the genetic mechanisms underlying residual feed intake in chickens [J]. Frontiers in Genetics, 2020, 11: 243.</w:t>
      </w:r>
    </w:p>
    <w:p>
      <w:r>
        <w:t>[164] Henriksen R, Johnsson M, Andersson L, et al. The effect of a mutation in the thyroid stimulating hormone receptor (TSHR) on development, behaviour and TH levels in domesticated chickens [J]. PLOS ONE, 2015, 10(6): e0129040.</w:t>
      </w:r>
    </w:p>
    <w:p>
      <w:r>
        <w:t>[165] Karlsson AC, Fallahshahroudi A, Johnsen H, et al. A domestication related mutation in the thyroid stimulating hormone receptor gene (TSHR) modulates photoperiodic response and reproduction in chickens [J]. General and Comparative Endocrinology, 2016, 228: 69-78.</w:t>
      </w:r>
    </w:p>
    <w:p>
      <w:r>
        <w:t>[166] Fallahshahroudi A, Johnsson M, Sorato E, et al. Effects of the domestic thyroid stimulating hormone receptor (TSHR) variant on the hypothalamic-pituitary-thyroid axis and behavior in chicken [J]. Genetics, 2021, 217(1): iyaa050.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SimSu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