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家鸡复杂性状候选位点的证据分级与育种转化"/>
    <w:p>
      <w:pPr>
        <w:pStyle w:val="Heading1"/>
      </w:pPr>
      <w:r>
        <w:t xml:space="preserve">家鸡复杂性状候选位点的证据分级与育种转化</w:t>
      </w:r>
    </w:p>
    <w:bookmarkStart w:id="20" w:name="摘要"/>
    <w:p>
      <w:pPr>
        <w:pStyle w:val="Heading2"/>
      </w:pPr>
      <w:r>
        <w:t xml:space="preserve">摘要</w:t>
      </w:r>
    </w:p>
    <w:p>
      <w:pPr>
        <w:pStyle w:val="FirstParagraph"/>
      </w:pPr>
      <w:r>
        <w:t>家鸡复杂性状研究已通过 QTL、GWAS、选择扫描和多组学整合积累大量候选位点。但后关联阶段的核心问题已不再是发现更多信号，而是判断已有信号处在何种证据阶段。本文提出家鸡候选位点证据成熟度与育种转化框架，将证据划分为四阶：候选线索（C）、有重复或机制支持的候选（B）、高验证优先级（B+），以及具有完整“变异—分子功能—表型”链条和强功能验证的因果证据（A）。本文的方法学贡献在于将 ClinGen、ACMG/AMP 等临床基因组学中已有的变异解释和证据分级体系适配到家鸡复杂性状和育种转化语境；同时设立独立的 T0/T1/T2 产业适用性轴，纳入群体效应、多性状平衡、动物福利、监管和经济可行性等评估维度，并与 C/B/B+/A 证据轴形成 4×3 评估矩阵。应用该框架揭示出家鸡候选位点的现实证据格局：variant-level A 证据主要集中于 SLCO1B3 蓝壳、BCDO2 黄肤、EDN3 纤维黑变和 SOX5 豌豆冠等主效可见表型；生长、饲料效率、产蛋持续性、肉质和复杂抗病性等多基因经济性状多处于 B/B+ 或 C/B 阶段；抗病性状则呈现 gene/target-level A 证据多于 variant-level A 自然变异证据的非对称格局，如 ANP32A（禽流感宿主因子）和 TVB/NHE1（禽白血病病毒（ALV）受体）。在工具选择上，基因组选择和多性状选择指数主要应用于复杂经济性状长期改良；标记辅助选择主要应用于 variant-level A + T2 主效位点；基因编辑主要应用于少数 gene/target-level A 关键靶点，并前置评估监管、福利和病原逃逸风险。</w:t>
      </w:r>
    </w:p>
    <w:p>
      <w:pPr>
        <w:pStyle w:val="BodyText"/>
      </w:pPr>
      <w:r>
        <w:t>关键词： 家鸡；候选位点；证据成熟度；后关联分析；功能验证；基因组选择；基因编辑</w:t>
      </w:r>
    </w:p>
    <w:bookmarkEnd w:id="20"/>
    <w:bookmarkStart w:id="21" w:name="引言"/>
    <w:p>
      <w:pPr>
        <w:pStyle w:val="Heading2"/>
      </w:pPr>
      <w:r>
        <w:t xml:space="preserve">1 引言</w:t>
      </w:r>
    </w:p>
    <w:p>
      <w:pPr>
        <w:pStyle w:val="FirstParagraph"/>
      </w:pPr>
      <w:r>
        <w:t>家鸡复杂性状研究已通过 QTL、GWAS、选择扫描、重测序和多组学整合积累大量候选区域；截至 Release 58（2025 年 12 月 29 日），Chicken QTLdb 已公开近 3 万条 QTL/eQTL/association 数据（Hu et al., 2016；Animal QTLdb, accessed May 31, 2026）。瓶颈已从信号发现转向：如何从候选信号建立可用于育种决策的因果证据。</w:t>
      </w:r>
    </w:p>
    <w:p>
      <w:pPr>
        <w:pStyle w:val="BodyText"/>
      </w:pPr>
      <w:r>
        <w:t>这一瓶颈来自关联证据与因果归属之间的系统性断层（详见第 2 章）。少数主效可见表型，如黄肤、豌豆冠、纤维黑变和蓝壳，已形成较清楚的“变异—分子功能—表型”链条，可作为强证据参照（Eriksson et al., 2008；Wright et al., 2009；Dorshorst et al., 2011；Wang et al., 2013）；多数复杂经济性状仍缺少同等验证深度（详见第 4 章）。</w:t>
      </w:r>
    </w:p>
    <w:p>
      <w:pPr>
        <w:pStyle w:val="BodyText"/>
      </w:pPr>
      <w:r>
        <w:t>针对这一证据深度的不对称分布，本文借鉴并扩展临床基因组学和循证医学已有的证据分级体系。ClinGen、ACMG/AMP 和 GRADE 已为变异解释、证据权重和干预效果评级提供成熟参照（Guyatt et al., 2008；Rehm et al., 2015；Richards et al., 2015）。本文的核心贡献是将这些体系的核心思路（变异解释、证据权重和应用阶段化）适配到家鸡复杂性状和育种转化语境，并用 T 轴把功能证据强度与产业应用成熟度分开评价。</w:t>
      </w:r>
    </w:p>
    <w:p>
      <w:pPr>
        <w:pStyle w:val="BodyText"/>
      </w:pPr>
      <w:r>
        <w:t>本文将候选证据划分为 C、B、B+ 和 A 四阶，同时设置 T0/T1/T2 产业适用性轴，纳入目标群体效应、多性状平衡、福利、监管和经济可行性。C/B/B+/A 轴回答“证据有多强”，T 轴回答“是否值得用、能否用”。具体判据见第 3 章；不同性状的应用见第 4 章；功能验证路径见第 5 章；工具匹配见第 6 章。</w:t>
      </w:r>
    </w:p>
    <w:p>
      <w:pPr>
        <w:pStyle w:val="BodyText"/>
      </w:pPr>
      <w:r>
        <w:t>本文采用叙述综述（narrative review）形式。检索以 PubMed、Web of Science 和 China National Knowledge Infrastructure（CNKI）为主，范围为 2000 年 1 月至 2024 年 12 月，部分关键文献延伸至 2025 年；关键词为 chicken/poultry 与 GWAS、QTL、causal variant、functional validation、genomic selection、marker-assisted selection（MAS）、gene editing 等组合。文献按性状和证据类型整理，优先纳入具有功能验证或机制证据的代表性位点；本文不做系统综述或 meta 分析。</w:t>
      </w:r>
    </w:p>
    <w:p>
      <w:pPr>
        <w:pStyle w:val="BodyText"/>
      </w:pPr>
      <w:r>
        <w:t>本文希望回答三个更接近育种决策的问题：(1) 哪些证据只能作为候选线索；(2) 哪些证据值得优先进入功能验证；(3) 哪些结果具备进入目标育种群体验证和转化评估的基础。本文将通过四类性状评估表明：(1) 大多数 GWAS、选择扫描和普通差异表达信号在缺少重复、机制支持和功能验证时仅为 C 级候选线索；(2) 优先功能验证应聚焦已具有较完整机制证据但缺少内源或体内验证的 B+ 候选；(3) variant-level A 证据主要集中于主效可见表型，多数复杂经济性状的现实证据上限受性状结构和表型可测量性约束，长期改良仍应以基因组选择（GS）和多性状选择指数为主。</w:t>
      </w:r>
    </w:p>
    <w:bookmarkEnd w:id="21"/>
    <w:bookmarkStart w:id="25" w:name="为什么候选信号不能直接等同于因果位点"/>
    <w:p>
      <w:pPr>
        <w:pStyle w:val="Heading2"/>
      </w:pPr>
      <w:r>
        <w:t xml:space="preserve">2 为什么候选信号不能直接等同于因果位点</w:t>
      </w:r>
    </w:p>
    <w:p>
      <w:pPr>
        <w:pStyle w:val="FirstParagraph"/>
      </w:pPr>
      <w:r>
        <w:t xml:space="preserve">家鸡复杂性状研究中，QTL、GWAS、选择扫描、转录组、表观组、单细胞图谱和多组学整合不断产生新的候选区域、候选基因和候选通路。这些结果对理解复杂性状遗传基础非常重要，但它们提供的通常是不同层级的证据，而不是同一种结论。一个统计关联区域、一个差异表达基因、一个开放染色质片段或一个细胞模型阳性结果，都可能为后续研究提供入口，却不能自动等同于因果变异或可用于育种的功能标记。候选清单的长度并不等于证据的厚度；某个性状已经积累了大量 GWAS 命中，和已经获得一个高可信因果位点，是两个不同问题。因此，在候选信号产生之后的精细定位、机制解析与功能验证阶段，也就是本文所说的后关联阶段，最需要解决的问题不是继续扩大候选基因列表，而是明确不同证据类型各自能说明什么、不能说明什么。</w:t>
      </w:r>
    </w:p>
    <w:bookmarkStart w:id="22" w:name="gwasqtl-和选择信号的证据边界"/>
    <w:p>
      <w:pPr>
        <w:pStyle w:val="Heading3"/>
      </w:pPr>
      <w:r>
        <w:t xml:space="preserve">2.1 GWAS、QTL 和选择信号的证据边界</w:t>
      </w:r>
    </w:p>
    <w:p>
      <w:pPr>
        <w:pStyle w:val="FirstParagraph"/>
      </w:pPr>
      <w:r>
        <w:t xml:space="preserve">QTL 和 GWAS 的主要价值在于发现性状相关的遗传区域。QTL 依赖实验群体中的重组事件，能够提示某一染色体区段与目标性状有关；GWAS 利用自然群体或育种群体中的历史重组，可以在更高分辨率上定位与表型相关的标记。选择扫描则能够识别在驯化、品种形成或人工选择过程中受到选择的基因组区域。这些方法共同构成了候选位点发现的基础。</w:t>
      </w:r>
    </w:p>
    <w:p>
      <w:pPr>
        <w:pStyle w:val="BodyText"/>
      </w:pPr>
      <w:r>
        <w:t xml:space="preserve">但是，统计关联首先回答的是“哪里可能有信号”，而不是“哪个变异导致了表型”。一个显著 SNP 附近存在某个功能相关基因，并不说明该基因就是因果基因；一个 QTL 区间包含多个看似合理的候选基因，也不意味着这些基因都参与性状形成。家鸡群体结构复杂，商业肉鸡、蛋鸡、地方品种、实验资源群体和野生近缘群体之间存在明显遗传背景差异。同一个显著区域在不同群体中可能代表不同连锁背景，也可能由不同因果变异驱动。因此，单一群体中的显著关联通常只能作为候选线索，而不能直接作为功能结论。</w:t>
      </w:r>
    </w:p>
    <w:p>
      <w:pPr>
        <w:pStyle w:val="BodyText"/>
      </w:pPr>
      <w:r>
        <w:t xml:space="preserve">更复杂的变异形式进一步说明了“显著 SNP 不等于因果变异”。家鸡中若干强效表型并非由最显著 SNP 本身解释，而是涉及结构变异、拷贝数变化或组织特异性调控变异。例如，豌豆冠与 SOX5 第 1 内含子中的重复序列扩增有关；黄肤与 BCDO2 在皮肤中的组织特异性调控变异有关；部分性连锁羽速性状也涉及 Z 染色体 PRLR/SPEF2 相关区域的复杂变异。这些案例说明，当显著 SNP 只是与更复杂的功能变异处于连锁不平衡时，原始关联峰可能偏离真实因果位点。仅依赖常规 SNP 关联，往往难以识别这类变异结构，也难以判断真正发挥作用的是 SNP 本身，还是其背后的结构变异、单倍型或参考基因组缺失序列。</w:t>
      </w:r>
    </w:p>
    <w:p>
      <w:pPr>
        <w:pStyle w:val="BodyText"/>
      </w:pPr>
      <w:r>
        <w:t xml:space="preserve">选择信号也存在类似边界。某一区域在群体比较中表现出选择特征，说明它可能与驯化、环境适应或人工选择有关，但选择信号本身并不能说明具体目标性状、因果变异和作用机制。尤其是在地方品种和环境适应研究中，群体瓶颈、奠基者效应、遗传漂变、迁徙历史、共享祖先多态性和共同环境，都可能产生与真实选择难以区分的扫描信号。如果缺少共同环境试验、跨群体验证、功能注释和表型关联，选择扫描结果更适合作为候选区域，而不是直接写成适应性因果位点。</w:t>
      </w:r>
    </w:p>
    <w:p>
      <w:pPr>
        <w:pStyle w:val="BodyText"/>
      </w:pPr>
      <w:r>
        <w:t xml:space="preserve">产蛋性状中的若干重复信号可以说明统计证据的价值和边界。PRLR 附近区域、NCAPG-FAM184B 区段以及鸡 Z 染色体（GGAZ）上部分区域在多个产蛋相关 GWAS 中反复出现，提示这些区域具有较高的验证优先级。可是，在具体因果变异、靶组织、作用阶段和目标育种群体效应尚未明确之前，它们更适合作为精细定位、跨群体验证和 GS 加权先验的对象，而不是直接作为功能标记进入 MAS。</w:t>
      </w:r>
    </w:p>
    <w:p>
      <w:pPr>
        <w:pStyle w:val="BodyText"/>
      </w:pPr>
      <w:r>
        <w:t xml:space="preserve">因此，QTL、GWAS 和选择扫描通常应被视为证据链的起点。它们可以提出候选区域，帮助确定后续精细定位和功能验证方向，但不能单独完成从“关联”到“因果”的转换。只有当关联信号在独立群体或相关性状中重复出现，并进一步与明确变异、分子机制和功能后果相连接时，候选位点的证据成熟度才会真正提高。即使在某一群体中已经获得较强证据，该证据也不能自动推广到所有品系或育种群体；因果异质性和跨群体迁移性本身就需要单独评估。</w:t>
      </w:r>
    </w:p>
    <w:bookmarkEnd w:id="22"/>
    <w:bookmarkStart w:id="23" w:name="差异表达多组学共定位和功能注释的解释边界"/>
    <w:p>
      <w:pPr>
        <w:pStyle w:val="Heading3"/>
      </w:pPr>
      <w:r>
        <w:t xml:space="preserve">2.2 差异表达、多组学共定位和功能注释的解释边界</w:t>
      </w:r>
    </w:p>
    <w:p>
      <w:pPr>
        <w:pStyle w:val="FirstParagraph"/>
      </w:pPr>
      <w:r>
        <w:t xml:space="preserve">转录组和多组学研究常被用于解释候选区域中的可能作用基因。高低表型组之间的差异表达、目标组织中的高表达、通路富集、染色质开放、转录因子结合位点、三维互作和单细胞表达模式，都可以增强候选基因的生物学合理性。这些证据的价值在于帮助研究者判断候选信号可能在哪个组织、哪个细胞类型、哪个发育阶段或哪个调控网络中发挥作用。</w:t>
      </w:r>
    </w:p>
    <w:p>
      <w:pPr>
        <w:pStyle w:val="BodyText"/>
      </w:pPr>
      <w:r>
        <w:t xml:space="preserve">不过，表达相关不等于因果驱动。一个基因在高低表型组之间差异表达，可能是性状形成的原因，也可能是性状变化后的结果，还可能是由共同上游因素造成的伴随变化。通路富集同样只能说明某类基因集合在统计上被富集，不能证明其中某个基因或某个变异具有因果作用。对于复杂经济性状而言，组织状态、日龄、营养、环境、性别、健康状况和取样时间都会影响表达结果。若缺少遗传变异层面的支持，仅凭差异表达把某个基因写成因果基因，证据是不充分的。</w:t>
      </w:r>
    </w:p>
    <w:p>
      <w:pPr>
        <w:pStyle w:val="BodyText"/>
      </w:pPr>
      <w:r>
        <w:t xml:space="preserve">功能注释资源也需要谨慎使用。候选 SNP 落在开放染色质区域、增强子区域或目标细胞类型表达基因附近，可以提高其作为调控变异的可能性，但空间重叠并不等于同一遗传信号。真正有力的机制证据应尽量证明关联信号与表达、剪接、甲基化或染色质状态之间存在一致的遗传基础。coloc、SMR/HEIDI、eCAVIAR 等共定位框架，可以部分检验关联信号与分子表型是否可能共享同一因果变异；等位基因特异表达、等位基因特异染色质开放或方向一致的调控效应，也通常比单纯“附近有开放染色质”更有说服力。不过，这些方法本身仍受样本量、组织覆盖、连锁不平衡结构、检验功效和分子表型质量限制，不能直接解释为因果证明。</w:t>
      </w:r>
    </w:p>
    <w:p>
      <w:pPr>
        <w:pStyle w:val="BodyText"/>
      </w:pPr>
      <w:r>
        <w:t xml:space="preserve">PHIP 非编码变异和 rs734209466–IGFBP2/IGFBP5 调控链可以作为较强机制证据的例子。前者提示非编码变异可能通过转录因子结合和 PHIP 表达影响颗粒细胞相关功能；后者提示等位基因特异增强子和三维调控可能参与 IGFBP2/IGFBP5 表达及脂前体细胞表型调节。这类研究明显强于普通 GWAS 邻近基因注释，也能显著提高候选位点的验证优先级。可是，只要还缺少内源编辑、体内因果验证、跨群体重复或目标育种群体稳定性评估，它们仍应被解释为中高强度机制证据，而不是直接上升为强因果证据或应用位点。</w:t>
      </w:r>
    </w:p>
    <w:p>
      <w:pPr>
        <w:pStyle w:val="BodyText"/>
      </w:pPr>
      <w:r>
        <w:t xml:space="preserve">单细胞图谱可以提高候选信号的细胞类型定位精度，但这种提升增加的是解释分辨率，而不是因果性。单细胞证据可以回答某个候选基因可能在哪类细胞中表达、在什么发育阶段活跃、与哪些细胞状态相关，却不能直接回答候选变异是否驱动性状分化。它在证据链中适合作为一致性证据出现，不适合作为升级到因果结论的独立依据。只有当单细胞表达模式与遗传关联、分子 QTL、等位基因特异调控或扰动实验形成一致证据链时，它才更适合作为候选位点证据升级的依据。</w:t>
      </w:r>
    </w:p>
    <w:p>
      <w:pPr>
        <w:pStyle w:val="BodyText"/>
      </w:pPr>
      <w:r>
        <w:t xml:space="preserve">表型测量质量也会限制多组学证据能够达到的上限。无论上游分子证据多复杂，最终判定仍依赖表型本身是否稳定、可重复、可比较。蛋品质、饲料效率、肉质、抗病终点和地方适应指标的测定重复性差异，会直接影响关联信号的可靠性，也会系统性压缩下游分子证据可能达到的因果强度。如果表型定义不一致、测量误差较大或环境控制不足，即使获得差异表达或功能注释支持，证据等级也不宜过度提高。</w:t>
      </w:r>
    </w:p>
    <w:p>
      <w:pPr>
        <w:pStyle w:val="BodyText"/>
      </w:pPr>
      <w:r>
        <w:t xml:space="preserve">因此，多组学和功能注释的主要作用，是把统计关联放入更合理的生物学语境中，而不是替代因果验证。它们可以把单纯候选线索推进到更值得验证的对象，但通常不足以单独支持强因果结论。</w:t>
      </w:r>
    </w:p>
    <w:bookmarkEnd w:id="23"/>
    <w:bookmarkStart w:id="24" w:name="体外功能实验与体内因果证据的区别"/>
    <w:p>
      <w:pPr>
        <w:pStyle w:val="Heading3"/>
      </w:pPr>
      <w:r>
        <w:t xml:space="preserve">2.3 体外功能实验与体内因果证据的区别</w:t>
      </w:r>
    </w:p>
    <w:p>
      <w:pPr>
        <w:pStyle w:val="FirstParagraph"/>
      </w:pPr>
      <w:r>
        <w:t xml:space="preserve">功能实验是候选位点证据升级的关键环节，但不同实验体系提供的证据强度并不相同。报告基因实验可以检验某段序列是否具有调控活性；过表达、敲低或细胞模型可以判断某个基因是否影响细胞表型；CRISPRa/i 可以测试调控方向；体外病毒复制实验可以初步评估宿主因子对病原复制的影响。这些实验比单纯关联或表达证据更进一步，但这类实验结果多数仍属于中等强度功能证据。</w:t>
      </w:r>
    </w:p>
    <w:p>
      <w:pPr>
        <w:pStyle w:val="BodyText"/>
      </w:pPr>
      <w:r>
        <w:t xml:space="preserve">报告基因实验的边界尤其需要写清楚。它通常把候选序列从原生染色质环境中剥离，放入人工载体或简化的调控上下文中检验转录调控潜力。阳性结果说明该序列有能力驱动或改变转录，但不能说明它在目标组织、目标发育阶段、目标染色质状态和目标遗传背景下实际上承担相同调控功能。类似地，过表达或敲低实验能够显示某个基因具有影响细胞状态的能力，却不能证明自然群体中的某个等位变异正是通过该基因驱动表型差异。细胞模型阳性也不能直接外推为体内表型成立，尤其是对于产蛋、饲料效率、抗病性、肉质和适应性这类多组织、多阶段、多环境共同参与的复杂性状。</w:t>
      </w:r>
    </w:p>
    <w:p>
      <w:pPr>
        <w:pStyle w:val="BodyText"/>
      </w:pPr>
      <w:r>
        <w:t xml:space="preserve">更强的功能证据通常需要把候选变异、内源分子效应和体内表型连接起来。内源编辑、自然突变或等位基因导入、PGC 介导编辑、体内模型、救援实验以及在目标群体中的等位基因效应验证，能够更直接地回答候选变异或靶点是否影响表型。对于自然变异位点，理想证据链应包括明确变异、可靠分型、稳定关联、目标组织中的分子效应、功能扰动结果和体内表型后果。对于编辑靶点，强功能证据可以证明基因或靶点影响某一表型，但仍不能自动证明自然群体中存在可直接利用的功能等位变异。</w:t>
      </w:r>
    </w:p>
    <w:p>
      <w:pPr>
        <w:pStyle w:val="BodyText"/>
      </w:pPr>
      <w:r>
        <w:t xml:space="preserve">功能与应用的区分对抗病和基因编辑研究尤其重要。以宿主因子编辑研究为例，编辑后表现出抗病表型可以证明该基因具有功能作用，但是否能进入育种应用，受病原逃逸、补偿通路、多性状影响、动物福利、监管路径和产业接受度等独立因素约束。换言之，强功能证据回答的是“靶点是否有功能”，而育种应用还需要单独回答“在目标群体中是否值得用、能否用、用多少”。因此，功能验证强度和育种转化成熟度应作为两个不同问题处理：前者回答生物学因果性，后者回答育种转化适用性。这也是本文将证据成熟度与产业适用性分开评价的原因。</w:t>
      </w:r>
    </w:p>
    <w:p>
      <w:pPr>
        <w:pStyle w:val="BodyText"/>
      </w:pPr>
      <w:r>
        <w:t xml:space="preserve">综上，候选信号从发现到应用至少要经历几个层次：统计关联提出线索，多组学和功能注释提供机制语境，体外实验提供初步功能支持，内源或体内证据增强因果判断，目标群体验证和多性状评估决定育种适用性。只有区分这些层次，才能避免把候选线索提前包装成因果位点，也能更合理地分配后续验证投入。基于这一逻辑，下一节将把候选位点证据拆分为变异明确度、统计重复性与稳健性、分子机制支持和功能验证强度四个维度，并将目标群体、多性状、福利、监管和经济可行性作为独立产业适用性轴处理。</w:t>
      </w:r>
    </w:p>
    <w:bookmarkEnd w:id="24"/>
    <w:bookmarkEnd w:id="25"/>
    <w:bookmarkStart w:id="31" w:name="家鸡候选位点的证据成熟度框架"/>
    <w:p>
      <w:pPr>
        <w:pStyle w:val="Heading2"/>
      </w:pPr>
      <w:r>
        <w:t xml:space="preserve">3 家鸡候选位点的证据成熟度框架</w:t>
      </w:r>
    </w:p>
    <w:p>
      <w:pPr>
        <w:pStyle w:val="FirstParagraph"/>
      </w:pPr>
      <w:r>
        <w:t xml:space="preserve">第 2 章讨论的是为什么候选信号不能直接等同于因果位点。本章进一步把这种判断转化为一个可操作的证据成熟度框架。这个框架的目的不是替代数量遗传评估，也不是建立已经被外部验证的正式指南，而是为家鸡复杂性状候选位点提供一种更清楚的讨论语言：一个信号目前是统计线索、机制候选、强验证对象，还是已经接近因果位点；它是否只具有生物学证据，还是已经具备进入具体育种场景的条件。</w:t>
      </w:r>
    </w:p>
    <w:p>
      <w:pPr>
        <w:pStyle w:val="BodyText"/>
      </w:pPr>
      <w:r>
        <w:t xml:space="preserve">本文将候选位点证据分为 C、B、B+ 和 A 四个阶段，并用四个维度进行判断：变异明确度、统计重复性与稳健性、分子机制支持和功能验证强度。与此同时，目标育种群体效应、预测增益、多性状平衡、动物福利、监管路径和经济可行性不纳入 C/B/B+/A 证据等级，而是作为独立的 T0/T1/T2 产业适用性轴处理。这样做的核心原因是：证明一个位点“有功能”和证明它“适合用于育种”，不是同一个问题。前者关注生物学因果性，后者关注育种转化适用性。</w:t>
      </w:r>
    </w:p>
    <w:bookmarkStart w:id="26" w:name="四个证据维度变异明确度重复性机制支持和功能验证"/>
    <w:p>
      <w:pPr>
        <w:pStyle w:val="Heading3"/>
      </w:pPr>
      <w:r>
        <w:t xml:space="preserve">3.1 四个证据维度：变异明确度、重复性、机制支持和功能验证</w:t>
      </w:r>
    </w:p>
    <w:p>
      <w:pPr>
        <w:pStyle w:val="FirstParagraph"/>
      </w:pPr>
      <w:r>
        <w:t xml:space="preserve">第一个维度是变异明确度。对于自然变异位点，关键问题是候选信号是否已经从宽泛的 QTL 区间、GWAS 峰或最近基因注释，推进到具体等位变异、结构变异、单倍型或较可信的候选变异集合。如果仍只是“显著 SNP 附近有某个基因”，则变异明确度较低；如果已经明确了具体插入、缺失、拷贝数变化、单倍型或等位变异，并且分型可靠、效应方向清楚，变异明确度才较高。对于基因编辑或靶点研究，此时变异明确度对应的问题是“靶点是否明确”，而非“是否存在可育种的自然等位变异”。</w:t>
      </w:r>
    </w:p>
    <w:p>
      <w:pPr>
        <w:pStyle w:val="BodyText"/>
      </w:pPr>
      <w:r>
        <w:t xml:space="preserve">第二个维度是统计重复性与稳健性。单一群体、单一批次或单一分析模型得到的显著信号，容易受到样本量、群体结构、表型定义、环境差异和统计模型选择的影响。一个候选区域如果在独立群体、不同世代、相关性状、不同生产阶段或不同研究中重复出现，并且方向基本一致，其可信度明显高于单次发现结果。需要注意的是，同一商业品系内不同批次、同一资源群体内不同模型，通常只能提供有限支持；GWAS 与选择扫描的空间重叠也不能直接等同于独立重复。整合多群体的 meta 分析显著性可以作为重复性证据，但应区分“设计上的独立重复”和“统计整合后的显著性”：前者更接近真正的稳健性证明，后者仍需检查群体异质性、效应方向和表型可比性。</w:t>
      </w:r>
    </w:p>
    <w:p>
      <w:pPr>
        <w:pStyle w:val="BodyText"/>
      </w:pPr>
      <w:r>
        <w:t xml:space="preserve">第三个维度是分子机制支持。机制支持的核心不是“这个基因看起来合理”，而是候选信号是否能够连接到目标组织、目标细胞类型、调控元件、分子 QTL、等位基因特异表达、染色质状态或三维互作等证据。普通差异表达、通路富集或最近基因注释只能提供较弱机制线索；目标组织中的表达、开放染色质或细胞类型定位可以增强解释力；而统计学共定位、方向一致的等位基因特异表达、等位基因特异调控或与候选变异一致的分子效应，才更接近较强机制证据。对于非编码变异，机制支持尤其重要，因为其作用往往不在编码改变，而在调控活性、表达量、剪接、组织特异性或发育阶段特异性上。</w:t>
      </w:r>
    </w:p>
    <w:p>
      <w:pPr>
        <w:pStyle w:val="BodyText"/>
      </w:pPr>
      <w:r>
        <w:t xml:space="preserve">第四个维度是功能验证强度。功能验证回答的是候选变异、基因或靶点是否真正影响分子过程、细胞状态或体内表型。报告基因、MPRA、过表达、敲低、细胞模型、CRISPRa/i 或体外病毒复制实验通常属于中等强度功能证据；它们可以证明某段序列或某个基因具有功能潜力，但不一定证明自然群体中的等位变异驱动表型差异。更强的功能证据通常来自内源编辑、自然突变或等位基因导入、PGC 介导编辑、体内模型、救援实验，或具有同等说服力的体内因果证据。对于 A 级证据而言，功能验证强度是硬性门槛，而不是总分可以替代的普通维度。</w:t>
      </w:r>
    </w:p>
    <w:p>
      <w:pPr>
        <w:pStyle w:val="BodyText"/>
      </w:pPr>
      <w:r>
        <w:t xml:space="preserve">表型质量不作为独立证据维度，而是作为所有维度的天花板约束：表型测量越不可靠，无论上游证据多强，候选位点能够达到的证据等级越有限。若表型定义不清、测量误差大、环境控制不足或不同研究之间表型不可比，即使某一候选位点具有统计显著性、表达支持或细胞实验结果，其证据成熟度也不应过度提高。复杂经济性状的证据评价不能脱离表型本身的可靠性。</w:t>
      </w:r>
    </w:p>
    <w:bookmarkEnd w:id="26"/>
    <w:bookmarkStart w:id="27" w:name="cbb-和-a-四级证据的定义"/>
    <w:p>
      <w:pPr>
        <w:pStyle w:val="Heading3"/>
      </w:pPr>
      <w:r>
        <w:t xml:space="preserve">3.2 C、B、B+ 和 A 四级证据的定义</w:t>
      </w:r>
    </w:p>
    <w:p>
      <w:pPr>
        <w:pStyle w:val="FirstParagraph"/>
      </w:pPr>
      <w:r>
        <w:t xml:space="preserve">C 级是默认等级，主要指候选线索。单一 GWAS、QTL、选择信号、RNA-seq 差异表达、通路富集、最近基因注释或低分辨率候选区，在缺少独立重复、明确变异、机制证据和功能验证时，均应首先归为 C 级。C 级证据不是没有价值，它的作用是提出假设、构建候选集合和指导后续验证。C 级位点也可以作为较低权重的功能先验、后续精细定位的备选池或机制研究的入口。但 C 级信号不宜直接写成因果基因，也不宜直接作为 MAS 或编辑靶点进入育种决策。</w:t>
      </w:r>
    </w:p>
    <w:p>
      <w:pPr>
        <w:pStyle w:val="BodyText"/>
      </w:pPr>
      <w:r>
        <w:t xml:space="preserve">B 级表示候选信号已经超越单一发现线索，具有一定统计重复性或机制支持。典型 B 级证据可能包括：关联信号在独立群体或相关性状中重复出现；候选变异与目标组织表达、分子 QTL、等位基因特异表达或调控元件存在较一致证据；或者有报告基因、细胞模型、过表达、敲低等中等强度功能实验支持。B 级候选位点适合作为精细定位、跨群体验证、功能实验优先对象，或作为 GS 模型中的功能先验候选，但通常不应直接视为确定性功能标记。</w:t>
      </w:r>
    </w:p>
    <w:p>
      <w:pPr>
        <w:pStyle w:val="BodyText"/>
      </w:pPr>
      <w:r>
        <w:t xml:space="preserve">B+ 不是独立于 B 的“准 A 级”，而是 B 级内部的高验证优先级。它用于描述那些证据链已经较集中、验证价值较高，但仍缺少内源、体内或自然变异层面强验证的候选位点。操作上，B+ 通常要求至少两个关键维度在变异明确度、机制支持或功能线索上达到较强水平，并且这些维度之间能够相互印证；但只要尚未触及 A 级所要求的强功能验证硬门槛，就不应升为 A。换言之，B+ 的意义是“值得优先投入更强验证”，而不是“已经接近应用”。</w:t>
      </w:r>
    </w:p>
    <w:p>
      <w:pPr>
        <w:pStyle w:val="BodyText"/>
      </w:pPr>
      <w:r>
        <w:t xml:space="preserve">A 级代表强证据，但应严格使用。对于自然变异位点，A 级通常要求形成较完整的“变异或单倍型—分子功能—表型”证据链，并且具有强功能验证支持。这里的强功能验证通常包括内源编辑、自然突变或等位基因导入、PGC 编辑、体内模型、救援实验，或具有同等说服力的体内因果证据。对于主效或寡基因可见表型，若具体变异、组织表达改变、功能后果和表型之间关系清楚，可以作为 variant-level A 的代表。对于编辑靶点，若体内编辑或强扰动证明某基因影响目标表型，可以形成 gene/target-level A；但这不等同于自然群体中存在可直接利用的功能等位变异。variant-level A 和 gene/target-level A 的区别将在第 3.4 节进一步展开。</w:t>
      </w:r>
    </w:p>
    <w:p>
      <w:pPr>
        <w:pStyle w:val="BodyText"/>
      </w:pPr>
      <w:r>
        <w:t xml:space="preserve">因此，本文采用“硬性门槛优先，总分辅助”的判断逻辑。总分可以帮助比较候选位点的相对成熟度，但不能替代关键证据。一个候选位点即使在变异明确度、重复性和机制支持上得分较高，只要缺少强功能验证，也不应自动升为 A 级。反过来，一个编辑靶点即使具有强功能实验结果，如果缺少自然变异、群体效应或应用边界评估，也不能被写成成熟的育种标记。</w:t>
      </w:r>
    </w:p>
    <w:p>
      <w:pPr>
        <w:pStyle w:val="BodyText"/>
      </w:pPr>
      <w:r>
        <w:t xml:space="preserve">表 1 总结了 C、B、B+ 和 A 四级证据在四个维度上的典型表现。该表不是固定打分标准，而是用于提高判断透明度的操作性参照。实际评价时，应遵循“功能验证强度为 A 级硬门槛，其他维度可以增强证据链但不可替代硬门槛”的原则。</w:t>
      </w:r>
    </w:p>
    <w:p>
      <w:pPr>
        <w:pStyle w:val="BodyText"/>
      </w:pPr>
      <w:r>
        <w:rPr>
          <w:b/>
          <w:bCs/>
        </w:rPr>
        <w:t xml:space="preserve">表 1 家鸡候选位点 C、B、B+ 和 A 级证据的典型判定特征</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证据维度</w:t>
            </w:r>
          </w:p>
        </w:tc>
        <w:tc>
          <w:tcPr/>
          <w:p>
            <w:pPr>
              <w:pStyle w:val="Compact"/>
              <w:jc w:val="left"/>
            </w:pPr>
            <w:r>
              <w:t xml:space="preserve">C：候选线索</w:t>
            </w:r>
          </w:p>
        </w:tc>
        <w:tc>
          <w:tcPr/>
          <w:p>
            <w:pPr>
              <w:pStyle w:val="Compact"/>
              <w:jc w:val="left"/>
            </w:pPr>
            <w:r>
              <w:t xml:space="preserve">B：机制或重复性支持</w:t>
            </w:r>
          </w:p>
        </w:tc>
        <w:tc>
          <w:tcPr/>
          <w:p>
            <w:pPr>
              <w:pStyle w:val="Compact"/>
              <w:jc w:val="left"/>
            </w:pPr>
            <w:r>
              <w:t xml:space="preserve">B+：高验证优先级</w:t>
            </w:r>
          </w:p>
        </w:tc>
        <w:tc>
          <w:tcPr/>
          <w:p>
            <w:pPr>
              <w:pStyle w:val="Compact"/>
              <w:jc w:val="left"/>
            </w:pPr>
            <w:r>
              <w:t xml:space="preserve">A：强功能证据</w:t>
            </w:r>
          </w:p>
        </w:tc>
      </w:tr>
      <w:tr>
        <w:tc>
          <w:tcPr/>
          <w:p>
            <w:pPr>
              <w:pStyle w:val="Compact"/>
              <w:jc w:val="left"/>
            </w:pPr>
            <w:r>
              <w:t xml:space="preserve">变异明确度</w:t>
            </w:r>
          </w:p>
        </w:tc>
        <w:tc>
          <w:tcPr/>
          <w:p>
            <w:pPr>
              <w:pStyle w:val="Compact"/>
              <w:jc w:val="left"/>
            </w:pPr>
            <w:r>
              <w:t xml:space="preserve">低分辨率 QTL 区间、GWAS 峰、最近基因注释或候选基因；因果变异未知。</w:t>
            </w:r>
          </w:p>
        </w:tc>
        <w:tc>
          <w:tcPr/>
          <w:p>
            <w:pPr>
              <w:pStyle w:val="Compact"/>
              <w:jc w:val="left"/>
            </w:pPr>
            <w:r>
              <w:t xml:space="preserve">候选区域已缩小，存在较可信候选变异、单倍型或结构变异，但 LD、分型或因果归属仍未充分排除。</w:t>
            </w:r>
          </w:p>
        </w:tc>
        <w:tc>
          <w:tcPr/>
          <w:p>
            <w:pPr>
              <w:pStyle w:val="Compact"/>
              <w:jc w:val="left"/>
            </w:pPr>
            <w:r>
              <w:t xml:space="preserve">候选变异、单倍型或结构变异相对明确，分型较可靠，并与机制证据或功能线索互相支持。</w:t>
            </w:r>
          </w:p>
        </w:tc>
        <w:tc>
          <w:tcPr/>
          <w:p>
            <w:pPr>
              <w:pStyle w:val="Compact"/>
              <w:jc w:val="left"/>
            </w:pPr>
            <w:r>
              <w:t xml:space="preserve">variant-level A 要求因果变异或单倍型证据较完整；gene/target-level A 要求功能靶点明确。</w:t>
            </w:r>
          </w:p>
        </w:tc>
      </w:tr>
      <w:tr>
        <w:tc>
          <w:tcPr/>
          <w:p>
            <w:pPr>
              <w:pStyle w:val="Compact"/>
              <w:jc w:val="left"/>
            </w:pPr>
            <w:r>
              <w:t xml:space="preserve">统计重复性与稳健性</w:t>
            </w:r>
          </w:p>
        </w:tc>
        <w:tc>
          <w:tcPr/>
          <w:p>
            <w:pPr>
              <w:pStyle w:val="Compact"/>
              <w:jc w:val="left"/>
            </w:pPr>
            <w:r>
              <w:t xml:space="preserve">单一群体、单一批次或单一模型发现；群体结构、表型定义或样本量可能影响结果。</w:t>
            </w:r>
          </w:p>
        </w:tc>
        <w:tc>
          <w:tcPr/>
          <w:p>
            <w:pPr>
              <w:pStyle w:val="Compact"/>
              <w:jc w:val="left"/>
            </w:pPr>
            <w:r>
              <w:t xml:space="preserve">在独立群体、相关性状、不同生产阶段或有限外部研究中有方向一致的支持。</w:t>
            </w:r>
          </w:p>
        </w:tc>
        <w:tc>
          <w:tcPr/>
          <w:p>
            <w:pPr>
              <w:pStyle w:val="Compact"/>
              <w:jc w:val="left"/>
            </w:pPr>
            <w:r>
              <w:t xml:space="preserve">多群体、多阶段、多性状或多模型证据相互支持，但仍需要更强因果验证。</w:t>
            </w:r>
          </w:p>
        </w:tc>
        <w:tc>
          <w:tcPr/>
          <w:p>
            <w:pPr>
              <w:pStyle w:val="Compact"/>
              <w:jc w:val="left"/>
            </w:pPr>
            <w:r>
              <w:t xml:space="preserve">统计证据与机制证据、功能证据方向一致；跨群体稳健性有助于提高可信度，但不能替代功能验证。</w:t>
            </w:r>
          </w:p>
        </w:tc>
      </w:tr>
      <w:tr>
        <w:tc>
          <w:tcPr/>
          <w:p>
            <w:pPr>
              <w:pStyle w:val="Compact"/>
              <w:jc w:val="left"/>
            </w:pPr>
            <w:r>
              <w:t xml:space="preserve">分子机制支持</w:t>
            </w:r>
          </w:p>
        </w:tc>
        <w:tc>
          <w:tcPr/>
          <w:p>
            <w:pPr>
              <w:pStyle w:val="Compact"/>
              <w:jc w:val="left"/>
            </w:pPr>
            <w:r>
              <w:t xml:space="preserve">最近基因注释、普通差异表达、通路富集或低分辨率功能注释。</w:t>
            </w:r>
          </w:p>
        </w:tc>
        <w:tc>
          <w:tcPr/>
          <w:p>
            <w:pPr>
              <w:pStyle w:val="Compact"/>
              <w:jc w:val="left"/>
            </w:pPr>
            <w:r>
              <w:t xml:space="preserve">目标组织表达、染色质开放、细胞类型定位、3D 互作或调控元件证据与候选信号相符。</w:t>
            </w:r>
          </w:p>
        </w:tc>
        <w:tc>
          <w:tcPr/>
          <w:p>
            <w:pPr>
              <w:pStyle w:val="Compact"/>
              <w:jc w:val="left"/>
            </w:pPr>
            <w:r>
              <w:t xml:space="preserve">分子 QTL 共定位、等位基因特异表达、等位基因特异调控或多个机制证据形成同向支持。</w:t>
            </w:r>
          </w:p>
        </w:tc>
        <w:tc>
          <w:tcPr/>
          <w:p>
            <w:pPr>
              <w:pStyle w:val="Compact"/>
              <w:jc w:val="left"/>
            </w:pPr>
            <w:r>
              <w:t xml:space="preserve">机制证据能够连接变异或靶点、分子效应和表型后果，并与强功能验证一致。</w:t>
            </w:r>
          </w:p>
        </w:tc>
      </w:tr>
      <w:tr>
        <w:tc>
          <w:tcPr/>
          <w:p>
            <w:pPr>
              <w:pStyle w:val="Compact"/>
              <w:jc w:val="left"/>
            </w:pPr>
            <w:r>
              <w:t xml:space="preserve">功能验证强度</w:t>
            </w:r>
          </w:p>
        </w:tc>
        <w:tc>
          <w:tcPr/>
          <w:p>
            <w:pPr>
              <w:pStyle w:val="Compact"/>
              <w:jc w:val="left"/>
            </w:pPr>
            <w:r>
              <w:t xml:space="preserve">无扰动实验；仅有相关性观察。</w:t>
            </w:r>
          </w:p>
        </w:tc>
        <w:tc>
          <w:tcPr/>
          <w:p>
            <w:pPr>
              <w:pStyle w:val="Compact"/>
              <w:jc w:val="left"/>
            </w:pPr>
            <w:r>
              <w:t xml:space="preserve">报告基因、MPRA、过表达、敲低、细胞模型、CRISPRa/i 或体外实验提供初步功能支持。</w:t>
            </w:r>
          </w:p>
        </w:tc>
        <w:tc>
          <w:tcPr/>
          <w:p>
            <w:pPr>
              <w:pStyle w:val="Compact"/>
              <w:jc w:val="left"/>
            </w:pPr>
            <w:r>
              <w:t xml:space="preserve">多种中等强度功能证据互相印证，但缺少内源、体内或自然变异层面的强验证。</w:t>
            </w:r>
          </w:p>
        </w:tc>
        <w:tc>
          <w:tcPr/>
          <w:p>
            <w:pPr>
              <w:pStyle w:val="Compact"/>
              <w:jc w:val="left"/>
            </w:pPr>
            <w:r>
              <w:t xml:space="preserve">硬门槛：内源编辑、自然突变或等位基因导入、PGC 编辑、体内模型、救援实验，或同等说服力的体内因果证据。</w:t>
            </w:r>
          </w:p>
        </w:tc>
      </w:tr>
      <w:tr>
        <w:tc>
          <w:tcPr/>
          <w:p>
            <w:pPr>
              <w:pStyle w:val="Compact"/>
              <w:jc w:val="left"/>
            </w:pPr>
            <w:r>
              <w:t xml:space="preserve">典型用途</w:t>
            </w:r>
          </w:p>
        </w:tc>
        <w:tc>
          <w:tcPr/>
          <w:p>
            <w:pPr>
              <w:pStyle w:val="Compact"/>
              <w:jc w:val="left"/>
            </w:pPr>
            <w:r>
              <w:t xml:space="preserve">候选清单、假设生成、低权重功能先验、后续精细定位入口。</w:t>
            </w:r>
          </w:p>
        </w:tc>
        <w:tc>
          <w:tcPr/>
          <w:p>
            <w:pPr>
              <w:pStyle w:val="Compact"/>
              <w:jc w:val="left"/>
            </w:pPr>
            <w:r>
              <w:t xml:space="preserve">精细定位、跨群体验证、机制实验、GS 功能先验。</w:t>
            </w:r>
          </w:p>
        </w:tc>
        <w:tc>
          <w:tcPr/>
          <w:p>
            <w:pPr>
              <w:pStyle w:val="Compact"/>
              <w:jc w:val="left"/>
            </w:pPr>
            <w:r>
              <w:t xml:space="preserve">优先功能验证对象；不等同于应用成熟。</w:t>
            </w:r>
          </w:p>
        </w:tc>
        <w:tc>
          <w:tcPr/>
          <w:p>
            <w:pPr>
              <w:pStyle w:val="Compact"/>
              <w:jc w:val="left"/>
            </w:pPr>
            <w:r>
              <w:t xml:space="preserve">功能标记、主效位点管理或编辑靶点评估的候选前提；仍需 T 轴评估应用成熟度。</w:t>
            </w:r>
          </w:p>
        </w:tc>
      </w:tr>
    </w:tbl>
    <w:bookmarkEnd w:id="27"/>
    <w:bookmarkStart w:id="28" w:name="t0t1t2产业适用性不能混入证据等级"/>
    <w:p>
      <w:pPr>
        <w:pStyle w:val="Heading3"/>
      </w:pPr>
      <w:r>
        <w:t xml:space="preserve">3.3 T0/T1/T2：产业适用性不能混入证据等级</w:t>
      </w:r>
    </w:p>
    <w:p>
      <w:pPr>
        <w:pStyle w:val="FirstParagraph"/>
      </w:pPr>
      <w:r>
        <w:t xml:space="preserve">证据成熟度和产业适用性必须分开。C、B、B+ 和 A 评价的是候选位点的生物学证据链；T0、T1 和 T2 评价的是该证据能否进入具体育种场景。一个位点可以具有较强功能证据，但尚未在目标育种群体中验证；也可以在某个群体中具有预测价值，却缺少足够强的机制解释。把这两类问题混在一起，会造成循环判断：既把目标群体验证当作证据等级的一部分，又把它当作应用前置条件。</w:t>
      </w:r>
    </w:p>
    <w:p>
      <w:pPr>
        <w:pStyle w:val="BodyText"/>
      </w:pPr>
      <w:r>
        <w:t xml:space="preserve">T 轴主要适用于 B+ 与 A 级证据。C 级与多数 B 级位点通常默认为 T0，因为它们尚未达到值得评估产业适用性的阶段。对这些位点，更合适的任务是精细定位、重复验证、机制解释和功能实验，而不是直接评价产业应用成熟度。当然，如果某个 B 级位点已经在目标群体中显示稳定预测价值，也可以报告其 T 轴状态，但必须明确这是育种预测价值，而非因果证据升级。</w:t>
      </w:r>
    </w:p>
    <w:p>
      <w:pPr>
        <w:pStyle w:val="BodyText"/>
      </w:pPr>
      <w:r>
        <w:t xml:space="preserve">T0 表示目标育种群体中尚未验证。一个候选位点可能有统计关联、机制支持甚至体内功能证据，但如果尚未在目标商业群体、地方品种或实际育种群体中评估等位基因频率、效应方向、遗传背景依赖和多性状影响，就应标为 T0。T0 并不否定该位点的生物学价值，只说明它尚不能直接进入应用决策。</w:t>
      </w:r>
    </w:p>
    <w:p>
      <w:pPr>
        <w:pStyle w:val="BodyText"/>
      </w:pPr>
      <w:r>
        <w:t xml:space="preserve">T1 表示在一个目标群体或目标环境中有初步验证。此时研究者可能已经了解候选等位基因在目标群体中的频率，初步确认了效应方向或潜在风险，也可能在特定生产环境中观察到一定应用价值。经验上，T1 通常对应应用试点、单环境验证、先导研究或特定群体中的初步风险评估。但 T1 仍然不是成熟应用等级，因为它通常缺少跨世代、跨环境、多性状和真实选择流程中的验证。</w:t>
      </w:r>
    </w:p>
    <w:p>
      <w:pPr>
        <w:pStyle w:val="BodyText"/>
      </w:pPr>
      <w:r>
        <w:t xml:space="preserve">T2 表示较高产业适用性。达到 T2 通常需要在目标育种体系中完成更充分评估，包括跨世代或跨环境稳定性、预测增益、实际选择反应、多性状平衡、遗传多样性、动物福利、监管可接受性和经济权重。经验上，T2 更接近已被纳入主流育种流程、商业品系常规决策或多场景稳定应用的状态。T2 应绑定具体应用场景，不可在性状、群体和育种目标层面泛化。一个位点可以对壳色管理达到较高应用成熟度，但不能因此自动对产蛋数、蛋壳强度或综合蛋品质达到同样成熟度。</w:t>
      </w:r>
    </w:p>
    <w:p>
      <w:pPr>
        <w:pStyle w:val="BodyText"/>
      </w:pPr>
      <w:r>
        <w:t xml:space="preserve">这种分离有助于避免两类常见误用。第一，把强功能证据直接写成商业可用。例如，某个编辑靶点在体内模型中影响病毒复制，并不意味着它已经适合产业化抗病育种。第二，把群体应用价值反过来当作因果证明。例如，某个标记在特定育种群体中有预测价值，也不等于它本身就是因果变异。证据轴和产业轴分开，可以同时保留生物学判断和育种判断的边界。C/B/B+/A 与 T0/T1/T2 形成一个 4×3 评估矩阵；下一章将通过不同性状中的代表性位点说明这一矩阵中若干典型组合的实际含义。</w:t>
      </w:r>
    </w:p>
    <w:bookmarkEnd w:id="28"/>
    <w:bookmarkStart w:id="29" w:name="variant-level-a-与-genetarget-level-a-的区别"/>
    <w:p>
      <w:pPr>
        <w:pStyle w:val="Heading3"/>
      </w:pPr>
      <w:r>
        <w:t xml:space="preserve">3.4 variant-level A 与 gene/target-level A 的区别</w:t>
      </w:r>
    </w:p>
    <w:p>
      <w:pPr>
        <w:pStyle w:val="FirstParagraph"/>
      </w:pPr>
      <w:r>
        <w:t xml:space="preserve">A 级证据还需要进一步区分 variant-level A 和 gene/target-level A。二者都可以代表强功能证据，但解释对象和育种含义不同。</w:t>
      </w:r>
    </w:p>
    <w:p>
      <w:pPr>
        <w:pStyle w:val="BodyText"/>
      </w:pPr>
      <w:r>
        <w:t xml:space="preserve">variant-level A 指自然变异或单倍型层面的强证据。它要求候选变异或单倍型较明确，并且能够把变异、分子功能和表型后果连接起来。典型情况包括主效表型、寡基因表型或结构变异控制的可见性状。这类证据最接近功能标记或主效位点管理，因为它直接回答的是自然群体中哪个变异与表型形成有关。不过，即使是 variant-level A，也不等于无条件产业应用。是否应用仍取决于 T 轴：目标群体中是否存在该等位基因，效应是否稳定，是否影响其他性状，是否符合育种目标。</w:t>
      </w:r>
    </w:p>
    <w:p>
      <w:pPr>
        <w:pStyle w:val="BodyText"/>
      </w:pPr>
      <w:r>
        <w:t xml:space="preserve">gene/target-level A 指基因或靶点层面的强证据。它可以由编辑、敲除、敲入、体内模型或强扰动实验支持，说明某个基因或靶点对表型具有功能作用。抗病编辑研究中的宿主因子就是典型例子：编辑结果可以证明该靶点参与病毒复制或感染结局，但并不证明自然群体中存在可直接选择的功能等位变异，也不证明该靶点已经适合产业育种。对于 gene/target-level A，尤其需要在 T 轴中单独评估遗传背景、补偿通路、多性状影响、动物福利、病原逃逸、监管路径和产业接受度。</w:t>
      </w:r>
    </w:p>
    <w:p>
      <w:pPr>
        <w:pStyle w:val="BodyText"/>
      </w:pPr>
      <w:r>
        <w:t xml:space="preserve">一个位点的 variant-level 证据与 gene/target-level 证据应分别报告，不应合并为单一最高等级。某个基因可能在编辑或强扰动实验中达到 gene/target-level A，同时其自然变异证据仍只达到 B 或 B+；这种“非对称证据”本身就是重要信息。它说明该靶点具有明确生物学功能，但尚不能证明自然群体中已有可直接利用的功能等位变异，也不能证明该靶点已经具备产业应用成熟度。</w:t>
      </w:r>
    </w:p>
    <w:p>
      <w:pPr>
        <w:pStyle w:val="BodyText"/>
      </w:pPr>
      <w:r>
        <w:t xml:space="preserve">这个区分可以避免两个方向的误读。第一，不能把 gene/target-level A 误写成自然变异层面的功能标记。第二，也不能因为某个自然变异尚未达到产业应用成熟度，就否定其生物学强证据。variant-level A 解决的是“自然变异是否具有强证据”，gene/target-level A 解决的是“基因或靶点是否具有强功能作用”，T 轴解决的是“是否适合具体育种应用”。</w:t>
      </w:r>
    </w:p>
    <w:bookmarkEnd w:id="29"/>
    <w:bookmarkStart w:id="30" w:name="框架局限启发式工具而非已验证量表"/>
    <w:p>
      <w:pPr>
        <w:pStyle w:val="Heading3"/>
      </w:pPr>
      <w:r>
        <w:t xml:space="preserve">3.5 框架局限：启发式工具，而非已验证量表</w:t>
      </w:r>
    </w:p>
    <w:p>
      <w:pPr>
        <w:pStyle w:val="FirstParagraph"/>
      </w:pPr>
      <w:r>
        <w:t xml:space="preserve">本文提出的 C、B、B+、A 和 T0/T1/T2 框架，是用于叙述性综述的操作性判断工具，而不是已经完成外部验证的客观量表。它的价值在于提高讨论透明度，使读者能够看清一个候选位点的证据来自哪里、强到什么程度、缺哪一环、下一步应该验证什么。它不应被理解为正式指南，也不能替代系统综述、meta 分析、数量遗传评估或目标群体的实际育种验证。</w:t>
      </w:r>
    </w:p>
    <w:p>
      <w:pPr>
        <w:pStyle w:val="BodyText"/>
      </w:pPr>
      <w:r>
        <w:t xml:space="preserve">这一框架仍存在主观性。不同研究者对重复性、机制支持和功能验证强度的判断可能存在差异；不同性状的表型复杂度、可测量性和功能验证难度也不同。例如，对“两个商业品系内重复”是否构成真正独立重复，或对“报告基因阳性加等位基因特异表达”是否足以构成较强机制证据，不同评估者之间可能出现分歧。主效可见表型更容易形成清楚的“变异—功能—表型”链条，而饲料效率、产蛋持续性、肉质、复杂抗病性和地方适应等性状更容易停留在多基因、小效应和环境互作背景下。因此，不同性状之间不宜简单比较“哪个领域更先进”，而应比较各自证据链是否达到该性状条件下可以达到的合理深度。</w:t>
      </w:r>
    </w:p>
    <w:p>
      <w:pPr>
        <w:pStyle w:val="BodyText"/>
      </w:pPr>
      <w:r>
        <w:t xml:space="preserve">如果未来将该框架用于数据库标注、指南制定或正式证据评级，就需要进一步验证其一致性。较合理的做法是预先注册评分规则，选择覆盖主效表型、生长、产蛋、饲料效率、抗病和地方适应等不同类型的代表性位点，由多名独立评估者盲法评分，并报告评估者间一致性和分歧仲裁过程。只有经过这类验证后，框架才有可能从启发式判断工具进一步发展为较稳定的评价体系。</w:t>
      </w:r>
    </w:p>
    <w:p>
      <w:pPr>
        <w:pStyle w:val="BodyText"/>
      </w:pPr>
      <w:r>
        <w:t xml:space="preserve">在本文中，该框架的用途更克制：它帮助组织已有文献，避免把候选线索提前包装成因果位点，也避免把功能验证结果直接等同于育种应用。下一章将以这一框架为基础，比较不同性状中代表性候选位点的证据成熟度，并说明为什么当前家鸡中真正达到 variant-level A 的案例主要集中在主效、寡基因或结构变异控制的表型，而多数复杂经济性状仍处于机制候选或验证优先阶段。</w:t>
      </w:r>
    </w:p>
    <w:bookmarkEnd w:id="30"/>
    <w:bookmarkEnd w:id="31"/>
    <w:bookmarkStart w:id="37" w:name="代表性性状和候选位点的证据成熟度比较"/>
    <w:p>
      <w:pPr>
        <w:pStyle w:val="Heading2"/>
      </w:pPr>
      <w:r>
        <w:t xml:space="preserve">4 代表性性状和候选位点的证据成熟度比较</w:t>
      </w:r>
    </w:p>
    <w:p>
      <w:pPr>
        <w:pStyle w:val="FirstParagraph"/>
      </w:pPr>
      <w:r>
        <w:t xml:space="preserve">家鸡复杂性状覆盖生长、胴体组成、脂肪沉积、饲料效率、繁殖产蛋、蛋品质、抗病免疫、特色表型和地方适应等多个方向。不同性状的遗传结构、表型记录难度和功能验证条件差异很大，因此不能简单按照“报道候选基因数量”评价研究进展。对于主效或寡基因表型，具体变异与表型之间较容易形成清楚链条；而对于生长、饲料效率、产蛋持续性、肉质、抗病性和地方适应等复杂经济性状，候选信号往往受到多基因小效应、环境互作、发育阶段、性别、营养和管理条件共同影响，证据成熟度通常更难提高。</w:t>
      </w:r>
    </w:p>
    <w:p>
      <w:pPr>
        <w:pStyle w:val="BodyText"/>
      </w:pPr>
      <w:r>
        <w:t xml:space="preserve">本章不试图穷尽所有已报道的候选基因，而是按照第 3 章提出的证据成熟度框架，比较不同性状中具有代表性的候选位点。重点回答三个问题：第一，哪些案例已经具有较完整的“变异—功能—表型”链条；第二，哪些信号具有较强重复性或机制支持，值得优先进入功能验证；第三，哪些结果目前仍主要是候选线索，不宜直接作为因果结论或育种标记使用。这样的比较能够更清楚地显示家鸡精准育种中的一个现实边界：当前 variant-level A 证据主要集中在主效、寡基因或结构变异控制的可见表型，而多数复杂经济性状更常处于 B/B+ 或 C/B 阶段。</w:t>
      </w:r>
    </w:p>
    <w:bookmarkStart w:id="32" w:name="生长胴体脂肪沉积与饲料效率"/>
    <w:p>
      <w:pPr>
        <w:pStyle w:val="Heading3"/>
      </w:pPr>
      <w:r>
        <w:t xml:space="preserve">4.1 生长、胴体、脂肪沉积与饲料效率</w:t>
      </w:r>
    </w:p>
    <w:p>
      <w:pPr>
        <w:pStyle w:val="FirstParagraph"/>
      </w:pPr>
      <w:r>
        <w:t xml:space="preserve">生长速度、体型、胴体组成、脂肪沉积和饲料效率是肉鸡育种中的核心经济性状。长期选择显著提高了肉鸡生长速度和胸肌产量，但也带来腹脂沉积、骨骼负担、腿病、代谢压力、肉质异常和动物福利等连带问题。因此，这一类性状不能只按“增重”或“体型”单一指标评价。一个候选位点即使能够增加体重，也必须进一步评估其对骨骼健康、胸肌质量、脂肪沉积、饲料效率、繁殖性能和福利风险的影响。</w:t>
      </w:r>
    </w:p>
    <w:p>
      <w:pPr>
        <w:pStyle w:val="BodyText"/>
      </w:pPr>
      <w:r>
        <w:t xml:space="preserve">在目前家鸡生长相关研究中，IGF2BP1 启动子缺失是证据链较强的代表案例。该案例的重要性不在于再次提出一个“生长候选基因”，而在于把泛基因组发现的参考缺失变异、启动子调控活性、IGF2BP1 表达变化和体型表型联系起来。与普通 GWAS 显著 SNP 附近基因注释相比，这种证据链已经明显向具体结构变异和调控功能推进。IGF2BP1 启动子缺失目前最适合定位为</w:t>
      </w:r>
      <w:r>
        <w:t xml:space="preserve"> </w:t>
      </w:r>
      <w:r>
        <w:rPr>
          <w:b/>
          <w:bCs/>
        </w:rPr>
        <w:t xml:space="preserve">variant-level B+ / T0</w:t>
      </w:r>
      <w:r>
        <w:t xml:space="preserve">：其变异明确度和机制支持较强，但仍缺少内源编辑、等位基因导入或更强体内因果验证，也尚未在目标商业群体中完成系统多性状评估。</w:t>
      </w:r>
    </w:p>
    <w:p>
      <w:pPr>
        <w:pStyle w:val="BodyText"/>
      </w:pPr>
      <w:r>
        <w:t xml:space="preserve">这一评级的关键在于区分“生长机制强候选”和“成熟育种标记”。IGF2BP1 可作为结构变异推动生长性状证据升级的代表，但不宜直接写成 variant-level A 或 T2 应用位点。尤其对于肉鸡生长性状，体型增大本身并不自动等于综合育种价值提高。若目标是进入育种体系，还必须评估该变异在不同商业品系中的等位基因频率、效应方向、连锁背景，以及对腿病、骨骼质量、胸肌异常、肉质、脂肪沉积、饲料效率和繁殖性能的影响。</w:t>
      </w:r>
    </w:p>
    <w:p>
      <w:pPr>
        <w:pStyle w:val="BodyText"/>
      </w:pPr>
      <w:r>
        <w:t xml:space="preserve">脂肪沉积方向中，rs734209466–IGFBP2/IGFBP5 调控链提供了另一个机制证据较强的案例。该研究类型的价值在于把非编码变异、增强子活性、三维调控、靶基因表达和脂前体细胞功能联系起来，使候选信号不再停留在“显著 SNP 附近有脂肪代谢相关基因”的层面。依 3.2 节评级，rs734209466–IGFBP2/IGFBP5 调控链更适合定位为</w:t>
      </w:r>
      <w:r>
        <w:t xml:space="preserve"> </w:t>
      </w:r>
      <w:r>
        <w:rPr>
          <w:b/>
          <w:bCs/>
        </w:rPr>
        <w:t xml:space="preserve">variant-level B+ / T0</w:t>
      </w:r>
      <w:r>
        <w:t xml:space="preserve">：它提示了较清楚的调控路径，也为后续内源编辑、跨群体验证和目标育种群体效应评估提供了方向，但仍不能直接视为 A 级因果位点或成熟 MAS 标记。</w:t>
      </w:r>
    </w:p>
    <w:p>
      <w:pPr>
        <w:pStyle w:val="BodyText"/>
      </w:pPr>
      <w:r>
        <w:t xml:space="preserve">腹脂沉积还具有明显的目标依赖性。过高脂肪沉积会降低饲料利用效率和胴体价值，但极端降低脂肪也可能影响代谢稳态、肉品质、适应性或繁殖表现。因此，脂肪沉积位点的 T 轴评估不能简单按“降脂等位基因频率”判断，而需要放在具体群体的脂肪沉积分布、肉质标准、生产目标和繁殖性能背景下评价。同一位点在白羽肉鸡、黄羽肉鸡或地方鸡资源群体中的应用价值可能完全不同。当前更稳妥的做法，是将 rs734209466–IGFBP2/IGFBP5 这类候选位点作为机制验证对象或 GS 功能先验，而不是直接进入 MAS。</w:t>
      </w:r>
    </w:p>
    <w:p>
      <w:pPr>
        <w:pStyle w:val="BodyText"/>
      </w:pPr>
      <w:r>
        <w:t xml:space="preserve">IMFNCR–PPARG 轴代表另一类证据：调控网络层面的机制案例。它能够帮助解释非编码 RNA、脂肪细胞分化和肌内脂肪沉积之间的联系，但从证据等级上看，它首先是基因调控轴证据，而不是明确自然变异位点证据。按上述维度判定，IMFNCR–PPARG 更适合定位为</w:t>
      </w:r>
      <w:r>
        <w:t xml:space="preserve"> </w:t>
      </w:r>
      <w:r>
        <w:rPr>
          <w:b/>
          <w:bCs/>
        </w:rPr>
        <w:t xml:space="preserve">gene/network-level B / T0</w:t>
      </w:r>
      <w:r>
        <w:t xml:space="preserve">：其机制解释力较强，但自然变异、等位基因效应、群体关联和体内表型之间尚未形成完整链条。它的主要价值在于提示肌内脂肪和肉质形成的调控机制，并为后续候选变异筛选和功能验证提供方向。</w:t>
      </w:r>
    </w:p>
    <w:p>
      <w:pPr>
        <w:pStyle w:val="BodyText"/>
      </w:pPr>
      <w:r>
        <w:t xml:space="preserve">CCKAR 区段可以作为采食和生长方向中较高分辨率候选信号的补充案例。已有研究提示，CCKAR 相关区域可能参与采食行为、生长或能量摄入调控，并在分歧选择群体或精细定位研究中表现出较强候选价值。CCKAR 更适合暂定为</w:t>
      </w:r>
      <w:r>
        <w:t xml:space="preserve"> </w:t>
      </w:r>
      <w:r>
        <w:rPr>
          <w:b/>
          <w:bCs/>
        </w:rPr>
        <w:t xml:space="preserve">variant-level B / T0</w:t>
      </w:r>
      <w:r>
        <w:t xml:space="preserve">；若后续研究能够证明明确调控变异、等位基因效应和细胞或体内功能后果，则可上调为 B+。这个案例说明，在采食和饲料效率这类复杂性状中，即便候选区间已较清楚，也仍需要谨慎区分“精细定位候选”与“强因果位点”。</w:t>
      </w:r>
    </w:p>
    <w:p>
      <w:pPr>
        <w:pStyle w:val="BodyText"/>
      </w:pPr>
      <w:r>
        <w:t xml:space="preserve">MSTN 则适合作为 gene-level 与 variant-level 区分的教学性例子。MSTN 在哺乳动物肌肉发育中具有强功能证据，跨物种研究也支持其作为肌肉生长负调控因子的生物学重要性。然而，在家鸡自然群体内，MSTN 相关信号通常并不等同于类似 Belgian Blue 牛那样的明确主效自然变异。按 C/B/B+/A 标准，MSTN 在鸡内更适合被处理为</w:t>
      </w:r>
      <w:r>
        <w:t xml:space="preserve"> </w:t>
      </w:r>
      <w:r>
        <w:rPr>
          <w:b/>
          <w:bCs/>
        </w:rPr>
        <w:t xml:space="preserve">gene-level B / T0</w:t>
      </w:r>
      <w:r>
        <w:t xml:space="preserve"> </w:t>
      </w:r>
      <w:r>
        <w:t xml:space="preserve">或机制背景基因，而不是家鸡 variant-level A 位点。这个例子再次说明：某个基因具有强生物学功能，并不意味着家鸡群体中已经存在可直接用于育种的强效自然等位变异。</w:t>
      </w:r>
    </w:p>
    <w:p>
      <w:pPr>
        <w:pStyle w:val="BodyText"/>
      </w:pPr>
      <w:r>
        <w:t xml:space="preserve">除上述机制较强或较有代表性的案例外，生长和肉质研究中还频繁出现 IGF1、IGF1R、GHR、MYOD/MYF 家族、FABP3、FABP4、PPARG、LPL、CAPN1、CAST 等基因。这些基因在肌肉发育、脂肪代谢、蛋白降解或肉品质形成中具有明确生物学相关性，因此适合作为候选通路或功能背景讨论。这类基因多数应定位为</w:t>
      </w:r>
      <w:r>
        <w:t xml:space="preserve"> </w:t>
      </w:r>
      <w:r>
        <w:rPr>
          <w:b/>
          <w:bCs/>
        </w:rPr>
        <w:t xml:space="preserve">gene-level C–B / T0</w:t>
      </w:r>
      <w:r>
        <w:t xml:space="preserve">：若只是位于 GWAS 峰附近或存在差异表达，应判定为 C 级候选线索；若具有独立重复、目标组织机制证据或中等功能实验支持，可上调至 B 级。但在缺少明确自然变异、等位基因效应和强功能验证前，不宜直接写成育种标记。</w:t>
      </w:r>
    </w:p>
    <w:p>
      <w:pPr>
        <w:pStyle w:val="BodyText"/>
      </w:pPr>
      <w:r>
        <w:t xml:space="preserve">饲料效率是更典型的复杂经济性状。采食量、增重、代谢率、肠道吸收、活动水平、免疫状态、热应激反应和肠道微生物都会影响饲料转化表现。更重要的是，不同研究对“饲料效率”的定义并不完全一致：剩余采食量、料重比、饲料转化率、生长效率指数和能量利用率都可能被用于描述相关表型。不同表型定义会改变候选信号的统计基础，也会降低跨研究比较的可解释性。这正是第 3 章所说“表型质量作为证据等级天花板约束”的典型例子。没有长期、个体化、标准化的采食记录和一致的表型定义，分子证据再复杂，也很难达到较高证据等级。</w:t>
      </w:r>
    </w:p>
    <w:p>
      <w:pPr>
        <w:pStyle w:val="BodyText"/>
      </w:pPr>
      <w:r>
        <w:t xml:space="preserve">宿主—肠道微生物关联在饲料效率研究中具有解释潜力，但也容易被过度外推。肠道微生物组成受饲粮、日龄、饲养环境、健康状态、抗生素或益生菌使用以及采样部位影响，其可重复性和遗传控制通常弱于宿主基因型主效信号。宿主—微生物特征若被当作遗传标记使用，通常只能定位为</w:t>
      </w:r>
      <w:r>
        <w:t xml:space="preserve"> </w:t>
      </w:r>
      <w:r>
        <w:rPr>
          <w:b/>
          <w:bCs/>
        </w:rPr>
        <w:t xml:space="preserve">中间表型证据 C / T0</w:t>
      </w:r>
      <w:r>
        <w:t xml:space="preserve">。微生物特征可以作为管理指标、机制线索或候选中间表型，但在缺少宿主遗传控制、因果方向检验、可重复干预实验和目标群体验证前，不宜被写成可用于 MAS 或 GS 模型先验的稳定遗传标记。</w:t>
      </w:r>
    </w:p>
    <w:p>
      <w:pPr>
        <w:pStyle w:val="BodyText"/>
      </w:pPr>
      <w:r>
        <w:t xml:space="preserve">总体来看，生长、胴体、脂肪沉积和饲料效率领域的证据分布具有明显层级差异。IGF2BP1 启动子缺失和 rs734209466–IGFBP2/IGFBP5 调控链代表当前较高水平的 B+ 型候选证据，但仍缺少 A 级所需的强功能验证和 T 轴应用评估；IMFNCR–PPARG、CCKAR、MSTN 以及多数经典生长、肌肉和脂肪代谢基因则主要处于 B 或 C–B 阶段；宿主—微生物关联更适合作为中间表型或机制线索。因而，这一类复杂经济性状的长期改良仍应以 GS 和多性状选择指数为主，少数高可信位点则用于功能验证优先级排序、GS 功能先验或目标群体风险评估。</w:t>
      </w:r>
    </w:p>
    <w:p>
      <w:pPr>
        <w:pStyle w:val="BodyText"/>
      </w:pPr>
      <w:r>
        <w:rPr>
          <w:b/>
          <w:bCs/>
        </w:rPr>
        <w:t xml:space="preserve">表 2 生长、胴体、脂肪沉积与饲料效率代表性候选位点的证据成熟度</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位点或证据单元</w:t>
            </w:r>
          </w:p>
        </w:tc>
        <w:tc>
          <w:tcPr/>
          <w:p>
            <w:pPr>
              <w:pStyle w:val="Compact"/>
              <w:jc w:val="left"/>
            </w:pPr>
            <w:r>
              <w:t xml:space="preserve">性状方向</w:t>
            </w:r>
          </w:p>
        </w:tc>
        <w:tc>
          <w:tcPr/>
          <w:p>
            <w:pPr>
              <w:pStyle w:val="Compact"/>
              <w:jc w:val="left"/>
            </w:pPr>
            <w:r>
              <w:t xml:space="preserve">证据层级</w:t>
            </w:r>
          </w:p>
        </w:tc>
        <w:tc>
          <w:tcPr/>
          <w:p>
            <w:pPr>
              <w:pStyle w:val="Compact"/>
              <w:jc w:val="left"/>
            </w:pPr>
            <w:r>
              <w:t xml:space="preserve">证据等级</w:t>
            </w:r>
          </w:p>
        </w:tc>
        <w:tc>
          <w:tcPr/>
          <w:p>
            <w:pPr>
              <w:pStyle w:val="Compact"/>
              <w:jc w:val="left"/>
            </w:pPr>
            <w:r>
              <w:t xml:space="preserve">T 等级</w:t>
            </w:r>
          </w:p>
        </w:tc>
        <w:tc>
          <w:tcPr/>
          <w:p>
            <w:pPr>
              <w:pStyle w:val="Compact"/>
              <w:jc w:val="left"/>
            </w:pPr>
            <w:r>
              <w:t xml:space="preserve">关键证据</w:t>
            </w:r>
          </w:p>
        </w:tc>
        <w:tc>
          <w:tcPr/>
          <w:p>
            <w:pPr>
              <w:pStyle w:val="Compact"/>
              <w:jc w:val="left"/>
            </w:pPr>
            <w:r>
              <w:t xml:space="preserve">主要缺口</w:t>
            </w:r>
          </w:p>
        </w:tc>
      </w:tr>
      <w:tr>
        <w:tc>
          <w:tcPr/>
          <w:p>
            <w:pPr>
              <w:pStyle w:val="Compact"/>
              <w:jc w:val="left"/>
            </w:pPr>
            <w:r>
              <w:t xml:space="preserve">IGF2BP1 启动子缺失</w:t>
            </w:r>
          </w:p>
        </w:tc>
        <w:tc>
          <w:tcPr/>
          <w:p>
            <w:pPr>
              <w:pStyle w:val="Compact"/>
              <w:jc w:val="left"/>
            </w:pPr>
            <w:r>
              <w:t xml:space="preserve">体型 / 生长</w:t>
            </w:r>
          </w:p>
        </w:tc>
        <w:tc>
          <w:tcPr/>
          <w:p>
            <w:pPr>
              <w:pStyle w:val="Compact"/>
              <w:jc w:val="left"/>
            </w:pPr>
            <w:r>
              <w:t xml:space="preserve">variant-level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泛基因组缺失变异、启动子活性、表达变化、体型关联</w:t>
            </w:r>
          </w:p>
        </w:tc>
        <w:tc>
          <w:tcPr/>
          <w:p>
            <w:pPr>
              <w:pStyle w:val="Compact"/>
              <w:jc w:val="left"/>
            </w:pPr>
            <w:r>
              <w:t xml:space="preserve">内源编辑或等位基因导入；目标商业群体多性状评估</w:t>
            </w:r>
          </w:p>
        </w:tc>
      </w:tr>
      <w:tr>
        <w:tc>
          <w:tcPr/>
          <w:p>
            <w:pPr>
              <w:pStyle w:val="Compact"/>
              <w:jc w:val="left"/>
            </w:pPr>
            <w:r>
              <w:t xml:space="preserve">rs734209466–IGFBP2/IGFBP5</w:t>
            </w:r>
          </w:p>
        </w:tc>
        <w:tc>
          <w:tcPr/>
          <w:p>
            <w:pPr>
              <w:pStyle w:val="Compact"/>
              <w:jc w:val="left"/>
            </w:pPr>
            <w:r>
              <w:t xml:space="preserve">腹脂沉积</w:t>
            </w:r>
          </w:p>
        </w:tc>
        <w:tc>
          <w:tcPr/>
          <w:p>
            <w:pPr>
              <w:pStyle w:val="Compact"/>
              <w:jc w:val="left"/>
            </w:pPr>
            <w:r>
              <w:t xml:space="preserve">variant-level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等位基因特异增强子、三维调控、IGFBP2/IGFBP5 表达及脂前体细胞表型</w:t>
            </w:r>
          </w:p>
        </w:tc>
        <w:tc>
          <w:tcPr/>
          <w:p>
            <w:pPr>
              <w:pStyle w:val="Compact"/>
              <w:jc w:val="left"/>
            </w:pPr>
            <w:r>
              <w:t xml:space="preserve">内源编辑、跨群体自然变异验证、目标群体效应</w:t>
            </w:r>
          </w:p>
        </w:tc>
      </w:tr>
      <w:tr>
        <w:tc>
          <w:tcPr/>
          <w:p>
            <w:pPr>
              <w:pStyle w:val="Compact"/>
              <w:jc w:val="left"/>
            </w:pPr>
            <w:r>
              <w:t xml:space="preserve">IMFNCR–PPARG 调控轴</w:t>
            </w:r>
          </w:p>
        </w:tc>
        <w:tc>
          <w:tcPr/>
          <w:p>
            <w:pPr>
              <w:pStyle w:val="Compact"/>
              <w:jc w:val="left"/>
            </w:pPr>
            <w:r>
              <w:t xml:space="preserve">肌内脂肪 / 肉质</w:t>
            </w:r>
          </w:p>
        </w:tc>
        <w:tc>
          <w:tcPr/>
          <w:p>
            <w:pPr>
              <w:pStyle w:val="Compact"/>
              <w:jc w:val="left"/>
            </w:pPr>
            <w:r>
              <w:t xml:space="preserve">gene/network-level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非编码 RNA、脂肪细胞分化和 PPARG 调控关系</w:t>
            </w:r>
          </w:p>
        </w:tc>
        <w:tc>
          <w:tcPr/>
          <w:p>
            <w:pPr>
              <w:pStyle w:val="Compact"/>
              <w:jc w:val="left"/>
            </w:pPr>
            <w:r>
              <w:t xml:space="preserve">明确自然变异、群体关联、体内表型</w:t>
            </w:r>
          </w:p>
        </w:tc>
      </w:tr>
      <w:tr>
        <w:tc>
          <w:tcPr/>
          <w:p>
            <w:pPr>
              <w:pStyle w:val="Compact"/>
              <w:jc w:val="left"/>
            </w:pPr>
            <w:r>
              <w:t xml:space="preserve">CCKAR 区段</w:t>
            </w:r>
          </w:p>
        </w:tc>
        <w:tc>
          <w:tcPr/>
          <w:p>
            <w:pPr>
              <w:pStyle w:val="Compact"/>
              <w:jc w:val="left"/>
            </w:pPr>
            <w:r>
              <w:t xml:space="preserve">采食 / 生长</w:t>
            </w:r>
          </w:p>
        </w:tc>
        <w:tc>
          <w:tcPr/>
          <w:p>
            <w:pPr>
              <w:pStyle w:val="Compact"/>
              <w:jc w:val="left"/>
            </w:pPr>
            <w:r>
              <w:t xml:space="preserve">variant-level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精细定位或分歧群体候选信号，可能涉及采食和能量摄入调控</w:t>
            </w:r>
          </w:p>
        </w:tc>
        <w:tc>
          <w:tcPr/>
          <w:p>
            <w:pPr>
              <w:pStyle w:val="Compact"/>
              <w:jc w:val="left"/>
            </w:pPr>
            <w:r>
              <w:t xml:space="preserve">因果变异、内源功能验证、跨商业群体一致性</w:t>
            </w:r>
          </w:p>
        </w:tc>
      </w:tr>
      <w:tr>
        <w:tc>
          <w:tcPr/>
          <w:p>
            <w:pPr>
              <w:pStyle w:val="Compact"/>
              <w:jc w:val="left"/>
            </w:pPr>
            <w:r>
              <w:t xml:space="preserve">MSTN</w:t>
            </w:r>
          </w:p>
        </w:tc>
        <w:tc>
          <w:tcPr/>
          <w:p>
            <w:pPr>
              <w:pStyle w:val="Compact"/>
              <w:jc w:val="left"/>
            </w:pPr>
            <w:r>
              <w:t xml:space="preserve">肌肉发育</w:t>
            </w:r>
          </w:p>
        </w:tc>
        <w:tc>
          <w:tcPr/>
          <w:p>
            <w:pPr>
              <w:pStyle w:val="Compact"/>
              <w:jc w:val="left"/>
            </w:pPr>
            <w:r>
              <w:t xml:space="preserve">gene-level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跨物种功能保守性和肌肉发育生物学合理性</w:t>
            </w:r>
          </w:p>
        </w:tc>
        <w:tc>
          <w:tcPr/>
          <w:p>
            <w:pPr>
              <w:pStyle w:val="Compact"/>
              <w:jc w:val="left"/>
            </w:pPr>
            <w:r>
              <w:t xml:space="preserve">家鸡自然群体内强效可育种等位变异证据不足</w:t>
            </w:r>
          </w:p>
        </w:tc>
      </w:tr>
      <w:tr>
        <w:tc>
          <w:tcPr/>
          <w:p>
            <w:pPr>
              <w:pStyle w:val="Compact"/>
              <w:jc w:val="left"/>
            </w:pPr>
            <w:r>
              <w:t xml:space="preserve">IGF1 / IGF1R / GHR / MYOD 家族 / FABP3 / FABP4 / LPL / CAPN1 / CAST 等</w:t>
            </w:r>
          </w:p>
        </w:tc>
        <w:tc>
          <w:tcPr/>
          <w:p>
            <w:pPr>
              <w:pStyle w:val="Compact"/>
              <w:jc w:val="left"/>
            </w:pPr>
            <w:r>
              <w:t xml:space="preserve">生长 / 肌肉 / 脂肪 / 肉质</w:t>
            </w:r>
          </w:p>
        </w:tc>
        <w:tc>
          <w:tcPr/>
          <w:p>
            <w:pPr>
              <w:pStyle w:val="Compact"/>
              <w:jc w:val="left"/>
            </w:pPr>
            <w:r>
              <w:t xml:space="preserve">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通路相关、邻近 GWAS 峰、部分表达或机制证据</w:t>
            </w:r>
          </w:p>
        </w:tc>
        <w:tc>
          <w:tcPr/>
          <w:p>
            <w:pPr>
              <w:pStyle w:val="Compact"/>
              <w:jc w:val="left"/>
            </w:pPr>
            <w:r>
              <w:t xml:space="preserve">多数缺明确变异、独立重复或强功能验证</w:t>
            </w:r>
          </w:p>
        </w:tc>
      </w:tr>
      <w:tr>
        <w:tc>
          <w:tcPr/>
          <w:p>
            <w:pPr>
              <w:pStyle w:val="Compact"/>
              <w:jc w:val="left"/>
            </w:pPr>
            <w:r>
              <w:t xml:space="preserve">宿主—肠道微生物特征</w:t>
            </w:r>
          </w:p>
        </w:tc>
        <w:tc>
          <w:tcPr/>
          <w:p>
            <w:pPr>
              <w:pStyle w:val="Compact"/>
              <w:jc w:val="left"/>
            </w:pPr>
            <w:r>
              <w:t xml:space="preserve">饲料效率</w:t>
            </w:r>
          </w:p>
        </w:tc>
        <w:tc>
          <w:tcPr/>
          <w:p>
            <w:pPr>
              <w:pStyle w:val="Compact"/>
              <w:jc w:val="left"/>
            </w:pPr>
            <w:r>
              <w:t xml:space="preserve">中间表型证据</w:t>
            </w:r>
          </w:p>
        </w:tc>
        <w:tc>
          <w:tcPr/>
          <w:p>
            <w:pPr>
              <w:pStyle w:val="Compact"/>
              <w:jc w:val="left"/>
            </w:pPr>
            <w:r>
              <w:t xml:space="preserve">C</w:t>
            </w:r>
          </w:p>
        </w:tc>
        <w:tc>
          <w:tcPr/>
          <w:p>
            <w:pPr>
              <w:pStyle w:val="Compact"/>
              <w:jc w:val="left"/>
            </w:pPr>
            <w:r>
              <w:t xml:space="preserve">T0</w:t>
            </w:r>
          </w:p>
        </w:tc>
        <w:tc>
          <w:tcPr/>
          <w:p>
            <w:pPr>
              <w:pStyle w:val="Compact"/>
              <w:jc w:val="left"/>
            </w:pPr>
            <w:r>
              <w:t xml:space="preserve">微生物组成与饲料效率或采食相关表型关联</w:t>
            </w:r>
          </w:p>
        </w:tc>
        <w:tc>
          <w:tcPr/>
          <w:p>
            <w:pPr>
              <w:pStyle w:val="Compact"/>
              <w:jc w:val="left"/>
            </w:pPr>
            <w:r>
              <w:t xml:space="preserve">因果方向、可重复干预、宿主遗传控制和目标群体验证</w:t>
            </w:r>
          </w:p>
        </w:tc>
      </w:tr>
    </w:tbl>
    <w:p>
      <w:pPr>
        <w:pStyle w:val="BodyText"/>
      </w:pPr>
      <w:r>
        <w:t xml:space="preserve">本节代表性位点中尚无成熟的 variant-level A 候选，最高证据等级主要停留在 B+。这与生长、脂肪沉积和饲料效率类性状的高度多基因结构、表型测量难度和多性状约束相一致。</w:t>
      </w:r>
    </w:p>
    <w:bookmarkEnd w:id="32"/>
    <w:bookmarkStart w:id="33" w:name="繁殖产蛋与蛋品质"/>
    <w:p>
      <w:pPr>
        <w:pStyle w:val="Heading3"/>
      </w:pPr>
      <w:r>
        <w:t xml:space="preserve">4.2 繁殖产蛋与蛋品质</w:t>
      </w:r>
    </w:p>
    <w:p>
      <w:pPr>
        <w:pStyle w:val="FirstParagraph"/>
      </w:pPr>
      <w:r>
        <w:t xml:space="preserve">繁殖产蛋与蛋品质是蛋鸡和地方鸡育种中最重要、也最复杂的一组性状。与体型、壳色、羽色等相对直观的表型不同，产蛋性状具有明显的时间维度和生理阶段依赖性。开产日龄、产蛋数、产蛋率、连产节律、产蛋持续性、抱窝性、卵泡发育、排卵节律和产蛋后期维持能力，并不是同一个表型的简单重复，而是下丘脑—垂体—卵巢轴、肝脏代谢、输卵管功能、营养状态和环境条件共同作用的结果。蛋品质同样具有多层结构，包括蛋重、蛋壳强度、蛋壳厚度、壳色、哈氏单位、蛋白高度、蛋黄比例、蛋白组成和储藏稳定性等。若不区分这些具体表型，把“产蛋”或“蛋品质”作为一个笼统性状讨论，很容易导致候选位点解释过宽。</w:t>
      </w:r>
    </w:p>
    <w:p>
      <w:pPr>
        <w:pStyle w:val="BodyText"/>
      </w:pPr>
      <w:r>
        <w:t xml:space="preserve">从证据等级看，繁殖产蛋方向的大多数候选信号仍处于 B 或 C–B 阶段。PRLR 附近区域、NCAPG-FAM184B 区段以及鸡 Z 染色体（GGAZ）上若干区域在多个产蛋相关 GWAS 或关联研究中反复出现，说明这些区域具有较高验证优先级。对于尚未精细化到具体基因或变异的候选区段，本文采用 region-level 标签，表示证据仍停留在区域层面，尚未达到 gene-level 或 variant-level 解析度。依 3.2 节评级，这类信号更适合定位为</w:t>
      </w:r>
      <w:r>
        <w:t xml:space="preserve"> </w:t>
      </w:r>
      <w:r>
        <w:rPr>
          <w:b/>
          <w:bCs/>
        </w:rPr>
        <w:t xml:space="preserve">region-level B / T0</w:t>
      </w:r>
      <w:r>
        <w:t xml:space="preserve">：其重复性优于单次 GWAS 命中，但具体因果变异、作用组织、作用阶段和目标育种群体中的效应稳定性仍不清楚。尤其是 PRLR 这类具有明确生理功能的候选区域，很容易被过度解释为因果位点；但在缺少变异解析、等位基因效应和功能验证前，它更适合作为精细定位和 GS 功能先验，而不是直接进入 MAS。需要注意的是，Z 染色体 PRLR 区域在历史上还涉及性连锁羽速 K 位点的 PRLR/SPEF2 相关复杂变异；产蛋相关 PRLR 信号是否与该区域结构变异在 LD 上共享，或者是否代表独立生殖调控信号，目前仍需进一步区分。</w:t>
      </w:r>
    </w:p>
    <w:p>
      <w:pPr>
        <w:pStyle w:val="BodyText"/>
      </w:pPr>
      <w:r>
        <w:t xml:space="preserve">PHIP 非编码变异是产蛋性状中机制证据较强的代表。该类研究尝试将非编码变异、转录因子结合、PHIP 表达变化和卵巢颗粒细胞相关功能联系起来，使候选信号不再停留在“GWAS 峰附近有功能相关基因”的层面。按上述维度判定，PHIP 更适合定位为</w:t>
      </w:r>
      <w:r>
        <w:t xml:space="preserve"> </w:t>
      </w:r>
      <w:r>
        <w:rPr>
          <w:b/>
          <w:bCs/>
        </w:rPr>
        <w:t xml:space="preserve">variant-level B / T0</w:t>
      </w:r>
      <w:r>
        <w:t xml:space="preserve">，尚未达到 B+ 所需的证据互证程度。与 4.1 节中 rs734209466–IGFBP2/IGFBP5 调控链相比，PHIP 当前证据更偏向单一候选变异—表达—细胞功能路径，仍缺少更强的等位基因特异调控互证、三维调控证据、跨群体一致性或内源验证。因此，将其暂定为 B 级更稳妥。这个判断也提醒我们，卵巢细胞功能证据可以提高候选位点优先级，但不能自动等同于产蛋性能的体内因果证据。</w:t>
      </w:r>
    </w:p>
    <w:p>
      <w:pPr>
        <w:pStyle w:val="BodyText"/>
      </w:pPr>
      <w:r>
        <w:t xml:space="preserve">GGAZ 上的产蛋相关信号也需要单独看待。鸡 Z 染色体具有性别特异遗传背景，且与生殖、性成熟和产蛋节律相关的候选信号经常在该染色体上被报道。GGAZ 信号的重复出现说明其可能承载重要遗传信息，但 Z 染色体区域的连锁结构、剂量效应、重组模式和注释复杂性，也增加了因果变异解析难度。依 C/B/B+/A 标准，GGAZ 产蛋相关区域在多数情况下应定位为</w:t>
      </w:r>
      <w:r>
        <w:t xml:space="preserve"> </w:t>
      </w:r>
      <w:r>
        <w:rPr>
          <w:b/>
          <w:bCs/>
        </w:rPr>
        <w:t xml:space="preserve">region-level B / T0</w:t>
      </w:r>
      <w:r>
        <w:t xml:space="preserve">：适合继续精细定位和跨群体比较，但不宜在缺少具体变异和功能证据时写成单一因果基因。</w:t>
      </w:r>
    </w:p>
    <w:p>
      <w:pPr>
        <w:pStyle w:val="BodyText"/>
      </w:pPr>
      <w:r>
        <w:t xml:space="preserve">与产蛋数量相比，蛋壳颜色方向已有较接近 A 级的代表性案例。蓝壳性状中，SLCO1B3 5′侧翼区 EAV-HP 插入可导致其在壳腺中特异表达，并与胆绿素沉积和蓝壳形成相联系。该案例能够把具体变异、组织特异性表达和可见表型较清楚地连接起来，因此可定位为</w:t>
      </w:r>
      <w:r>
        <w:t xml:space="preserve"> </w:t>
      </w:r>
      <w:r>
        <w:rPr>
          <w:b/>
          <w:bCs/>
        </w:rPr>
        <w:t xml:space="preserve">variant-level A / T2（壳色管理场景）</w:t>
      </w:r>
      <w:r>
        <w:t xml:space="preserve">。这里的 T2 必须严格限定在壳色管理这一具体应用场景内：SLCO1B3 可作为蓝壳识别、品种特征管理或蓝壳商品分级的强证据位点，但不能外推为产蛋数、蛋壳强度、蛋白品质或综合蛋品质的育种标记。</w:t>
      </w:r>
    </w:p>
    <w:p>
      <w:pPr>
        <w:pStyle w:val="BodyText"/>
      </w:pPr>
      <w:r>
        <w:t xml:space="preserve">褐壳色可以作为蓝壳的对照。褐壳主要与原卟啉 IX 沉积有关，涉及壳腺色素合成、转运和沉积过程，多项研究讨论了 HRG1、ABCG2 及其他色素代谢或转运相关候选基因。然而，与蓝壳 SLCO1B3 案例相比，褐壳通常呈多基因、连续变异和环境敏感特征，目前缺少一个能够稳定解释主要表型差异的单一 variant-level A 位点。依本文框架，褐壳色相关候选信号更适合定位为</w:t>
      </w:r>
      <w:r>
        <w:t xml:space="preserve"> </w:t>
      </w:r>
      <w:r>
        <w:rPr>
          <w:b/>
          <w:bCs/>
        </w:rPr>
        <w:t xml:space="preserve">gene/region-level C–B / T0–T1</w:t>
      </w:r>
      <w:r>
        <w:t xml:space="preserve">：部分候选基因具有生物学合理性和表达支持，但多数仍缺少明确自然变异、强功能验证和跨群体应用边界评估。</w:t>
      </w:r>
    </w:p>
    <w:p>
      <w:pPr>
        <w:pStyle w:val="BodyText"/>
      </w:pPr>
      <w:r>
        <w:t xml:space="preserve">蛋壳强度、蛋壳厚度和钙化质量的证据情况则不同。壳腺钙化过程涉及钙转运、碳酸盐代谢、基质蛋白、矿化调控和输卵管组织状态。SPP1、OC-17、OC-116、CALB1、CA2、ATP2B 家族以及其他钙结合或壳基质相关基因常被作为蛋壳质量候选基因讨论。这些基因具有较强生物学合理性，部分研究也可能提供表达、组织定位或关联证据。依本文框架，它们多数更适合定位为</w:t>
      </w:r>
      <w:r>
        <w:t xml:space="preserve"> </w:t>
      </w:r>
      <w:r>
        <w:rPr>
          <w:b/>
          <w:bCs/>
        </w:rPr>
        <w:t xml:space="preserve">gene-level C–B / T0</w:t>
      </w:r>
      <w:r>
        <w:t xml:space="preserve">：如果只有差异表达或邻近 GWAS 注释，应视为 C 级线索；若具有重复关联、壳腺特异表达、分子调控或功能实验支持，可上调至 B 级。但在缺少明确自然变异和强功能验证前，不宜直接写成蛋壳强度的功能标记。</w:t>
      </w:r>
    </w:p>
    <w:p>
      <w:pPr>
        <w:pStyle w:val="BodyText"/>
      </w:pPr>
      <w:r>
        <w:t xml:space="preserve">蛋白品质和内部蛋品质的候选基因同样需要谨慎解释。OVAL、OVM、LYZ、TF、OVOD、OVCH 等蛋白组成相关基因与蛋白结构、抗菌功能、黏度、储藏稳定性和营养品质有关，因此常被用于解释蛋白品质差异。可是，蛋白品质表型受产蛋周龄、储藏时间、温度、输卵管膨大部功能、营养和健康状态影响明显。若缺少稳定表型记录和目标组织层面的变异效应，仅凭蛋白组成差异或表达变化，很难把这些基因提升为因果位点。依 3.2 节评级，内部蛋品质相关候选基因多数应定位为</w:t>
      </w:r>
      <w:r>
        <w:t xml:space="preserve"> </w:t>
      </w:r>
      <w:r>
        <w:rPr>
          <w:b/>
          <w:bCs/>
        </w:rPr>
        <w:t xml:space="preserve">gene-level C–B / T0</w:t>
      </w:r>
      <w:r>
        <w:t xml:space="preserve">。</w:t>
      </w:r>
    </w:p>
    <w:p>
      <w:pPr>
        <w:pStyle w:val="BodyText"/>
      </w:pPr>
      <w:r>
        <w:t xml:space="preserve">繁殖内分泌相关基因也属于高生物学合理性、但证据等级容易被夸大的类别。FSHR、LHCGR、ESR1、ESR2、VIP、VIPR1、PRL、PRLR、GDF9、BMP15、STAR、CYP19A1 等基因在卵泡募集、排卵、类固醇合成、催乳素调控、抱窝性或卵巢功能中具有明确生理意义。然而，生理通路重要性并不等于群体中存在可直接利用的强效自然变异。除非具体研究能够提供明确等位变异、跨群体重复、靶组织分子效应和功能验证，否则这类基因更适合被作为</w:t>
      </w:r>
      <w:r>
        <w:t xml:space="preserve"> </w:t>
      </w:r>
      <w:r>
        <w:rPr>
          <w:b/>
          <w:bCs/>
        </w:rPr>
        <w:t xml:space="preserve">gene-level C–B / T0</w:t>
      </w:r>
      <w:r>
        <w:t xml:space="preserve"> </w:t>
      </w:r>
      <w:r>
        <w:t xml:space="preserve">的候选背景，而不是直接作为产蛋性能主效位点。</w:t>
      </w:r>
    </w:p>
    <w:p>
      <w:pPr>
        <w:pStyle w:val="BodyText"/>
      </w:pPr>
      <w:r>
        <w:t xml:space="preserve">产蛋和蛋品质研究还面临明显的表型异质性问题。开产日龄、早期产蛋数、高峰产蛋率、产蛋持续性和后期维持能力可能由不同遗传机制影响；蛋壳颜色、蛋壳强度、蛋壳厚度、蛋重、蛋白高度和哈氏单位也不应合并为一个“蛋品质”表型。即使同一候选区域在两个产蛋性状中出现，也需要判断这些表型是否具有共同生理基础，还是仅由相关性或群体结构造成。对产蛋育种而言，一个位点如果只影响开产日龄，并不能自动被写成提高全期产蛋数的标记；一个壳色位点，也不能自动被解释为综合蛋品质位点。</w:t>
      </w:r>
    </w:p>
    <w:p>
      <w:pPr>
        <w:pStyle w:val="BodyText"/>
      </w:pPr>
      <w:r>
        <w:t xml:space="preserve">总体来看，繁殖产蛋与蛋品质方向的证据分布呈现明显分化：蓝壳 SLCO1B3 是少数可达到 variant-level A 的强证据案例，但其应用边界限于壳色管理；PHIP、PRLR 附近区域、NCAPG-FAM184B 区段和 GGAZ 信号多处于 B 级或验证优先阶段；褐壳色、蛋壳强度、内部蛋品质和繁殖内分泌相关基因多数仍为 C–B 级候选背景。因而，产蛋数量和综合蛋品质的长期改良仍应以 GS、多性状选择指数和高质量纵向表型记录为主；少数高可信壳色或主效表型位点可用于品种特征管理或目标群体验证。</w:t>
      </w:r>
    </w:p>
    <w:p>
      <w:pPr>
        <w:pStyle w:val="BodyText"/>
      </w:pPr>
      <w:r>
        <w:rPr>
          <w:b/>
          <w:bCs/>
        </w:rPr>
        <w:t xml:space="preserve">表 3 繁殖产蛋与蛋品质代表性候选位点的证据成熟度</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位点或证据单元</w:t>
            </w:r>
          </w:p>
        </w:tc>
        <w:tc>
          <w:tcPr/>
          <w:p>
            <w:pPr>
              <w:pStyle w:val="Compact"/>
              <w:jc w:val="left"/>
            </w:pPr>
            <w:r>
              <w:t xml:space="preserve">性状方向</w:t>
            </w:r>
          </w:p>
        </w:tc>
        <w:tc>
          <w:tcPr/>
          <w:p>
            <w:pPr>
              <w:pStyle w:val="Compact"/>
              <w:jc w:val="left"/>
            </w:pPr>
            <w:r>
              <w:t xml:space="preserve">证据层级</w:t>
            </w:r>
          </w:p>
        </w:tc>
        <w:tc>
          <w:tcPr/>
          <w:p>
            <w:pPr>
              <w:pStyle w:val="Compact"/>
              <w:jc w:val="left"/>
            </w:pPr>
            <w:r>
              <w:t xml:space="preserve">证据等级</w:t>
            </w:r>
          </w:p>
        </w:tc>
        <w:tc>
          <w:tcPr/>
          <w:p>
            <w:pPr>
              <w:pStyle w:val="Compact"/>
              <w:jc w:val="left"/>
            </w:pPr>
            <w:r>
              <w:t xml:space="preserve">T 等级</w:t>
            </w:r>
          </w:p>
        </w:tc>
        <w:tc>
          <w:tcPr/>
          <w:p>
            <w:pPr>
              <w:pStyle w:val="Compact"/>
              <w:jc w:val="left"/>
            </w:pPr>
            <w:r>
              <w:t xml:space="preserve">关键证据</w:t>
            </w:r>
          </w:p>
        </w:tc>
        <w:tc>
          <w:tcPr/>
          <w:p>
            <w:pPr>
              <w:pStyle w:val="Compact"/>
              <w:jc w:val="left"/>
            </w:pPr>
            <w:r>
              <w:t xml:space="preserve">主要缺口</w:t>
            </w:r>
          </w:p>
        </w:tc>
      </w:tr>
      <w:tr>
        <w:tc>
          <w:tcPr/>
          <w:p>
            <w:pPr>
              <w:pStyle w:val="Compact"/>
              <w:jc w:val="left"/>
            </w:pPr>
            <w:r>
              <w:t xml:space="preserve">SLCO1B3 EAV-HP 插入</w:t>
            </w:r>
          </w:p>
        </w:tc>
        <w:tc>
          <w:tcPr/>
          <w:p>
            <w:pPr>
              <w:pStyle w:val="Compact"/>
              <w:jc w:val="left"/>
            </w:pPr>
            <w:r>
              <w:t xml:space="preserve">蓝壳</w:t>
            </w:r>
          </w:p>
        </w:tc>
        <w:tc>
          <w:tcPr/>
          <w:p>
            <w:pPr>
              <w:pStyle w:val="Compact"/>
              <w:jc w:val="left"/>
            </w:pPr>
            <w:r>
              <w:t xml:space="preserve">variant-level</w:t>
            </w:r>
          </w:p>
        </w:tc>
        <w:tc>
          <w:tcPr/>
          <w:p>
            <w:pPr>
              <w:pStyle w:val="Compact"/>
              <w:jc w:val="left"/>
            </w:pPr>
            <w:r>
              <w:t xml:space="preserve">A</w:t>
            </w:r>
          </w:p>
        </w:tc>
        <w:tc>
          <w:tcPr/>
          <w:p>
            <w:pPr>
              <w:pStyle w:val="Compact"/>
              <w:jc w:val="left"/>
            </w:pPr>
            <w:r>
              <w:t xml:space="preserve">T2（壳色管理场景）</w:t>
            </w:r>
          </w:p>
        </w:tc>
        <w:tc>
          <w:tcPr/>
          <w:p>
            <w:pPr>
              <w:pStyle w:val="Compact"/>
              <w:jc w:val="left"/>
            </w:pPr>
            <w:r>
              <w:t xml:space="preserve">具体插入变异、壳腺特异表达、胆绿素沉积和蓝壳表型联系清楚</w:t>
            </w:r>
          </w:p>
        </w:tc>
        <w:tc>
          <w:tcPr/>
          <w:p>
            <w:pPr>
              <w:pStyle w:val="Compact"/>
              <w:jc w:val="left"/>
            </w:pPr>
            <w:r>
              <w:t xml:space="preserve">不能外推到产蛋数、蛋壳强度或综合蛋品质</w:t>
            </w:r>
          </w:p>
        </w:tc>
      </w:tr>
      <w:tr>
        <w:tc>
          <w:tcPr/>
          <w:p>
            <w:pPr>
              <w:pStyle w:val="Compact"/>
              <w:jc w:val="left"/>
            </w:pPr>
            <w:r>
              <w:t xml:space="preserve">PHIP 非编码变异</w:t>
            </w:r>
          </w:p>
        </w:tc>
        <w:tc>
          <w:tcPr/>
          <w:p>
            <w:pPr>
              <w:pStyle w:val="Compact"/>
              <w:jc w:val="left"/>
            </w:pPr>
            <w:r>
              <w:t xml:space="preserve">产蛋 / 卵巢功能</w:t>
            </w:r>
          </w:p>
        </w:tc>
        <w:tc>
          <w:tcPr/>
          <w:p>
            <w:pPr>
              <w:pStyle w:val="Compact"/>
              <w:jc w:val="left"/>
            </w:pPr>
            <w:r>
              <w:t xml:space="preserve">variant-level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非编码变异、转录因子结合、PHIP 表达和颗粒细胞相关功能线索</w:t>
            </w:r>
          </w:p>
        </w:tc>
        <w:tc>
          <w:tcPr/>
          <w:p>
            <w:pPr>
              <w:pStyle w:val="Compact"/>
              <w:jc w:val="left"/>
            </w:pPr>
            <w:r>
              <w:t xml:space="preserve">等位基因特异互证、内源编辑、体内因果验证、跨群体稳定性不足</w:t>
            </w:r>
          </w:p>
        </w:tc>
      </w:tr>
      <w:tr>
        <w:tc>
          <w:tcPr/>
          <w:p>
            <w:pPr>
              <w:pStyle w:val="Compact"/>
              <w:jc w:val="left"/>
            </w:pPr>
            <w:r>
              <w:t xml:space="preserve">PRLR 附近区域</w:t>
            </w:r>
          </w:p>
        </w:tc>
        <w:tc>
          <w:tcPr/>
          <w:p>
            <w:pPr>
              <w:pStyle w:val="Compact"/>
              <w:jc w:val="left"/>
            </w:pPr>
            <w:r>
              <w:t xml:space="preserve">产蛋 / 抱窝性 / 生殖调控</w:t>
            </w:r>
          </w:p>
        </w:tc>
        <w:tc>
          <w:tcPr/>
          <w:p>
            <w:pPr>
              <w:pStyle w:val="Compact"/>
              <w:jc w:val="left"/>
            </w:pPr>
            <w:r>
              <w:t xml:space="preserve">region/gene-level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生殖内分泌功能明确，部分产蛋相关研究重复出现</w:t>
            </w:r>
          </w:p>
        </w:tc>
        <w:tc>
          <w:tcPr/>
          <w:p>
            <w:pPr>
              <w:pStyle w:val="Compact"/>
              <w:jc w:val="left"/>
            </w:pPr>
            <w:r>
              <w:t xml:space="preserve">与 PRLR/SPEF2 结构变异背景的关系、具体因果变异、阶段特异作用和功能验证不足</w:t>
            </w:r>
          </w:p>
        </w:tc>
      </w:tr>
      <w:tr>
        <w:tc>
          <w:tcPr/>
          <w:p>
            <w:pPr>
              <w:pStyle w:val="Compact"/>
              <w:jc w:val="left"/>
            </w:pPr>
            <w:r>
              <w:t xml:space="preserve">NCAPG-FAM184B 区段</w:t>
            </w:r>
          </w:p>
        </w:tc>
        <w:tc>
          <w:tcPr/>
          <w:p>
            <w:pPr>
              <w:pStyle w:val="Compact"/>
              <w:jc w:val="left"/>
            </w:pPr>
            <w:r>
              <w:t xml:space="preserve">产蛋相关性状</w:t>
            </w:r>
          </w:p>
        </w:tc>
        <w:tc>
          <w:tcPr/>
          <w:p>
            <w:pPr>
              <w:pStyle w:val="Compact"/>
              <w:jc w:val="left"/>
            </w:pPr>
            <w:r>
              <w:t xml:space="preserve">region-level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多个产蛋相关 GWAS 或关联研究中出现</w:t>
            </w:r>
          </w:p>
        </w:tc>
        <w:tc>
          <w:tcPr/>
          <w:p>
            <w:pPr>
              <w:pStyle w:val="Compact"/>
              <w:jc w:val="left"/>
            </w:pPr>
            <w:r>
              <w:t xml:space="preserve">因果变异、靶组织机制和目标群体效应不明确</w:t>
            </w:r>
          </w:p>
        </w:tc>
      </w:tr>
      <w:tr>
        <w:tc>
          <w:tcPr/>
          <w:p>
            <w:pPr>
              <w:pStyle w:val="Compact"/>
              <w:jc w:val="left"/>
            </w:pPr>
            <w:r>
              <w:t xml:space="preserve">GGAZ 产蛋相关区域</w:t>
            </w:r>
          </w:p>
        </w:tc>
        <w:tc>
          <w:tcPr/>
          <w:p>
            <w:pPr>
              <w:pStyle w:val="Compact"/>
              <w:jc w:val="left"/>
            </w:pPr>
            <w:r>
              <w:t xml:space="preserve">产蛋节律 / 性成熟 / 繁殖性能</w:t>
            </w:r>
          </w:p>
        </w:tc>
        <w:tc>
          <w:tcPr/>
          <w:p>
            <w:pPr>
              <w:pStyle w:val="Compact"/>
              <w:jc w:val="left"/>
            </w:pPr>
            <w:r>
              <w:t xml:space="preserve">region-level</w:t>
            </w:r>
          </w:p>
        </w:tc>
        <w:tc>
          <w:tcPr/>
          <w:p>
            <w:pPr>
              <w:pStyle w:val="Compact"/>
              <w:jc w:val="left"/>
            </w:pPr>
            <w:r>
              <w:t xml:space="preserve">B</w:t>
            </w:r>
          </w:p>
        </w:tc>
        <w:tc>
          <w:tcPr/>
          <w:p>
            <w:pPr>
              <w:pStyle w:val="Compact"/>
              <w:jc w:val="left"/>
            </w:pPr>
            <w:r>
              <w:t xml:space="preserve">T0</w:t>
            </w:r>
          </w:p>
        </w:tc>
        <w:tc>
          <w:tcPr/>
          <w:p>
            <w:pPr>
              <w:pStyle w:val="Compact"/>
              <w:jc w:val="left"/>
            </w:pPr>
            <w:r>
              <w:t xml:space="preserve">Z 染色体上重复出现的产蛋相关信号</w:t>
            </w:r>
          </w:p>
        </w:tc>
        <w:tc>
          <w:tcPr/>
          <w:p>
            <w:pPr>
              <w:pStyle w:val="Compact"/>
              <w:jc w:val="left"/>
            </w:pPr>
            <w:r>
              <w:t xml:space="preserve">连锁结构、剂量效应、具体变异和功能验证不足</w:t>
            </w:r>
          </w:p>
        </w:tc>
      </w:tr>
      <w:tr>
        <w:tc>
          <w:tcPr/>
          <w:p>
            <w:pPr>
              <w:pStyle w:val="Compact"/>
              <w:jc w:val="left"/>
            </w:pPr>
            <w:r>
              <w:t xml:space="preserve">褐壳色相关候选信号</w:t>
            </w:r>
          </w:p>
        </w:tc>
        <w:tc>
          <w:tcPr/>
          <w:p>
            <w:pPr>
              <w:pStyle w:val="Compact"/>
              <w:jc w:val="left"/>
            </w:pPr>
            <w:r>
              <w:t xml:space="preserve">褐壳 / 原卟啉 IX 沉积</w:t>
            </w:r>
          </w:p>
        </w:tc>
        <w:tc>
          <w:tcPr/>
          <w:p>
            <w:pPr>
              <w:pStyle w:val="Compact"/>
              <w:jc w:val="left"/>
            </w:pPr>
            <w:r>
              <w:t xml:space="preserve">gene/region-level</w:t>
            </w:r>
          </w:p>
        </w:tc>
        <w:tc>
          <w:tcPr/>
          <w:p>
            <w:pPr>
              <w:pStyle w:val="Compact"/>
              <w:jc w:val="left"/>
            </w:pPr>
            <w:r>
              <w:t xml:space="preserve">C–B</w:t>
            </w:r>
          </w:p>
        </w:tc>
        <w:tc>
          <w:tcPr/>
          <w:p>
            <w:pPr>
              <w:pStyle w:val="Compact"/>
              <w:jc w:val="left"/>
            </w:pPr>
            <w:r>
              <w:t xml:space="preserve">T0–T1</w:t>
            </w:r>
          </w:p>
        </w:tc>
        <w:tc>
          <w:tcPr/>
          <w:p>
            <w:pPr>
              <w:pStyle w:val="Compact"/>
              <w:jc w:val="left"/>
            </w:pPr>
            <w:r>
              <w:t xml:space="preserve">色素合成、转运和壳腺表达相关候选基因</w:t>
            </w:r>
          </w:p>
        </w:tc>
        <w:tc>
          <w:tcPr/>
          <w:p>
            <w:pPr>
              <w:pStyle w:val="Compact"/>
              <w:jc w:val="left"/>
            </w:pPr>
            <w:r>
              <w:t xml:space="preserve">缺少稳定单一主效变异、强功能验证和跨群体应用边界</w:t>
            </w:r>
          </w:p>
        </w:tc>
      </w:tr>
      <w:tr>
        <w:tc>
          <w:tcPr/>
          <w:p>
            <w:pPr>
              <w:pStyle w:val="Compact"/>
              <w:jc w:val="left"/>
            </w:pPr>
            <w:r>
              <w:t xml:space="preserve">SPP1 / OC-17 / OC-116 / CALB1 / CA2 等</w:t>
            </w:r>
          </w:p>
        </w:tc>
        <w:tc>
          <w:tcPr/>
          <w:p>
            <w:pPr>
              <w:pStyle w:val="Compact"/>
              <w:jc w:val="left"/>
            </w:pPr>
            <w:r>
              <w:t xml:space="preserve">蛋壳强度 / 钙化</w:t>
            </w:r>
          </w:p>
        </w:tc>
        <w:tc>
          <w:tcPr/>
          <w:p>
            <w:pPr>
              <w:pStyle w:val="Compact"/>
              <w:jc w:val="left"/>
            </w:pPr>
            <w:r>
              <w:t xml:space="preserve">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壳腺表达、矿化和钙代谢生物学合理性，部分关联或表达证据</w:t>
            </w:r>
          </w:p>
        </w:tc>
        <w:tc>
          <w:tcPr/>
          <w:p>
            <w:pPr>
              <w:pStyle w:val="Compact"/>
              <w:jc w:val="left"/>
            </w:pPr>
            <w:r>
              <w:t xml:space="preserve">多数缺明确自然变异和强功能验证</w:t>
            </w:r>
          </w:p>
        </w:tc>
      </w:tr>
      <w:tr>
        <w:tc>
          <w:tcPr/>
          <w:p>
            <w:pPr>
              <w:pStyle w:val="Compact"/>
              <w:jc w:val="left"/>
            </w:pPr>
            <w:r>
              <w:t xml:space="preserve">OVAL / OVM / LYZ / TF 等</w:t>
            </w:r>
          </w:p>
        </w:tc>
        <w:tc>
          <w:tcPr/>
          <w:p>
            <w:pPr>
              <w:pStyle w:val="Compact"/>
              <w:jc w:val="left"/>
            </w:pPr>
            <w:r>
              <w:t xml:space="preserve">蛋白品质 / 内部蛋品质</w:t>
            </w:r>
          </w:p>
        </w:tc>
        <w:tc>
          <w:tcPr/>
          <w:p>
            <w:pPr>
              <w:pStyle w:val="Compact"/>
              <w:jc w:val="left"/>
            </w:pPr>
            <w:r>
              <w:t xml:space="preserve">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蛋白组成、抗菌功能和内部品质相关生物学背景</w:t>
            </w:r>
          </w:p>
        </w:tc>
        <w:tc>
          <w:tcPr/>
          <w:p>
            <w:pPr>
              <w:pStyle w:val="Compact"/>
              <w:jc w:val="left"/>
            </w:pPr>
            <w:r>
              <w:t xml:space="preserve">表型受周龄、储藏和环境影响大；缺等位变异和体内因果验证</w:t>
            </w:r>
          </w:p>
        </w:tc>
      </w:tr>
      <w:tr>
        <w:tc>
          <w:tcPr/>
          <w:p>
            <w:pPr>
              <w:pStyle w:val="Compact"/>
              <w:jc w:val="left"/>
            </w:pPr>
            <w:r>
              <w:t xml:space="preserve">繁殖内分泌相关基因</w:t>
            </w:r>
          </w:p>
        </w:tc>
        <w:tc>
          <w:tcPr/>
          <w:p>
            <w:pPr>
              <w:pStyle w:val="Compact"/>
              <w:jc w:val="left"/>
            </w:pPr>
            <w:r>
              <w:t xml:space="preserve">卵泡发育 / 排卵 / 内分泌调控</w:t>
            </w:r>
          </w:p>
        </w:tc>
        <w:tc>
          <w:tcPr/>
          <w:p>
            <w:pPr>
              <w:pStyle w:val="Compact"/>
              <w:jc w:val="left"/>
            </w:pPr>
            <w:r>
              <w:t xml:space="preserve">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FSHR、LHCGR、ESR1/2、VIP/VIPR1、GDF9、BMP15、CYP19A1 等具有明确生理意义</w:t>
            </w:r>
          </w:p>
        </w:tc>
        <w:tc>
          <w:tcPr/>
          <w:p>
            <w:pPr>
              <w:pStyle w:val="Compact"/>
              <w:jc w:val="left"/>
            </w:pPr>
            <w:r>
              <w:t xml:space="preserve">群体内强效自然变异、跨群体重复和功能验证不足</w:t>
            </w:r>
          </w:p>
        </w:tc>
      </w:tr>
    </w:tbl>
    <w:p>
      <w:pPr>
        <w:pStyle w:val="BodyText"/>
      </w:pPr>
      <w:r>
        <w:t xml:space="preserve">注：</w:t>
      </w:r>
      <w:r>
        <w:t xml:space="preserve">“</w:t>
      </w:r>
      <w:r>
        <w:t xml:space="preserve">T2（壳色管理场景）</w:t>
      </w:r>
      <w:r>
        <w:t xml:space="preserve">”</w:t>
      </w:r>
      <w:r>
        <w:t xml:space="preserve">仅指蓝壳识别、品种特征管理或蓝壳商品分级；不可外推到产蛋数量、蛋壳强度或综合蛋品质。</w:t>
      </w:r>
    </w:p>
    <w:p>
      <w:pPr>
        <w:pStyle w:val="BodyText"/>
      </w:pPr>
      <w:r>
        <w:t xml:space="preserve">本节代表性位点中，SLCO1B3 可作为壳色方向的 variant-level A 样板，但其 T2 仅限蓝壳性状；产蛋数量、产蛋持续性、蛋壳强度和内部蛋品质的大多数候选位点仍停留在 B 或 C–B 阶段。这一分布说明，在家鸡复杂经济性状中，单一可见表型更容易达到 variant-level A，而多基因连续性状通常受到性状结构、表型记录和功能验证条件的共同限制。产蛋与蛋品质育种因此仍应以 GS、纵向表型和多性状选择指数为主，强证据主效位点则主要用于特定品种特征管理或目标群体验证。</w:t>
      </w:r>
    </w:p>
    <w:bookmarkEnd w:id="33"/>
    <w:bookmarkStart w:id="34" w:name="抗病与免疫性状"/>
    <w:p>
      <w:pPr>
        <w:pStyle w:val="Heading3"/>
      </w:pPr>
      <w:r>
        <w:t xml:space="preserve">4.3 抗病与免疫性状</w:t>
      </w:r>
    </w:p>
    <w:p>
      <w:pPr>
        <w:pStyle w:val="FirstParagraph"/>
      </w:pPr>
      <w:r>
        <w:t xml:space="preserve">抗病与免疫性状是家鸡遗传改良中最复杂的方向之一。与壳色、羽色或体型这类相对稳定的表型不同，抗病表型受到病原类型、毒株差异、感染剂量、感染途径、日龄、疫苗背景、饲养环境、微生物群、应激状态和免疫测定终点共同影响。即使研究对象都被称为“抗病性”，其具体表型也可能完全不同：有的研究记录死亡率或存活时间，有的记录病原载量、抗体滴度、病变评分、炎症因子表达或生产性能损失；有的关注 resistance，即降低病原复制或定植；有的更接近 tolerance，即在感染存在时维持健康和生产性能。因此，抗病候选位点的证据等级必须绑定具体病原、具体表型和具体感染模型，不能泛化为“抗病基因”。</w:t>
      </w:r>
    </w:p>
    <w:p>
      <w:pPr>
        <w:pStyle w:val="BodyText"/>
      </w:pPr>
      <w:r>
        <w:t xml:space="preserve">MHC-B 区域是家鸡抗病遗传研究中最经典、证据积累最多的免疫相关区域之一。不同 MHC-B 单倍型与马立克氏病、抗体反应、疫苗应答和多种免疫性状之间的关系已被长期讨论。对于具有强连锁、多基因构成，且单倍型层面证据强于单一变异层面的免疫复合区域，本文采用 haplotype-level 标签，用以区别 variant-level 和 gene-level 证据。MHC-B 的优势在于免疫功能明确、跨研究重复较多、与特定疾病或免疫表型的关联相对稳定；其局限也同样明显：该区域高度多态、强连锁、基因密集，单倍型之间往往包含多个免疫相关基因和调控差异，很难将效应归因于单一因果变异或单一因果基因。</w:t>
      </w:r>
    </w:p>
    <w:p>
      <w:pPr>
        <w:pStyle w:val="BodyText"/>
      </w:pPr>
      <w:r>
        <w:t xml:space="preserve">因此，MHC-B 在本文框架下更适合定位为</w:t>
      </w:r>
      <w:r>
        <w:t xml:space="preserve"> </w:t>
      </w:r>
      <w:r>
        <w:rPr>
          <w:b/>
          <w:bCs/>
        </w:rPr>
        <w:t xml:space="preserve">haplotype/region-level B+ / T1（限特定疾病和目标群体）</w:t>
      </w:r>
      <w:r>
        <w:t xml:space="preserve">，而不是 variant-level A。这个降级判断有三个原因。第一，MHC-B 单倍型作用机制往往涉及多个紧密连锁的免疫相关基因和调控差异，难以满足单一“变异—分子功能—表型”链条的要求。第二，单倍型效应具有强病原特异性、疫苗背景依赖性和遗传背景修饰，同一单倍型不一定在不同疾病、品系或免疫背景中表现出一致效应。第三，MHC 区域的高度多态、强 LD 和重组受限，使得变异层面的精细定位和因果归属非常困难。如果未来能够识别出特定单倍型中承担主要保护作用的具体因果基因或变异，并完成相应功能验证，相关证据等级才有可能上调。</w:t>
      </w:r>
    </w:p>
    <w:p>
      <w:pPr>
        <w:pStyle w:val="BodyText"/>
      </w:pPr>
      <w:r>
        <w:t xml:space="preserve">MHC-B 的 T 轴也必须谨慎处理。某一单倍型在特定病原、特定品系或特定疫苗背景下表现出保护效应，并不意味着它在所有商业群体中都具有相同价值。免疫位点常常伴随多性状权衡，例如抗病性、疫苗应答、生长性能、繁殖性能和免疫过度激活之间可能存在冲突。因此，即使某些 MHC-B 单倍型在特定抗病场景中可达到 T1，是否能进入 T2 仍需要真实育种流程中的多性状评估、跨环境验证和经济权重判断。</w:t>
      </w:r>
    </w:p>
    <w:p>
      <w:pPr>
        <w:pStyle w:val="BodyText"/>
      </w:pPr>
      <w:r>
        <w:t xml:space="preserve">禽流感宿主因子研究中，ANP32A 是当前功能证据最强的代表之一。编辑 ANP32A 可影响禽流感病毒聚合酶适配和复制，为理解宿主限制因子与病毒复制之间的关系提供了强功能证据。按本文框架，ANP32A 是非对称证据的典型代表：其</w:t>
      </w:r>
      <w:r>
        <w:t xml:space="preserve"> </w:t>
      </w:r>
      <w:r>
        <w:rPr>
          <w:b/>
          <w:bCs/>
        </w:rPr>
        <w:t xml:space="preserve">gene/target-level 可达到 A / T0–T1（高转化风险）</w:t>
      </w:r>
      <w:r>
        <w:t xml:space="preserve">，但其自然群体中的</w:t>
      </w:r>
      <w:r>
        <w:t xml:space="preserve"> </w:t>
      </w:r>
      <w:r>
        <w:rPr>
          <w:b/>
          <w:bCs/>
        </w:rPr>
        <w:t xml:space="preserve">variant-level 证据目前更适合定位为 B–C / T0</w:t>
      </w:r>
      <w:r>
        <w:t xml:space="preserve">。前者来自编辑或强扰动实验，确立了靶点在病毒复制中的功能作用；后者反映自然群体中尚缺少足以支持直接选择育种的可育种保护性等位变异。这两条评级不应合并为单一最高等级，这正是第 3.4 节所讨论的非对称证据情形。</w:t>
      </w:r>
    </w:p>
    <w:p>
      <w:pPr>
        <w:pStyle w:val="BodyText"/>
      </w:pPr>
      <w:r>
        <w:t xml:space="preserve">ANP32A 的转化边界尤其重要。抗病毒编辑不是单纯的“敲掉易感基因”问题。ANP32A 的转化边界涉及病原维度、宿主维度和制度维度：病原维度包括病毒适应性突变和潜在逃逸；宿主维度包括 ANP32 家族成员功能补偿、多性状影响和动物福利；制度维度包括监管路径、消费者接受度和产业实施成本。任何一个维度的不确定性，都可能阻断从靶点验证到产业应用的转化。因此，</w:t>
      </w:r>
      <w:r>
        <w:t xml:space="preserve">“</w:t>
      </w:r>
      <w:r>
        <w:t xml:space="preserve">高转化风险</w:t>
      </w:r>
      <w:r>
        <w:t xml:space="preserve">”</w:t>
      </w:r>
      <w:r>
        <w:t xml:space="preserve">并不是否定 ANP32A 的靶点价值，而是提示即使其功能证据强，T 轴评估仍需要比普通生产性状更严格的约束条件。</w:t>
      </w:r>
    </w:p>
    <w:p>
      <w:pPr>
        <w:pStyle w:val="BodyText"/>
      </w:pPr>
      <w:r>
        <w:t xml:space="preserve">TVB/NHE1 受体相关研究可以作为与 ANP32A 部分对照的另一类抗病靶点案例。受体型抗病位点的一个特点是，如果病原入侵高度依赖特定宿主受体，那么编辑或自然变异改变受体结构可能直接影响易感性。以 ALV 相关受体研究为例，NHE1 相关变异和编辑研究为 ALV-J 易感性提供了重要机制线索；TVB 相关受体位点也长期用于解释不同 ALV 亚群的宿主易感差异。与 ANP32A 相比，这类受体位点有时同时具有靶点功能证据和一定自然变异证据。按本文框架，TVB/NHE1 受体相关证据可作为</w:t>
      </w:r>
      <w:r>
        <w:t xml:space="preserve"> </w:t>
      </w:r>
      <w:r>
        <w:rPr>
          <w:b/>
          <w:bCs/>
        </w:rPr>
        <w:t xml:space="preserve">gene/target-level A 或 B+ / T0–T1</w:t>
      </w:r>
      <w:r>
        <w:t xml:space="preserve"> </w:t>
      </w:r>
      <w:r>
        <w:t xml:space="preserve">的候选，同时其</w:t>
      </w:r>
      <w:r>
        <w:t xml:space="preserve"> </w:t>
      </w:r>
      <w:r>
        <w:rPr>
          <w:b/>
          <w:bCs/>
        </w:rPr>
        <w:t xml:space="preserve">variant-level 证据可暂定为 B–B+ / T0</w:t>
      </w:r>
      <w:r>
        <w:t xml:space="preserve">，具体等级取决于自然变异是否明确、是否具有跨群体稳定效应以及是否完成体内感染验证。该类案例说明，当抗病靶点同时存在可育种自然变异时，gene/target-level 与 variant-level 之间的非对称程度可能小于 ANP32A 这类宿主限制因子。</w:t>
      </w:r>
    </w:p>
    <w:p>
      <w:pPr>
        <w:pStyle w:val="BodyText"/>
      </w:pPr>
      <w:r>
        <w:t xml:space="preserve">除 MHC-B、ANP32A 和受体型抗病位点外，家鸡抗病研究中还经常出现 TLR4、TLR7、TLR15、IFITM3、MX1、OASL、SLC11A1、IL6、IL10、IFNG 等免疫相关基因。这些基因在先天免疫、干扰素通路、炎症反应、巨噬细胞功能、病毒限制或细菌清除中具有明确生物学意义。按 C/B/B+/A 标准，这类基因多数应定位为</w:t>
      </w:r>
      <w:r>
        <w:t xml:space="preserve"> </w:t>
      </w:r>
      <w:r>
        <w:rPr>
          <w:b/>
          <w:bCs/>
        </w:rPr>
        <w:t xml:space="preserve">gene-level C–B / T0</w:t>
      </w:r>
      <w:r>
        <w:t xml:space="preserve">：如果证据主要来自候选基因关联、差异表达或感染后表达变化，应判定为 C 级线索；若在独立群体、感染模型、细胞实验或分子机制中获得一致支持，可上调至 B 级。MX1 是其中较典型的争议性候选基因之一，特定多态性曾被长期讨论，但其群体内稳定抗病效应和因果性并未在所有研究中形成一致结论。这个例子说明，即使一个免疫基因具有强通路合理性，也不能在缺少稳定等位基因效应和体内验证时直接上升为强因果位点。</w:t>
      </w:r>
    </w:p>
    <w:p>
      <w:pPr>
        <w:pStyle w:val="BodyText"/>
      </w:pPr>
      <w:r>
        <w:t xml:space="preserve">马立克氏病研究能够很好地说明抗病性状的证据复杂性。马立克氏病抗性受到 MHC、非 MHC 位点、病毒毒株、疫苗背景、免疫状态和肿瘤发生过程共同影响。除 MHC-B 外，多项 QTL、GWAS 和转录组研究报道了与病毒载量、肿瘤发生、免疫反应或存活相关的候选区域和候选基因。这些研究对理解病理机制有价值，但多数信号仍应定位为</w:t>
      </w:r>
      <w:r>
        <w:t xml:space="preserve"> </w:t>
      </w:r>
      <w:r>
        <w:rPr>
          <w:b/>
          <w:bCs/>
        </w:rPr>
        <w:t xml:space="preserve">region/gene-level C–B / T0</w:t>
      </w:r>
      <w:r>
        <w:t xml:space="preserve">。原因是不同研究使用的病原株、感染剂量、评价终点和遗传背景差异较大，导致候选区域之间可比性有限。只有当某个区域在独立挑战实验中方向一致，并进一步连接到明确变异、免疫机制和体内表型时，才适合上调为更高等级。</w:t>
      </w:r>
    </w:p>
    <w:p>
      <w:pPr>
        <w:pStyle w:val="BodyText"/>
      </w:pPr>
      <w:r>
        <w:t xml:space="preserve">沙门氏菌抗性也是类似情形。SLC11A1、TLR4、LYZ、IL 家族和其他巨噬细胞或黏膜免疫相关基因常被作为候选基因讨论。这些基因具有明确免疫功能背景，部分研究也报道了与细菌载量、脾脏或盲肠定植、炎症反应或抗体水平相关的关联。然而，沙门氏菌感染表型受菌株、感染途径、采样组织、日龄、微生物群和环境卫生条件影响很大。依 3.2 节评级，沙门氏菌相关候选基因多数应定位为</w:t>
      </w:r>
      <w:r>
        <w:t xml:space="preserve"> </w:t>
      </w:r>
      <w:r>
        <w:rPr>
          <w:b/>
          <w:bCs/>
        </w:rPr>
        <w:t xml:space="preserve">gene-level C–B / T0</w:t>
      </w:r>
      <w:r>
        <w:t xml:space="preserve">。它们适合作为机制研究和目标群体风险评估的候选对象，但在缺少稳定等位基因效应和干预验证前，不应作为直接选择标记。</w:t>
      </w:r>
    </w:p>
    <w:p>
      <w:pPr>
        <w:pStyle w:val="BodyText"/>
      </w:pPr>
      <w:r>
        <w:t xml:space="preserve">球虫病抗性研究同样需要区分免疫反应指标和真正的抗病育种价值。球虫感染后的病变评分、增重损失、卵囊排出量、肠道屏障功能、炎症因子表达和免疫细胞浸润，代表不同层面的表型。部分候选基因或 QTL 可能影响某一终点，但未必能同时改善生产性能和健康状态。与球虫相关的细胞因子、TLR 通路、黏膜免疫和肠道屏障候选基因，多数目前仍应定位为</w:t>
      </w:r>
      <w:r>
        <w:t xml:space="preserve"> </w:t>
      </w:r>
      <w:r>
        <w:rPr>
          <w:b/>
          <w:bCs/>
        </w:rPr>
        <w:t xml:space="preserve">gene/region-level C–B / T0</w:t>
      </w:r>
      <w:r>
        <w:t xml:space="preserve">。若仅有感染后差异表达或通路富集，应作为免疫反应线索处理；若具有跨群体 QTL、细胞功能验证或稳定挑战试验支持，可作为 B 级验证对象。</w:t>
      </w:r>
    </w:p>
    <w:p>
      <w:pPr>
        <w:pStyle w:val="BodyText"/>
      </w:pPr>
      <w:r>
        <w:t xml:space="preserve">抗病性状中还必须特别警惕“免疫增强等于育种价值提高”的误读。较强炎症反应不一定代表更强抗病性；更低病原载量也不一定意味着更高生产性能；某些抗病等位基因可能在无病原压力环境下带来生长或繁殖成本。对育种而言，真正需要的是在目标生产环境中同时兼顾病原控制、生产性能、动物福利和经济效益的综合结果。这意味着抗病位点的 T 轴评估必须以生产环境下的综合表现为终点，而不是以实验感染模型下的单一免疫指标为终点。因此，抗病候选位点的产业适用性评估往往比普通生产性状更复杂，必须结合病原流行背景、疫苗策略、生物安全水平和商业群体遗传结构。</w:t>
      </w:r>
    </w:p>
    <w:p>
      <w:pPr>
        <w:pStyle w:val="BodyText"/>
      </w:pPr>
      <w:r>
        <w:t xml:space="preserve">总体来看，抗病与免疫性状的证据分布具有两个特点。第一，部分靶点或区域具有很强生物学证据，例如 ANP32A 在宿主因子编辑层面可达到 gene/target-level A，MHC-B 在特定疾病背景下可达到 haplotype/region-level B+。第二，抗病性状的证据格局与生长、产蛋和蛋品质显著不同：A 级证据更多出现在 gene/target-level，而 variant-level A 几乎缺席。这种非对称分布提示，抗病育种的核心瓶颈不在于发现候选靶点，而在于把靶点功能证据转化为可育种自然变异，或转化为监管、福利和产业上可接受的编辑应用。多数感染相关候选基因仍处于 C–B 阶段，说明抗病育种不宜依赖单个候选基因直接决策，而应将强靶点用于功能验证和风险评估，将中等证据位点作为 GS 或选择指数中的功能先验，并把多性状和病原生态风险纳入 T 轴判断。</w:t>
      </w:r>
    </w:p>
    <w:p>
      <w:pPr>
        <w:pStyle w:val="BodyText"/>
      </w:pPr>
      <w:r>
        <w:rPr>
          <w:b/>
          <w:bCs/>
        </w:rPr>
        <w:t xml:space="preserve">表 4 抗病与免疫性状代表性候选位点的证据成熟度</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位点或证据单元</w:t>
            </w:r>
          </w:p>
        </w:tc>
        <w:tc>
          <w:tcPr/>
          <w:p>
            <w:pPr>
              <w:pStyle w:val="Compact"/>
              <w:jc w:val="left"/>
            </w:pPr>
            <w:r>
              <w:t xml:space="preserve">性状方向</w:t>
            </w:r>
          </w:p>
        </w:tc>
        <w:tc>
          <w:tcPr/>
          <w:p>
            <w:pPr>
              <w:pStyle w:val="Compact"/>
              <w:jc w:val="left"/>
            </w:pPr>
            <w:r>
              <w:t xml:space="preserve">证据层级</w:t>
            </w:r>
          </w:p>
        </w:tc>
        <w:tc>
          <w:tcPr/>
          <w:p>
            <w:pPr>
              <w:pStyle w:val="Compact"/>
              <w:jc w:val="left"/>
            </w:pPr>
            <w:r>
              <w:t xml:space="preserve">证据等级</w:t>
            </w:r>
          </w:p>
        </w:tc>
        <w:tc>
          <w:tcPr/>
          <w:p>
            <w:pPr>
              <w:pStyle w:val="Compact"/>
              <w:jc w:val="left"/>
            </w:pPr>
            <w:r>
              <w:t xml:space="preserve">T 等级</w:t>
            </w:r>
          </w:p>
        </w:tc>
        <w:tc>
          <w:tcPr/>
          <w:p>
            <w:pPr>
              <w:pStyle w:val="Compact"/>
              <w:jc w:val="left"/>
            </w:pPr>
            <w:r>
              <w:t xml:space="preserve">关键证据</w:t>
            </w:r>
          </w:p>
        </w:tc>
        <w:tc>
          <w:tcPr/>
          <w:p>
            <w:pPr>
              <w:pStyle w:val="Compact"/>
              <w:jc w:val="left"/>
            </w:pPr>
            <w:r>
              <w:t xml:space="preserve">主要缺口</w:t>
            </w:r>
          </w:p>
        </w:tc>
      </w:tr>
      <w:tr>
        <w:tc>
          <w:tcPr/>
          <w:p>
            <w:pPr>
              <w:pStyle w:val="Compact"/>
              <w:jc w:val="left"/>
            </w:pPr>
            <w:r>
              <w:t xml:space="preserve">ANP32A</w:t>
            </w:r>
          </w:p>
        </w:tc>
        <w:tc>
          <w:tcPr/>
          <w:p>
            <w:pPr>
              <w:pStyle w:val="Compact"/>
              <w:jc w:val="left"/>
            </w:pPr>
            <w:r>
              <w:t xml:space="preserve">禽流感病毒复制 / 宿主因子</w:t>
            </w:r>
          </w:p>
        </w:tc>
        <w:tc>
          <w:tcPr/>
          <w:p>
            <w:pPr>
              <w:pStyle w:val="Compact"/>
              <w:jc w:val="left"/>
            </w:pPr>
            <w:r>
              <w:t xml:space="preserve">gene/target-level + variant-level</w:t>
            </w:r>
          </w:p>
        </w:tc>
        <w:tc>
          <w:tcPr/>
          <w:p>
            <w:pPr>
              <w:pStyle w:val="Compact"/>
              <w:jc w:val="left"/>
            </w:pPr>
            <w:r>
              <w:t xml:space="preserve">A（gene/target）+ B–C（variant）</w:t>
            </w:r>
          </w:p>
        </w:tc>
        <w:tc>
          <w:tcPr/>
          <w:p>
            <w:pPr>
              <w:pStyle w:val="Compact"/>
              <w:jc w:val="left"/>
            </w:pPr>
            <w:r>
              <w:t xml:space="preserve">T0–T1（高转化风险）</w:t>
            </w:r>
          </w:p>
        </w:tc>
        <w:tc>
          <w:tcPr/>
          <w:p>
            <w:pPr>
              <w:pStyle w:val="Compact"/>
              <w:jc w:val="left"/>
            </w:pPr>
            <w:r>
              <w:t xml:space="preserve">编辑或强扰动证明宿主因子影响病毒复制和感染结局</w:t>
            </w:r>
          </w:p>
        </w:tc>
        <w:tc>
          <w:tcPr/>
          <w:p>
            <w:pPr>
              <w:pStyle w:val="Compact"/>
              <w:jc w:val="left"/>
            </w:pPr>
            <w:r>
              <w:t xml:space="preserve">自然可育种等位变异、病原逃逸、ANP32 家族补偿、多性状影响、监管和福利评估</w:t>
            </w:r>
          </w:p>
        </w:tc>
      </w:tr>
      <w:tr>
        <w:tc>
          <w:tcPr/>
          <w:p>
            <w:pPr>
              <w:pStyle w:val="Compact"/>
              <w:jc w:val="left"/>
            </w:pPr>
            <w:r>
              <w:t xml:space="preserve">TVB/NHE1 受体相关位点</w:t>
            </w:r>
          </w:p>
        </w:tc>
        <w:tc>
          <w:tcPr/>
          <w:p>
            <w:pPr>
              <w:pStyle w:val="Compact"/>
              <w:jc w:val="left"/>
            </w:pPr>
            <w:r>
              <w:t xml:space="preserve">ALV 易感性 / 病毒入侵受体</w:t>
            </w:r>
          </w:p>
        </w:tc>
        <w:tc>
          <w:tcPr/>
          <w:p>
            <w:pPr>
              <w:pStyle w:val="Compact"/>
              <w:jc w:val="left"/>
            </w:pPr>
            <w:r>
              <w:t xml:space="preserve">gene/target-level + variant-level</w:t>
            </w:r>
          </w:p>
        </w:tc>
        <w:tc>
          <w:tcPr/>
          <w:p>
            <w:pPr>
              <w:pStyle w:val="Compact"/>
              <w:jc w:val="left"/>
            </w:pPr>
            <w:r>
              <w:t xml:space="preserve">A 或 B+（gene/target）+ B–B+（variant）</w:t>
            </w:r>
          </w:p>
        </w:tc>
        <w:tc>
          <w:tcPr/>
          <w:p>
            <w:pPr>
              <w:pStyle w:val="Compact"/>
              <w:jc w:val="left"/>
            </w:pPr>
            <w:r>
              <w:t xml:space="preserve">T0–T1</w:t>
            </w:r>
          </w:p>
        </w:tc>
        <w:tc>
          <w:tcPr/>
          <w:p>
            <w:pPr>
              <w:pStyle w:val="Compact"/>
              <w:jc w:val="left"/>
            </w:pPr>
            <w:r>
              <w:t xml:space="preserve">病毒受体机制、编辑或自然变异影响易感性的证据</w:t>
            </w:r>
          </w:p>
        </w:tc>
        <w:tc>
          <w:tcPr/>
          <w:p>
            <w:pPr>
              <w:pStyle w:val="Compact"/>
              <w:jc w:val="left"/>
            </w:pPr>
            <w:r>
              <w:t xml:space="preserve">跨群体自然变异效应、病毒亚群特异性、体内感染验证和产业边界</w:t>
            </w:r>
          </w:p>
        </w:tc>
      </w:tr>
      <w:tr>
        <w:tc>
          <w:tcPr/>
          <w:p>
            <w:pPr>
              <w:pStyle w:val="Compact"/>
              <w:jc w:val="left"/>
            </w:pPr>
            <w:r>
              <w:t xml:space="preserve">MHC-B 单倍型</w:t>
            </w:r>
          </w:p>
        </w:tc>
        <w:tc>
          <w:tcPr/>
          <w:p>
            <w:pPr>
              <w:pStyle w:val="Compact"/>
              <w:jc w:val="left"/>
            </w:pPr>
            <w:r>
              <w:t xml:space="preserve">马立克氏病 / 免疫应答 / 疫苗反应</w:t>
            </w:r>
          </w:p>
        </w:tc>
        <w:tc>
          <w:tcPr/>
          <w:p>
            <w:pPr>
              <w:pStyle w:val="Compact"/>
              <w:jc w:val="left"/>
            </w:pPr>
            <w:r>
              <w:t xml:space="preserve">haplotype/region-level</w:t>
            </w:r>
          </w:p>
        </w:tc>
        <w:tc>
          <w:tcPr/>
          <w:p>
            <w:pPr>
              <w:pStyle w:val="Compact"/>
              <w:jc w:val="left"/>
            </w:pPr>
            <w:r>
              <w:t xml:space="preserve">B+</w:t>
            </w:r>
          </w:p>
        </w:tc>
        <w:tc>
          <w:tcPr/>
          <w:p>
            <w:pPr>
              <w:pStyle w:val="Compact"/>
              <w:jc w:val="left"/>
            </w:pPr>
            <w:r>
              <w:t xml:space="preserve">T1（限特定疾病和群体）</w:t>
            </w:r>
          </w:p>
        </w:tc>
        <w:tc>
          <w:tcPr/>
          <w:p>
            <w:pPr>
              <w:pStyle w:val="Compact"/>
              <w:jc w:val="left"/>
            </w:pPr>
            <w:r>
              <w:t xml:space="preserve">免疫功能明确，跨研究和特定病原背景下重复较多</w:t>
            </w:r>
          </w:p>
        </w:tc>
        <w:tc>
          <w:tcPr/>
          <w:p>
            <w:pPr>
              <w:pStyle w:val="Compact"/>
              <w:jc w:val="left"/>
            </w:pPr>
            <w:r>
              <w:t xml:space="preserve">单一因果变异难以解析；单倍型效应具有病原、疫苗和遗传背景依赖性</w:t>
            </w:r>
          </w:p>
        </w:tc>
      </w:tr>
      <w:tr>
        <w:tc>
          <w:tcPr/>
          <w:p>
            <w:pPr>
              <w:pStyle w:val="Compact"/>
              <w:jc w:val="left"/>
            </w:pPr>
            <w:r>
              <w:t xml:space="preserve">马立克氏病非 MHC QTL/GWAS 区域</w:t>
            </w:r>
          </w:p>
        </w:tc>
        <w:tc>
          <w:tcPr/>
          <w:p>
            <w:pPr>
              <w:pStyle w:val="Compact"/>
              <w:jc w:val="left"/>
            </w:pPr>
            <w:r>
              <w:t xml:space="preserve">马立克氏病抗性 / 病毒载量 / 肿瘤发生</w:t>
            </w:r>
          </w:p>
        </w:tc>
        <w:tc>
          <w:tcPr/>
          <w:p>
            <w:pPr>
              <w:pStyle w:val="Compact"/>
              <w:jc w:val="left"/>
            </w:pPr>
            <w:r>
              <w:t xml:space="preserve">region/gene-level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挑战实验、QTL/GWAS、转录组或免疫反应候选信号</w:t>
            </w:r>
          </w:p>
        </w:tc>
        <w:tc>
          <w:tcPr/>
          <w:p>
            <w:pPr>
              <w:pStyle w:val="Compact"/>
              <w:jc w:val="left"/>
            </w:pPr>
            <w:r>
              <w:t xml:space="preserve">病毒株、感染剂量、评价终点和遗传背景差异大；因果变异和功能验证不足</w:t>
            </w:r>
          </w:p>
        </w:tc>
      </w:tr>
      <w:tr>
        <w:tc>
          <w:tcPr/>
          <w:p>
            <w:pPr>
              <w:pStyle w:val="Compact"/>
              <w:jc w:val="left"/>
            </w:pPr>
            <w:r>
              <w:t xml:space="preserve">TLR4 / TLR7 / TLR15 等</w:t>
            </w:r>
          </w:p>
        </w:tc>
        <w:tc>
          <w:tcPr/>
          <w:p>
            <w:pPr>
              <w:pStyle w:val="Compact"/>
              <w:jc w:val="left"/>
            </w:pPr>
            <w:r>
              <w:t xml:space="preserve">先天免疫 / 病原识别</w:t>
            </w:r>
          </w:p>
        </w:tc>
        <w:tc>
          <w:tcPr/>
          <w:p>
            <w:pPr>
              <w:pStyle w:val="Compact"/>
              <w:jc w:val="left"/>
            </w:pPr>
            <w:r>
              <w:t xml:space="preserve">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病原识别和炎症反应通路生物学合理性，部分关联或表达证据</w:t>
            </w:r>
          </w:p>
        </w:tc>
        <w:tc>
          <w:tcPr/>
          <w:p>
            <w:pPr>
              <w:pStyle w:val="Compact"/>
              <w:jc w:val="left"/>
            </w:pPr>
            <w:r>
              <w:t xml:space="preserve">明确自然变异、等位基因效应和体内抗病验证不足</w:t>
            </w:r>
          </w:p>
        </w:tc>
      </w:tr>
      <w:tr>
        <w:tc>
          <w:tcPr/>
          <w:p>
            <w:pPr>
              <w:pStyle w:val="Compact"/>
              <w:jc w:val="left"/>
            </w:pPr>
            <w:r>
              <w:t xml:space="preserve">IFITM3 / MX1 / OASL 等</w:t>
            </w:r>
          </w:p>
        </w:tc>
        <w:tc>
          <w:tcPr/>
          <w:p>
            <w:pPr>
              <w:pStyle w:val="Compact"/>
              <w:jc w:val="left"/>
            </w:pPr>
            <w:r>
              <w:t xml:space="preserve">抗病毒限制因子 / 干扰素通路</w:t>
            </w:r>
          </w:p>
        </w:tc>
        <w:tc>
          <w:tcPr/>
          <w:p>
            <w:pPr>
              <w:pStyle w:val="Compact"/>
              <w:jc w:val="left"/>
            </w:pPr>
            <w:r>
              <w:t xml:space="preserve">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抗病毒通路功能明确，部分感染模型或表达证据支持</w:t>
            </w:r>
          </w:p>
        </w:tc>
        <w:tc>
          <w:tcPr/>
          <w:p>
            <w:pPr>
              <w:pStyle w:val="Compact"/>
              <w:jc w:val="left"/>
            </w:pPr>
            <w:r>
              <w:t xml:space="preserve">群体内可育种变异、稳定抗病效应和多性状影响不清楚</w:t>
            </w:r>
          </w:p>
        </w:tc>
      </w:tr>
      <w:tr>
        <w:tc>
          <w:tcPr/>
          <w:p>
            <w:pPr>
              <w:pStyle w:val="Compact"/>
              <w:jc w:val="left"/>
            </w:pPr>
            <w:r>
              <w:t xml:space="preserve">SLC11A1 / LYZ / IL 家族等</w:t>
            </w:r>
          </w:p>
        </w:tc>
        <w:tc>
          <w:tcPr/>
          <w:p>
            <w:pPr>
              <w:pStyle w:val="Compact"/>
              <w:jc w:val="left"/>
            </w:pPr>
            <w:r>
              <w:t xml:space="preserve">沙门氏菌抗性 / 巨噬细胞与黏膜免疫</w:t>
            </w:r>
          </w:p>
        </w:tc>
        <w:tc>
          <w:tcPr/>
          <w:p>
            <w:pPr>
              <w:pStyle w:val="Compact"/>
              <w:jc w:val="left"/>
            </w:pPr>
            <w:r>
              <w:t xml:space="preserve">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细菌清除、炎症反应或黏膜免疫相关机制支持</w:t>
            </w:r>
          </w:p>
        </w:tc>
        <w:tc>
          <w:tcPr/>
          <w:p>
            <w:pPr>
              <w:pStyle w:val="Compact"/>
              <w:jc w:val="left"/>
            </w:pPr>
            <w:r>
              <w:t xml:space="preserve">感染模型差异大；缺少稳定等位基因效应和目标群体验证</w:t>
            </w:r>
          </w:p>
        </w:tc>
      </w:tr>
      <w:tr>
        <w:tc>
          <w:tcPr/>
          <w:p>
            <w:pPr>
              <w:pStyle w:val="Compact"/>
              <w:jc w:val="left"/>
            </w:pPr>
            <w:r>
              <w:t xml:space="preserve">球虫病相关 QTL / 细胞因子 / 肠道屏障候选基因</w:t>
            </w:r>
          </w:p>
        </w:tc>
        <w:tc>
          <w:tcPr/>
          <w:p>
            <w:pPr>
              <w:pStyle w:val="Compact"/>
              <w:jc w:val="left"/>
            </w:pPr>
            <w:r>
              <w:t xml:space="preserve">球虫病抗性 / 肠道病变 / 卵囊排出</w:t>
            </w:r>
          </w:p>
        </w:tc>
        <w:tc>
          <w:tcPr/>
          <w:p>
            <w:pPr>
              <w:pStyle w:val="Compact"/>
              <w:jc w:val="left"/>
            </w:pPr>
            <w:r>
              <w:t xml:space="preserve">region/gene-level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病变评分、免疫反应、肠道屏障或 QTL/GWAS 候选信号</w:t>
            </w:r>
          </w:p>
        </w:tc>
        <w:tc>
          <w:tcPr/>
          <w:p>
            <w:pPr>
              <w:pStyle w:val="Compact"/>
              <w:jc w:val="left"/>
            </w:pPr>
            <w:r>
              <w:t xml:space="preserve">表型终点异质性强；缺少明确变异、功能验证和生产性能综合评估</w:t>
            </w:r>
          </w:p>
        </w:tc>
      </w:tr>
    </w:tbl>
    <w:p>
      <w:pPr>
        <w:pStyle w:val="BodyText"/>
      </w:pPr>
      <w:r>
        <w:t xml:space="preserve">注：</w:t>
      </w:r>
      <w:r>
        <w:t xml:space="preserve">“</w:t>
      </w:r>
      <w:r>
        <w:t xml:space="preserve">高转化风险</w:t>
      </w:r>
      <w:r>
        <w:t xml:space="preserve">”</w:t>
      </w:r>
      <w:r>
        <w:t xml:space="preserve">指即使靶点功能证据强，进入产业育种仍受病原逃逸、功能补偿、多性状影响、动物福利、监管路径和消费者接受度等多重限制；这一标签提示该位点的 T 轴评估需要额外约束维度。</w:t>
      </w:r>
    </w:p>
    <w:p>
      <w:pPr>
        <w:pStyle w:val="BodyText"/>
      </w:pPr>
      <w:r>
        <w:t xml:space="preserve">本节代表性案例显示，抗病性状中最强证据往往来自特定靶点或免疫区域，而不是可直接用于复杂抗病育种的单一自然变异。ANP32A 代表 gene/target-level A，但其 variant-level 证据和产业适用性仍受限制；MHC-B 代表特定疾病背景下的 haplotype/region-level B+，但不等同于普适抗病标记；TVB/NHE1 等受体型位点则提示，当靶点功能证据与自然变异证据部分重叠时，抗病位点可能获得更高的转化优先级。总体而言，抗病育种更适合采用 GS、多性状选择指数、病原特异性风险评估和谨慎的功能验证策略。</w:t>
      </w:r>
    </w:p>
    <w:bookmarkEnd w:id="34"/>
    <w:bookmarkStart w:id="35" w:name="特色表型与地方适应"/>
    <w:p>
      <w:pPr>
        <w:pStyle w:val="Heading3"/>
      </w:pPr>
      <w:r>
        <w:t xml:space="preserve">4.4 特色表型与地方适应</w:t>
      </w:r>
    </w:p>
    <w:p>
      <w:pPr>
        <w:pStyle w:val="FirstParagraph"/>
      </w:pPr>
      <w:r>
        <w:t xml:space="preserve">特色表型和地方适应是家鸡遗传研究中最容易形成强证据案例、同时也最容易被过度外推的方向之一。与生长、产蛋、饲料效率和抗病性相比，壳色、肤色、羽色、冠型、纤维黑变、羽速等性状通常更接近主效或寡基因控制，表型边界清楚，遗传效应较大，功能验证路径也相对明确。因此，家鸡中许多接近或达到 variant-level A 的代表案例并不来自复杂经济性状，而是来自这些可见表型。</w:t>
      </w:r>
    </w:p>
    <w:p>
      <w:pPr>
        <w:pStyle w:val="BodyText"/>
      </w:pPr>
      <w:r>
        <w:t xml:space="preserve">本节将显示家鸡 variant-level A 证据的“富集区”和“稀缺区”：黄肤、蓝壳、纤维黑变、豌豆冠、玫瑰冠、部分羽色和羽型等主效可见表型常可达到较高证据等级，但其 T2 应用场景几乎全部限于品种识别、形态管理、保种或特定市场偏好，而不是综合生产性能改良。相反，地方适应、驯化选择和生态适应性状虽然在选择扫描中常产生大量候选信号，但由于表型定义宽泛、环境背景复杂和群体历史混杂严重，多数仍应定位为 C–B 级候选线索。这一分布与第 4.1–4.3 节复杂经济性状的证据格局形成直接对比，也是本章判断家鸡候选位点现实证据上限的重要依据。</w:t>
      </w:r>
    </w:p>
    <w:p>
      <w:pPr>
        <w:pStyle w:val="BodyText"/>
      </w:pPr>
      <w:r>
        <w:t xml:space="preserve">黄肤是较早形成清晰证据链的经典案例之一。该性状与 BCDO2 在皮肤中的组织特异性调控变异有关，影响类胡萝卜素代谢和皮肤色素沉积。与普通“色素通路候选基因”不同，黄肤案例能够较好地连接候选变异、组织特异表达、代谢功能和可见表型。按本文框架，BCDO2 黄肤位点可定位为</w:t>
      </w:r>
      <w:r>
        <w:t xml:space="preserve"> </w:t>
      </w:r>
      <w:r>
        <w:rPr>
          <w:b/>
          <w:bCs/>
        </w:rPr>
        <w:t xml:space="preserve">variant-level A / T2（肤色管理场景）</w:t>
      </w:r>
      <w:r>
        <w:t xml:space="preserve">。这里的 T2 仅限于肤色识别、品种特征管理和相关商品性状分级，不能外推为生长性能、肉品质或地方适应能力的综合标记。</w:t>
      </w:r>
    </w:p>
    <w:p>
      <w:pPr>
        <w:pStyle w:val="BodyText"/>
      </w:pPr>
      <w:r>
        <w:t xml:space="preserve">纤维黑变是另一个典型的强证据可见表型。该表型与 EDN3 相关复杂结构变异和异常表达有关，能够解释皮肤、肌肉、骨膜和结缔组织等多组织黑色素沉积。EDN3 案例的意义在于，它不仅是一个色素候选基因，更将结构变异、基因表达改变和多组织黑色素沉积表型联系起来。依 3.2 节评级，EDN3 纤维黑变可定位为</w:t>
      </w:r>
      <w:r>
        <w:t xml:space="preserve"> </w:t>
      </w:r>
      <w:r>
        <w:rPr>
          <w:b/>
          <w:bCs/>
        </w:rPr>
        <w:t xml:space="preserve">variant-level A / T2（纤维黑变和乌骨性状管理场景）</w:t>
      </w:r>
      <w:r>
        <w:t xml:space="preserve">。不过，这一评级同样不能泛化：EDN3 可以作为乌骨或纤维黑变相关品种特征管理的强证据位点，但不能自动说明其对肉质、药用价值、抗病性或适应性的影响。</w:t>
      </w:r>
    </w:p>
    <w:p>
      <w:pPr>
        <w:pStyle w:val="BodyText"/>
      </w:pPr>
      <w:r>
        <w:t xml:space="preserve">冠型性状同样提供了可见表型强证据案例。豌豆冠与 SOX5 第 1 内含子中的重复序列扩增有关，说明非编码结构变异可以通过影响发育调控产生清楚形态表型。按上述维度判定，SOX5 豌豆冠可定位为</w:t>
      </w:r>
      <w:r>
        <w:t xml:space="preserve"> </w:t>
      </w:r>
      <w:r>
        <w:rPr>
          <w:b/>
          <w:bCs/>
        </w:rPr>
        <w:t xml:space="preserve">variant-level A / T2（品种特征和冠型管理场景）</w:t>
      </w:r>
      <w:r>
        <w:t xml:space="preserve">。这里的 T2 不是指商业生产性能改良，而是指在品种识别、保种、展览标准和形态性状管理中的稳定应用价值。换言之，豌豆冠与黄肤、蓝壳类似，都可以在特定品种特征管理场景中达到较高应用成熟度，但不能被外推为综合经济性状标记。</w:t>
      </w:r>
    </w:p>
    <w:p>
      <w:pPr>
        <w:pStyle w:val="BodyText"/>
      </w:pPr>
      <w:r>
        <w:t xml:space="preserve">玫瑰冠则提醒我们，即使强可见表型达到 variant-level A，也仍需单独评估多性状和繁殖风险。玫瑰冠与特定染色体倒位有关，该倒位能够解释冠型表型，但也被报道与雄性繁殖力或精子运动相关问题存在关联。按本文框架，玫瑰冠可定位为</w:t>
      </w:r>
      <w:r>
        <w:t xml:space="preserve"> </w:t>
      </w:r>
      <w:r>
        <w:rPr>
          <w:b/>
          <w:bCs/>
        </w:rPr>
        <w:t xml:space="preserve">variant-level A / T1–T2（需考虑繁殖风险）</w:t>
      </w:r>
      <w:r>
        <w:t xml:space="preserve">。其表型因果证据强，但 T 轴必须纳入潜在负面连锁效应和群体应用目标。这一案例说明，A 级证据并不等于“无条件使用”；即使因果变异明确，也要考虑该变异所在结构背景是否带来不利伴随效应。</w:t>
      </w:r>
    </w:p>
    <w:p>
      <w:pPr>
        <w:pStyle w:val="BodyText"/>
      </w:pPr>
      <w:r>
        <w:t xml:space="preserve">羽色多样性也是家鸡主效可见表型的重要组成部分。MC1R、ASIP、TYR、TYRP1、PMEL17 等色素通路基因与黑色、白色、斑驳、隐性白、显性白等羽色差异有关，部分变异已经具有较强的变异明确度和表型对应关系。依本文框架，部分羽色位点可达到</w:t>
      </w:r>
      <w:r>
        <w:t xml:space="preserve"> </w:t>
      </w:r>
      <w:r>
        <w:rPr>
          <w:b/>
          <w:bCs/>
        </w:rPr>
        <w:t xml:space="preserve">variant-level B+–A / T1–T2（羽色识别和市场偏好场景）</w:t>
      </w:r>
      <w:r>
        <w:t xml:space="preserve">。不过，羽色性状与适应性、生产性能或抗病性之间不存在简单因果关系。其 T 轴价值主要绑定品种识别、文化标识、保种、展览标准或特定市场偏好，而不能直接解释综合生产性能。</w:t>
      </w:r>
    </w:p>
    <w:p>
      <w:pPr>
        <w:pStyle w:val="BodyText"/>
      </w:pPr>
      <w:r>
        <w:t xml:space="preserve">除上述独立讨论的案例外，家鸡中还有一组典型主效可见位点常被用于品种识别和形态性状管理。例如，显性白羽与 PMEL17 相关变异有关，卷羽与 KRT75 相关变异有关，凤头与 HOXC 相关调控区域有关，毛脚或胫羽与肢体发育调控区域有关，丝羽与 PDSS2 相关区域有关，性连锁羽速 K 位点与 PRLR/SPEF2 相关复杂变异有关。这些位点共同的特点是：表型边界较清楚，变异或候选区域相对明确，应用场景多限于品种识别、保种、形态管理和市场偏好。它们可以为 variant-level A 或 B+ 提供丰富案例，但不能被用来降低复杂经济性状或地方适应性状的因果判定标准。</w:t>
      </w:r>
    </w:p>
    <w:p>
      <w:pPr>
        <w:pStyle w:val="BodyText"/>
      </w:pPr>
      <w:r>
        <w:t xml:space="preserve">蓝壳 SLCO1B3 已在 4.2 节作为蛋壳颜色的 A 级案例讨论，这里只强调其在特色表型中的方法学意义。蓝壳、黄肤、纤维黑变、冠型和羽色等案例共同说明，家鸡中最清楚的 variant-level A 往往来自主效可见表型：表型容易识别，变异效应大，组织或发育路径相对集中，功能解释较直接。这类案例为证据分级提供了参照标准，但它们不能代表多数复杂经济性状的证据状态。用蓝壳或黄肤的证据标准要求饲料效率或产蛋持续性并不现实；反过来，也不能把复杂经济性状的普通关联信号包装成与这些主效表型同等强度的 A 级证据。</w:t>
      </w:r>
    </w:p>
    <w:p>
      <w:pPr>
        <w:pStyle w:val="BodyText"/>
      </w:pPr>
      <w:r>
        <w:t xml:space="preserve">驯化相关位点中，TSHR 是最常被讨论的代表之一。TSHR G558R 等变异与家鸡驯化、繁殖季节性改变和光周期反应相关，被认为可能参与从野生祖先季节性繁殖到家鸡相对持续繁殖能力的转变。该位点在群体遗传和驯化扫描中具有较强代表性，也具有明确的生殖内分泌生物学背景。按 C/B/B+/A 标准，TSHR 更适合定位为</w:t>
      </w:r>
      <w:r>
        <w:t xml:space="preserve"> </w:t>
      </w:r>
      <w:r>
        <w:rPr>
          <w:b/>
          <w:bCs/>
        </w:rPr>
        <w:t xml:space="preserve">variant-level B+ / T0（商业生产）或 T1（驯化机制研究与地方品种保护）</w:t>
      </w:r>
      <w:r>
        <w:t xml:space="preserve">。其不宜上调至 A 的主要原因是：虽然驯化扫描信号和功能合理性较强，但鸡内仍缺少决定性的体内因果验证，例如通过编辑或等位基因替换重现繁殖时序或光周期反应表型；同时，其对现代商业产蛋性状或适应性状的具体效应尚未在目标群体中稳定确认。因此，TSHR 更适合作为驯化机制和地方品种保护研究中的高价值位点，而不是直接作为商业产蛋育种标记。</w:t>
      </w:r>
    </w:p>
    <w:p>
      <w:pPr>
        <w:pStyle w:val="BodyText"/>
      </w:pPr>
      <w:r>
        <w:t xml:space="preserve">地方适应研究中，选择扫描经常发现与高海拔、热适应、寒冷耐受、免疫压力、采食行为、代谢调控或繁殖节律相关的候选区域。这类研究对理解地方品种形成和资源保护具有重要价值，但证据边界必须写清楚。选择扫描首先说明某一区域在群体历史中可能受到选择或遗传漂变影响，不能直接证明该区域决定了具体适应性状。尤其是在地方鸡资源群体中，群体瓶颈、奠基者效应、地理隔离、混合血统和人工偏好都可能造成类似选择信号。按本文框架，地方适应选择扫描信号多数应定位为</w:t>
      </w:r>
      <w:r>
        <w:t xml:space="preserve"> </w:t>
      </w:r>
      <w:r>
        <w:rPr>
          <w:b/>
          <w:bCs/>
        </w:rPr>
        <w:t xml:space="preserve">region-level C–B / T0</w:t>
      </w:r>
      <w:r>
        <w:t xml:space="preserve">：若只有群体分化或选择统计量，应为 C 级线索；若结合共同环境表型、跨群体重复、功能注释或候选变异证据，可上调至 B 级。</w:t>
      </w:r>
    </w:p>
    <w:p>
      <w:pPr>
        <w:pStyle w:val="BodyText"/>
      </w:pPr>
      <w:r>
        <w:t xml:space="preserve">热适应、高原适应和寒冷耐受可以作为地方适应证据边界的典型例子。热应激相关研究常涉及 HSP 家族、甲状腺激素轴、氧化应激、采食和代谢通路；高原或低氧适应研究则可能涉及血红蛋白、血管生成、能量代谢和呼吸调节相关基因。这些通路具有明确生物学合理性，但大多数研究仍停留在选择扫描、差异表达或候选区域层面。更深层的限制在于表型本身难以标准化测量。共同环境试验、跨海拔挑战、长期繁殖性能记录和热应激反应测定在地方品种研究中实施成本较高，导致这类研究能够达到的因果证据上限通常较低。这正是第 3.1 节“表型质量作为证据等级天花板约束”在地方适应方向的具体体现。</w:t>
      </w:r>
    </w:p>
    <w:p>
      <w:pPr>
        <w:pStyle w:val="BodyText"/>
      </w:pPr>
      <w:r>
        <w:t xml:space="preserve">地方鸡特色性状还常涉及羽色、羽型、体型、行为、繁殖节律和文化偏好等外观或适应性特征。其中部分外观性状可能具有较强主效位点证据，适合用于品种识别和遗传资源管理；但适应性、生产性能和市场价值通常不是单一外观位点能够解释的。一个地方品种具有黑骨、黄肤、蓝壳或特殊冠型，并不意味着相关位点同时解释其肉质、抗病性、耐热性或文化价值。特色表型位点的 T 轴必须绑定具体用途：品种鉴定、保种、商品分级、文化标识或特定市场偏好，而不能泛化为综合性能改良工具。</w:t>
      </w:r>
    </w:p>
    <w:p>
      <w:pPr>
        <w:pStyle w:val="BodyText"/>
      </w:pPr>
      <w:r>
        <w:t xml:space="preserve">总体来看，特色表型与地方适应方向呈现最明显的证据分裂：主效可见表型中，BCDO2、EDN3、SOX5、SLCO1B3、玫瑰冠相关倒位以及部分羽色和羽型位点可以达到或接近 variant-level A；而驯化和地方适应选择扫描信号多数仍处于 C–B 阶段。这个分布进一步支持本文的核心观点：A 级证据在家鸡中并不缺失，但它主要集中在表型边界清楚、效应较大、机制路径相对单一的可见性状中。不能因为家鸡中存在大量主效可见表型的 A 级位点，就把复杂经济性状的关联信号比照抬升到同等级。证据深度由该性状条件下能够达到的合理深度决定，不由其他性状的证据上限传递。</w:t>
      </w:r>
    </w:p>
    <w:p>
      <w:pPr>
        <w:pStyle w:val="BodyText"/>
      </w:pPr>
      <w:r>
        <w:rPr>
          <w:b/>
          <w:bCs/>
        </w:rPr>
        <w:t xml:space="preserve">表 5 特色表型与地方适应代表性候选位点的证据成熟度</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位点或证据单元</w:t>
            </w:r>
          </w:p>
        </w:tc>
        <w:tc>
          <w:tcPr/>
          <w:p>
            <w:pPr>
              <w:pStyle w:val="Compact"/>
              <w:jc w:val="left"/>
            </w:pPr>
            <w:r>
              <w:t xml:space="preserve">性状方向</w:t>
            </w:r>
          </w:p>
        </w:tc>
        <w:tc>
          <w:tcPr/>
          <w:p>
            <w:pPr>
              <w:pStyle w:val="Compact"/>
              <w:jc w:val="left"/>
            </w:pPr>
            <w:r>
              <w:t xml:space="preserve">证据层级</w:t>
            </w:r>
          </w:p>
        </w:tc>
        <w:tc>
          <w:tcPr/>
          <w:p>
            <w:pPr>
              <w:pStyle w:val="Compact"/>
              <w:jc w:val="left"/>
            </w:pPr>
            <w:r>
              <w:t xml:space="preserve">证据等级</w:t>
            </w:r>
          </w:p>
        </w:tc>
        <w:tc>
          <w:tcPr/>
          <w:p>
            <w:pPr>
              <w:pStyle w:val="Compact"/>
              <w:jc w:val="left"/>
            </w:pPr>
            <w:r>
              <w:t xml:space="preserve">T 等级</w:t>
            </w:r>
          </w:p>
        </w:tc>
        <w:tc>
          <w:tcPr/>
          <w:p>
            <w:pPr>
              <w:pStyle w:val="Compact"/>
              <w:jc w:val="left"/>
            </w:pPr>
            <w:r>
              <w:t xml:space="preserve">关键证据</w:t>
            </w:r>
          </w:p>
        </w:tc>
        <w:tc>
          <w:tcPr/>
          <w:p>
            <w:pPr>
              <w:pStyle w:val="Compact"/>
              <w:jc w:val="left"/>
            </w:pPr>
            <w:r>
              <w:t xml:space="preserve">主要缺口</w:t>
            </w:r>
          </w:p>
        </w:tc>
      </w:tr>
      <w:tr>
        <w:tc>
          <w:tcPr/>
          <w:p>
            <w:pPr>
              <w:pStyle w:val="Compact"/>
              <w:jc w:val="left"/>
            </w:pPr>
            <w:r>
              <w:t xml:space="preserve">BCDO2 调控变异</w:t>
            </w:r>
          </w:p>
        </w:tc>
        <w:tc>
          <w:tcPr/>
          <w:p>
            <w:pPr>
              <w:pStyle w:val="Compact"/>
              <w:jc w:val="left"/>
            </w:pPr>
            <w:r>
              <w:t xml:space="preserve">黄肤 / 类胡萝卜素沉积</w:t>
            </w:r>
          </w:p>
        </w:tc>
        <w:tc>
          <w:tcPr/>
          <w:p>
            <w:pPr>
              <w:pStyle w:val="Compact"/>
              <w:jc w:val="left"/>
            </w:pPr>
            <w:r>
              <w:t xml:space="preserve">variant-level</w:t>
            </w:r>
          </w:p>
        </w:tc>
        <w:tc>
          <w:tcPr/>
          <w:p>
            <w:pPr>
              <w:pStyle w:val="Compact"/>
              <w:jc w:val="left"/>
            </w:pPr>
            <w:r>
              <w:t xml:space="preserve">A</w:t>
            </w:r>
          </w:p>
        </w:tc>
        <w:tc>
          <w:tcPr/>
          <w:p>
            <w:pPr>
              <w:pStyle w:val="Compact"/>
              <w:jc w:val="left"/>
            </w:pPr>
            <w:r>
              <w:t xml:space="preserve">T2（肤色管理场景）</w:t>
            </w:r>
          </w:p>
        </w:tc>
        <w:tc>
          <w:tcPr/>
          <w:p>
            <w:pPr>
              <w:pStyle w:val="Compact"/>
              <w:jc w:val="left"/>
            </w:pPr>
            <w:r>
              <w:t xml:space="preserve">组织特异性表达调控、类胡萝卜素代谢和黄肤表型联系清楚</w:t>
            </w:r>
          </w:p>
        </w:tc>
        <w:tc>
          <w:tcPr/>
          <w:p>
            <w:pPr>
              <w:pStyle w:val="Compact"/>
              <w:jc w:val="left"/>
            </w:pPr>
            <w:r>
              <w:t xml:space="preserve">不能外推到生长、肉质或地方适应综合能力</w:t>
            </w:r>
          </w:p>
        </w:tc>
      </w:tr>
      <w:tr>
        <w:tc>
          <w:tcPr/>
          <w:p>
            <w:pPr>
              <w:pStyle w:val="Compact"/>
              <w:jc w:val="left"/>
            </w:pPr>
            <w:r>
              <w:t xml:space="preserve">EDN3 相关复杂结构变异</w:t>
            </w:r>
          </w:p>
        </w:tc>
        <w:tc>
          <w:tcPr/>
          <w:p>
            <w:pPr>
              <w:pStyle w:val="Compact"/>
              <w:jc w:val="left"/>
            </w:pPr>
            <w:r>
              <w:t xml:space="preserve">纤维黑变 / 乌骨性状</w:t>
            </w:r>
          </w:p>
        </w:tc>
        <w:tc>
          <w:tcPr/>
          <w:p>
            <w:pPr>
              <w:pStyle w:val="Compact"/>
              <w:jc w:val="left"/>
            </w:pPr>
            <w:r>
              <w:t xml:space="preserve">variant-level</w:t>
            </w:r>
          </w:p>
        </w:tc>
        <w:tc>
          <w:tcPr/>
          <w:p>
            <w:pPr>
              <w:pStyle w:val="Compact"/>
              <w:jc w:val="left"/>
            </w:pPr>
            <w:r>
              <w:t xml:space="preserve">A</w:t>
            </w:r>
          </w:p>
        </w:tc>
        <w:tc>
          <w:tcPr/>
          <w:p>
            <w:pPr>
              <w:pStyle w:val="Compact"/>
              <w:jc w:val="left"/>
            </w:pPr>
            <w:r>
              <w:t xml:space="preserve">T2（纤维黑变管理场景）</w:t>
            </w:r>
          </w:p>
        </w:tc>
        <w:tc>
          <w:tcPr/>
          <w:p>
            <w:pPr>
              <w:pStyle w:val="Compact"/>
              <w:jc w:val="left"/>
            </w:pPr>
            <w:r>
              <w:t xml:space="preserve">结构变异、EDN3 异常表达和多组织黑色素沉积联系清楚</w:t>
            </w:r>
          </w:p>
        </w:tc>
        <w:tc>
          <w:tcPr/>
          <w:p>
            <w:pPr>
              <w:pStyle w:val="Compact"/>
              <w:jc w:val="left"/>
            </w:pPr>
            <w:r>
              <w:t xml:space="preserve">对肉质、抗病性、药用价值等外推证据不足</w:t>
            </w:r>
          </w:p>
        </w:tc>
      </w:tr>
      <w:tr>
        <w:tc>
          <w:tcPr/>
          <w:p>
            <w:pPr>
              <w:pStyle w:val="Compact"/>
              <w:jc w:val="left"/>
            </w:pPr>
            <w:r>
              <w:t xml:space="preserve">SOX5 内含子重复序列扩增</w:t>
            </w:r>
          </w:p>
        </w:tc>
        <w:tc>
          <w:tcPr/>
          <w:p>
            <w:pPr>
              <w:pStyle w:val="Compact"/>
              <w:jc w:val="left"/>
            </w:pPr>
            <w:r>
              <w:t xml:space="preserve">豌豆冠</w:t>
            </w:r>
          </w:p>
        </w:tc>
        <w:tc>
          <w:tcPr/>
          <w:p>
            <w:pPr>
              <w:pStyle w:val="Compact"/>
              <w:jc w:val="left"/>
            </w:pPr>
            <w:r>
              <w:t xml:space="preserve">variant-level</w:t>
            </w:r>
          </w:p>
        </w:tc>
        <w:tc>
          <w:tcPr/>
          <w:p>
            <w:pPr>
              <w:pStyle w:val="Compact"/>
              <w:jc w:val="left"/>
            </w:pPr>
            <w:r>
              <w:t xml:space="preserve">A</w:t>
            </w:r>
          </w:p>
        </w:tc>
        <w:tc>
          <w:tcPr/>
          <w:p>
            <w:pPr>
              <w:pStyle w:val="Compact"/>
              <w:jc w:val="left"/>
            </w:pPr>
            <w:r>
              <w:t xml:space="preserve">T2（冠型和品种特征管理场景）</w:t>
            </w:r>
          </w:p>
        </w:tc>
        <w:tc>
          <w:tcPr/>
          <w:p>
            <w:pPr>
              <w:pStyle w:val="Compact"/>
              <w:jc w:val="left"/>
            </w:pPr>
            <w:r>
              <w:t xml:space="preserve">非编码结构变异与冠型发育表型关系清楚</w:t>
            </w:r>
          </w:p>
        </w:tc>
        <w:tc>
          <w:tcPr/>
          <w:p>
            <w:pPr>
              <w:pStyle w:val="Compact"/>
              <w:jc w:val="left"/>
            </w:pPr>
            <w:r>
              <w:t xml:space="preserve">商业生产性状权重有限，应用价值依场景而定</w:t>
            </w:r>
          </w:p>
        </w:tc>
      </w:tr>
      <w:tr>
        <w:tc>
          <w:tcPr/>
          <w:p>
            <w:pPr>
              <w:pStyle w:val="Compact"/>
              <w:jc w:val="left"/>
            </w:pPr>
            <w:r>
              <w:t xml:space="preserve">玫瑰冠相关倒位</w:t>
            </w:r>
          </w:p>
        </w:tc>
        <w:tc>
          <w:tcPr/>
          <w:p>
            <w:pPr>
              <w:pStyle w:val="Compact"/>
              <w:jc w:val="left"/>
            </w:pPr>
            <w:r>
              <w:t xml:space="preserve">冠型 / 繁殖风险</w:t>
            </w:r>
          </w:p>
        </w:tc>
        <w:tc>
          <w:tcPr/>
          <w:p>
            <w:pPr>
              <w:pStyle w:val="Compact"/>
              <w:jc w:val="left"/>
            </w:pPr>
            <w:r>
              <w:t xml:space="preserve">variant-level</w:t>
            </w:r>
          </w:p>
        </w:tc>
        <w:tc>
          <w:tcPr/>
          <w:p>
            <w:pPr>
              <w:pStyle w:val="Compact"/>
              <w:jc w:val="left"/>
            </w:pPr>
            <w:r>
              <w:t xml:space="preserve">A</w:t>
            </w:r>
          </w:p>
        </w:tc>
        <w:tc>
          <w:tcPr/>
          <w:p>
            <w:pPr>
              <w:pStyle w:val="Compact"/>
              <w:jc w:val="left"/>
            </w:pPr>
            <w:r>
              <w:t xml:space="preserve">T1–T2（需考虑繁殖风险）</w:t>
            </w:r>
          </w:p>
        </w:tc>
        <w:tc>
          <w:tcPr/>
          <w:p>
            <w:pPr>
              <w:pStyle w:val="Compact"/>
              <w:jc w:val="left"/>
            </w:pPr>
            <w:r>
              <w:t xml:space="preserve">结构变异与冠型表型关系清楚</w:t>
            </w:r>
          </w:p>
        </w:tc>
        <w:tc>
          <w:tcPr/>
          <w:p>
            <w:pPr>
              <w:pStyle w:val="Compact"/>
              <w:jc w:val="left"/>
            </w:pPr>
            <w:r>
              <w:t xml:space="preserve">可能伴随雄性繁殖力风险，需 T 轴单独评估</w:t>
            </w:r>
          </w:p>
        </w:tc>
      </w:tr>
      <w:tr>
        <w:tc>
          <w:tcPr/>
          <w:p>
            <w:pPr>
              <w:pStyle w:val="Compact"/>
              <w:jc w:val="left"/>
            </w:pPr>
            <w:r>
              <w:t xml:space="preserve">SLCO1B3 EAV-HP 插入</w:t>
            </w:r>
          </w:p>
        </w:tc>
        <w:tc>
          <w:tcPr/>
          <w:p>
            <w:pPr>
              <w:pStyle w:val="Compact"/>
              <w:jc w:val="left"/>
            </w:pPr>
            <w:r>
              <w:t xml:space="preserve">蓝壳</w:t>
            </w:r>
          </w:p>
        </w:tc>
        <w:tc>
          <w:tcPr/>
          <w:p>
            <w:pPr>
              <w:pStyle w:val="Compact"/>
              <w:jc w:val="left"/>
            </w:pPr>
            <w:r>
              <w:t xml:space="preserve">variant-level</w:t>
            </w:r>
          </w:p>
        </w:tc>
        <w:tc>
          <w:tcPr/>
          <w:p>
            <w:pPr>
              <w:pStyle w:val="Compact"/>
              <w:jc w:val="left"/>
            </w:pPr>
            <w:r>
              <w:t xml:space="preserve">A</w:t>
            </w:r>
          </w:p>
        </w:tc>
        <w:tc>
          <w:tcPr/>
          <w:p>
            <w:pPr>
              <w:pStyle w:val="Compact"/>
              <w:jc w:val="left"/>
            </w:pPr>
            <w:r>
              <w:t xml:space="preserve">T2（壳色管理场景）</w:t>
            </w:r>
          </w:p>
        </w:tc>
        <w:tc>
          <w:tcPr/>
          <w:p>
            <w:pPr>
              <w:pStyle w:val="Compact"/>
              <w:jc w:val="left"/>
            </w:pPr>
            <w:r>
              <w:t xml:space="preserve">插入变异、壳腺特异表达和蓝壳表型联系清楚</w:t>
            </w:r>
          </w:p>
        </w:tc>
        <w:tc>
          <w:tcPr/>
          <w:p>
            <w:pPr>
              <w:pStyle w:val="Compact"/>
              <w:jc w:val="left"/>
            </w:pPr>
            <w:r>
              <w:t xml:space="preserve">不可外推到产蛋数量或综合蛋品质</w:t>
            </w:r>
          </w:p>
        </w:tc>
      </w:tr>
      <w:tr>
        <w:tc>
          <w:tcPr/>
          <w:p>
            <w:pPr>
              <w:pStyle w:val="Compact"/>
              <w:jc w:val="left"/>
            </w:pPr>
            <w:r>
              <w:t xml:space="preserve">羽色相关位点（如 MC1R、ASIP、TYR/TYRP1、PMEL17）</w:t>
            </w:r>
          </w:p>
        </w:tc>
        <w:tc>
          <w:tcPr/>
          <w:p>
            <w:pPr>
              <w:pStyle w:val="Compact"/>
              <w:jc w:val="left"/>
            </w:pPr>
            <w:r>
              <w:t xml:space="preserve">羽色 / 品种识别</w:t>
            </w:r>
          </w:p>
        </w:tc>
        <w:tc>
          <w:tcPr/>
          <w:p>
            <w:pPr>
              <w:pStyle w:val="Compact"/>
              <w:jc w:val="left"/>
            </w:pPr>
            <w:r>
              <w:t xml:space="preserve">variant/gene-level</w:t>
            </w:r>
          </w:p>
        </w:tc>
        <w:tc>
          <w:tcPr/>
          <w:p>
            <w:pPr>
              <w:pStyle w:val="Compact"/>
              <w:jc w:val="left"/>
            </w:pPr>
            <w:r>
              <w:t xml:space="preserve">B+–A</w:t>
            </w:r>
          </w:p>
        </w:tc>
        <w:tc>
          <w:tcPr/>
          <w:p>
            <w:pPr>
              <w:pStyle w:val="Compact"/>
              <w:jc w:val="left"/>
            </w:pPr>
            <w:r>
              <w:t xml:space="preserve">T1–T2（羽色识别场景）</w:t>
            </w:r>
          </w:p>
        </w:tc>
        <w:tc>
          <w:tcPr/>
          <w:p>
            <w:pPr>
              <w:pStyle w:val="Compact"/>
              <w:jc w:val="left"/>
            </w:pPr>
            <w:r>
              <w:t xml:space="preserve">色素通路明确，部分变异与表型对应关系较清楚</w:t>
            </w:r>
          </w:p>
        </w:tc>
        <w:tc>
          <w:tcPr/>
          <w:p>
            <w:pPr>
              <w:pStyle w:val="Compact"/>
              <w:jc w:val="left"/>
            </w:pPr>
            <w:r>
              <w:t xml:space="preserve">与生产性能、抗病性或适应性的因果关系不能外推</w:t>
            </w:r>
          </w:p>
        </w:tc>
      </w:tr>
      <w:tr>
        <w:tc>
          <w:tcPr/>
          <w:p>
            <w:pPr>
              <w:pStyle w:val="Compact"/>
              <w:jc w:val="left"/>
            </w:pPr>
            <w:r>
              <w:t xml:space="preserve">羽型和形态相关位点（如 KRT75、HOXC 相关区、PDSS2、PRLR/SPEF2 等）</w:t>
            </w:r>
          </w:p>
        </w:tc>
        <w:tc>
          <w:tcPr/>
          <w:p>
            <w:pPr>
              <w:pStyle w:val="Compact"/>
              <w:jc w:val="left"/>
            </w:pPr>
            <w:r>
              <w:t xml:space="preserve">卷羽、凤头、丝羽、羽速等</w:t>
            </w:r>
          </w:p>
        </w:tc>
        <w:tc>
          <w:tcPr/>
          <w:p>
            <w:pPr>
              <w:pStyle w:val="Compact"/>
              <w:jc w:val="left"/>
            </w:pPr>
            <w:r>
              <w:t xml:space="preserve">variant/region-level</w:t>
            </w:r>
          </w:p>
        </w:tc>
        <w:tc>
          <w:tcPr/>
          <w:p>
            <w:pPr>
              <w:pStyle w:val="Compact"/>
              <w:jc w:val="left"/>
            </w:pPr>
            <w:r>
              <w:t xml:space="preserve">B+–A</w:t>
            </w:r>
          </w:p>
        </w:tc>
        <w:tc>
          <w:tcPr/>
          <w:p>
            <w:pPr>
              <w:pStyle w:val="Compact"/>
              <w:jc w:val="left"/>
            </w:pPr>
            <w:r>
              <w:t xml:space="preserve">T1–T2（形态管理场景）</w:t>
            </w:r>
          </w:p>
        </w:tc>
        <w:tc>
          <w:tcPr/>
          <w:p>
            <w:pPr>
              <w:pStyle w:val="Compact"/>
              <w:jc w:val="left"/>
            </w:pPr>
            <w:r>
              <w:t xml:space="preserve">部分主效外观性状变异或候选区域较明确</w:t>
            </w:r>
          </w:p>
        </w:tc>
        <w:tc>
          <w:tcPr/>
          <w:p>
            <w:pPr>
              <w:pStyle w:val="Compact"/>
              <w:jc w:val="left"/>
            </w:pPr>
            <w:r>
              <w:t xml:space="preserve">多数应用限于品种识别、保种或市场偏好</w:t>
            </w:r>
          </w:p>
        </w:tc>
      </w:tr>
      <w:tr>
        <w:tc>
          <w:tcPr/>
          <w:p>
            <w:pPr>
              <w:pStyle w:val="Compact"/>
              <w:jc w:val="left"/>
            </w:pPr>
            <w:r>
              <w:t xml:space="preserve">TSHR G558R 等驯化相关变异</w:t>
            </w:r>
          </w:p>
        </w:tc>
        <w:tc>
          <w:tcPr/>
          <w:p>
            <w:pPr>
              <w:pStyle w:val="Compact"/>
              <w:jc w:val="left"/>
            </w:pPr>
            <w:r>
              <w:t xml:space="preserve">驯化 / 繁殖季节性 / 光周期反应</w:t>
            </w:r>
          </w:p>
        </w:tc>
        <w:tc>
          <w:tcPr/>
          <w:p>
            <w:pPr>
              <w:pStyle w:val="Compact"/>
              <w:jc w:val="left"/>
            </w:pPr>
            <w:r>
              <w:t xml:space="preserve">variant-level</w:t>
            </w:r>
          </w:p>
        </w:tc>
        <w:tc>
          <w:tcPr/>
          <w:p>
            <w:pPr>
              <w:pStyle w:val="Compact"/>
              <w:jc w:val="left"/>
            </w:pPr>
            <w:r>
              <w:t xml:space="preserve">B+</w:t>
            </w:r>
          </w:p>
        </w:tc>
        <w:tc>
          <w:tcPr/>
          <w:p>
            <w:pPr>
              <w:pStyle w:val="Compact"/>
              <w:jc w:val="left"/>
            </w:pPr>
            <w:r>
              <w:t xml:space="preserve">T0（商业生产）/ T1（驯化机制研究与地方品种保护）</w:t>
            </w:r>
          </w:p>
        </w:tc>
        <w:tc>
          <w:tcPr/>
          <w:p>
            <w:pPr>
              <w:pStyle w:val="Compact"/>
              <w:jc w:val="left"/>
            </w:pPr>
            <w:r>
              <w:t xml:space="preserve">驯化扫描、群体遗传信号和生殖内分泌功能背景</w:t>
            </w:r>
          </w:p>
        </w:tc>
        <w:tc>
          <w:tcPr/>
          <w:p>
            <w:pPr>
              <w:pStyle w:val="Compact"/>
              <w:jc w:val="left"/>
            </w:pPr>
            <w:r>
              <w:t xml:space="preserve">体内因果验证不足；现代商业群体中的产蛋或适应性效应仍需验证</w:t>
            </w:r>
          </w:p>
        </w:tc>
      </w:tr>
      <w:tr>
        <w:tc>
          <w:tcPr/>
          <w:p>
            <w:pPr>
              <w:pStyle w:val="Compact"/>
              <w:jc w:val="left"/>
            </w:pPr>
            <w:r>
              <w:t xml:space="preserve">热适应 / 高原适应 / 寒冷耐受选择扫描区域</w:t>
            </w:r>
          </w:p>
        </w:tc>
        <w:tc>
          <w:tcPr/>
          <w:p>
            <w:pPr>
              <w:pStyle w:val="Compact"/>
              <w:jc w:val="left"/>
            </w:pPr>
            <w:r>
              <w:t xml:space="preserve">地方适应 / 环境响应</w:t>
            </w:r>
          </w:p>
        </w:tc>
        <w:tc>
          <w:tcPr/>
          <w:p>
            <w:pPr>
              <w:pStyle w:val="Compact"/>
              <w:jc w:val="left"/>
            </w:pPr>
            <w:r>
              <w:t xml:space="preserve">region-level</w:t>
            </w:r>
          </w:p>
        </w:tc>
        <w:tc>
          <w:tcPr/>
          <w:p>
            <w:pPr>
              <w:pStyle w:val="Compact"/>
              <w:jc w:val="left"/>
            </w:pPr>
            <w:r>
              <w:t xml:space="preserve">C–B</w:t>
            </w:r>
          </w:p>
        </w:tc>
        <w:tc>
          <w:tcPr/>
          <w:p>
            <w:pPr>
              <w:pStyle w:val="Compact"/>
              <w:jc w:val="left"/>
            </w:pPr>
            <w:r>
              <w:t xml:space="preserve">T0</w:t>
            </w:r>
          </w:p>
        </w:tc>
        <w:tc>
          <w:tcPr/>
          <w:p>
            <w:pPr>
              <w:pStyle w:val="Compact"/>
              <w:jc w:val="left"/>
            </w:pPr>
            <w:r>
              <w:t xml:space="preserve">选择扫描、通路合理性、部分表达或环境关联证据</w:t>
            </w:r>
          </w:p>
        </w:tc>
        <w:tc>
          <w:tcPr/>
          <w:p>
            <w:pPr>
              <w:pStyle w:val="Compact"/>
              <w:jc w:val="left"/>
            </w:pPr>
            <w:r>
              <w:t xml:space="preserve">共同环境表型、因果变异、功能验证和跨群体重复不足</w:t>
            </w:r>
          </w:p>
        </w:tc>
      </w:tr>
    </w:tbl>
    <w:p>
      <w:pPr>
        <w:pStyle w:val="BodyText"/>
      </w:pPr>
      <w:r>
        <w:t xml:space="preserve">注：特色表型中的 T2 多指品种识别、商品分级、保种、展览标准或特定市场管理场景，不代表综合生产性状或复杂适应性的应用成熟度。</w:t>
      </w:r>
    </w:p>
    <w:p>
      <w:pPr>
        <w:pStyle w:val="BodyText"/>
      </w:pPr>
      <w:r>
        <w:t xml:space="preserve">本节代表性案例显示，家鸡中最稳定的 variant-level A 多集中于主效可见表型，而地方适应和驯化选择信号通常仍需共同环境表型、跨群体验证、功能实验和目标群体评估。特色表型位点可以为证据分级提供强参照，但不能被用来降低复杂经济性状或地方适应性状的因果判定标准。</w:t>
      </w:r>
    </w:p>
    <w:bookmarkEnd w:id="35"/>
    <w:bookmarkStart w:id="36" w:name="小结复杂经济性状的现实证据上限"/>
    <w:p>
      <w:pPr>
        <w:pStyle w:val="Heading3"/>
      </w:pPr>
      <w:r>
        <w:t xml:space="preserve">4.5 小结：复杂经济性状的现实证据上限</w:t>
      </w:r>
    </w:p>
    <w:p>
      <w:pPr>
        <w:pStyle w:val="FirstParagraph"/>
      </w:pPr>
      <w:r>
        <w:t xml:space="preserve">综合第 4.1–4.4 节可以看到，家鸡候选位点的证据分布并不是均匀的。variant-level A 证据并不稀缺，但主要集中在壳色、肤色、冠型、羽色、纤维黑变等主效或寡基因可见表型中；相反，生长、饲料效率、产蛋持续性、肉质、复杂抗病性和地方适应等育种价值更高的复杂经济性状，通常只能达到 B+、B 或 C–B 阶段。换言之，家鸡遗传研究的现实困境不是完全缺少强因果案例，而是强因果案例的性状分布与产业育种最关心的复杂经济性状之间存在明显错位。</w:t>
      </w:r>
    </w:p>
    <w:p>
      <w:pPr>
        <w:pStyle w:val="BodyText"/>
      </w:pPr>
      <w:r>
        <w:rPr>
          <w:b/>
          <w:bCs/>
        </w:rPr>
        <w:t xml:space="preserve">表 6 第 4 章代表性性状的证据等级分布概览</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性状类别</w:t>
            </w:r>
          </w:p>
        </w:tc>
        <w:tc>
          <w:tcPr/>
          <w:p>
            <w:pPr>
              <w:pStyle w:val="Compact"/>
              <w:jc w:val="left"/>
            </w:pPr>
            <w:r>
              <w:t xml:space="preserve">当前最高代表性证据等级</w:t>
            </w:r>
          </w:p>
        </w:tc>
        <w:tc>
          <w:tcPr/>
          <w:p>
            <w:pPr>
              <w:pStyle w:val="Compact"/>
              <w:jc w:val="left"/>
            </w:pPr>
            <w:r>
              <w:t xml:space="preserve">代表性位点或证据单元</w:t>
            </w:r>
          </w:p>
        </w:tc>
        <w:tc>
          <w:tcPr/>
          <w:p>
            <w:pPr>
              <w:pStyle w:val="Compact"/>
              <w:jc w:val="left"/>
            </w:pPr>
            <w:r>
              <w:t xml:space="preserve">主要 T 轴场景</w:t>
            </w:r>
          </w:p>
        </w:tc>
        <w:tc>
          <w:tcPr/>
          <w:p>
            <w:pPr>
              <w:pStyle w:val="Compact"/>
              <w:jc w:val="left"/>
            </w:pPr>
            <w:r>
              <w:t xml:space="preserve">核心判断</w:t>
            </w:r>
          </w:p>
        </w:tc>
      </w:tr>
      <w:tr>
        <w:tc>
          <w:tcPr/>
          <w:p>
            <w:pPr>
              <w:pStyle w:val="Compact"/>
              <w:jc w:val="left"/>
            </w:pPr>
            <w:r>
              <w:t xml:space="preserve">生长、胴体、脂肪沉积与饲料效率</w:t>
            </w:r>
          </w:p>
        </w:tc>
        <w:tc>
          <w:tcPr/>
          <w:p>
            <w:pPr>
              <w:pStyle w:val="Compact"/>
              <w:jc w:val="left"/>
            </w:pPr>
            <w:r>
              <w:t xml:space="preserve">variant-level B+</w:t>
            </w:r>
          </w:p>
        </w:tc>
        <w:tc>
          <w:tcPr/>
          <w:p>
            <w:pPr>
              <w:pStyle w:val="Compact"/>
              <w:jc w:val="left"/>
            </w:pPr>
            <w:r>
              <w:t xml:space="preserve">IGF2BP1 启动子缺失；rs734209466–IGFBP2/IGFBP5</w:t>
            </w:r>
          </w:p>
        </w:tc>
        <w:tc>
          <w:tcPr/>
          <w:p>
            <w:pPr>
              <w:pStyle w:val="Compact"/>
              <w:jc w:val="left"/>
            </w:pPr>
            <w:r>
              <w:t xml:space="preserve">T0，主要用于精细定位、机制验证和 GS 功能先验</w:t>
            </w:r>
          </w:p>
        </w:tc>
        <w:tc>
          <w:tcPr/>
          <w:p>
            <w:pPr>
              <w:pStyle w:val="Compact"/>
              <w:jc w:val="left"/>
            </w:pPr>
            <w:r>
              <w:t xml:space="preserve">多基因经济性状尚无成熟 variant-level A</w:t>
            </w:r>
          </w:p>
        </w:tc>
      </w:tr>
      <w:tr>
        <w:tc>
          <w:tcPr/>
          <w:p>
            <w:pPr>
              <w:pStyle w:val="Compact"/>
              <w:jc w:val="left"/>
            </w:pPr>
            <w:r>
              <w:t xml:space="preserve">繁殖产蛋与蛋品质</w:t>
            </w:r>
          </w:p>
        </w:tc>
        <w:tc>
          <w:tcPr/>
          <w:p>
            <w:pPr>
              <w:pStyle w:val="Compact"/>
              <w:jc w:val="left"/>
            </w:pPr>
            <w:r>
              <w:t xml:space="preserve">variant-level A（限壳色）</w:t>
            </w:r>
          </w:p>
        </w:tc>
        <w:tc>
          <w:tcPr/>
          <w:p>
            <w:pPr>
              <w:pStyle w:val="Compact"/>
              <w:jc w:val="left"/>
            </w:pPr>
            <w:r>
              <w:t xml:space="preserve">SLCO1B3 EAV-HP 插入</w:t>
            </w:r>
          </w:p>
        </w:tc>
        <w:tc>
          <w:tcPr/>
          <w:p>
            <w:pPr>
              <w:pStyle w:val="Compact"/>
              <w:jc w:val="left"/>
            </w:pPr>
            <w:r>
              <w:t xml:space="preserve">T2，限壳色管理场景</w:t>
            </w:r>
          </w:p>
        </w:tc>
        <w:tc>
          <w:tcPr/>
          <w:p>
            <w:pPr>
              <w:pStyle w:val="Compact"/>
              <w:jc w:val="left"/>
            </w:pPr>
            <w:r>
              <w:t xml:space="preserve">主效壳色可达 A；产蛋数量和综合蛋品质多数仍为 B 或 C–B</w:t>
            </w:r>
          </w:p>
        </w:tc>
      </w:tr>
      <w:tr>
        <w:tc>
          <w:tcPr/>
          <w:p>
            <w:pPr>
              <w:pStyle w:val="Compact"/>
              <w:jc w:val="left"/>
            </w:pPr>
            <w:r>
              <w:t xml:space="preserve">抗病与免疫性状</w:t>
            </w:r>
          </w:p>
        </w:tc>
        <w:tc>
          <w:tcPr/>
          <w:p>
            <w:pPr>
              <w:pStyle w:val="Compact"/>
              <w:jc w:val="left"/>
            </w:pPr>
            <w:r>
              <w:t xml:space="preserve">gene/target-level A；haplotype/region-level B+</w:t>
            </w:r>
          </w:p>
        </w:tc>
        <w:tc>
          <w:tcPr/>
          <w:p>
            <w:pPr>
              <w:pStyle w:val="Compact"/>
              <w:jc w:val="left"/>
            </w:pPr>
            <w:r>
              <w:t xml:space="preserve">ANP32A；TVB/NHE1；MHC-B</w:t>
            </w:r>
          </w:p>
        </w:tc>
        <w:tc>
          <w:tcPr/>
          <w:p>
            <w:pPr>
              <w:pStyle w:val="Compact"/>
              <w:jc w:val="left"/>
            </w:pPr>
            <w:r>
              <w:t xml:space="preserve">T0–T1，常伴随高转化风险</w:t>
            </w:r>
          </w:p>
        </w:tc>
        <w:tc>
          <w:tcPr/>
          <w:p>
            <w:pPr>
              <w:pStyle w:val="Compact"/>
              <w:jc w:val="left"/>
            </w:pPr>
            <w:r>
              <w:t xml:space="preserve">强证据多在靶点层面，variant-level A 罕见</w:t>
            </w:r>
          </w:p>
        </w:tc>
      </w:tr>
      <w:tr>
        <w:tc>
          <w:tcPr/>
          <w:p>
            <w:pPr>
              <w:pStyle w:val="Compact"/>
              <w:jc w:val="left"/>
            </w:pPr>
            <w:r>
              <w:t xml:space="preserve">特色表型与地方适应</w:t>
            </w:r>
          </w:p>
        </w:tc>
        <w:tc>
          <w:tcPr/>
          <w:p>
            <w:pPr>
              <w:pStyle w:val="Compact"/>
              <w:jc w:val="left"/>
            </w:pPr>
            <w:r>
              <w:t xml:space="preserve">variant-level A</w:t>
            </w:r>
          </w:p>
        </w:tc>
        <w:tc>
          <w:tcPr/>
          <w:p>
            <w:pPr>
              <w:pStyle w:val="Compact"/>
              <w:jc w:val="left"/>
            </w:pPr>
            <w:r>
              <w:t xml:space="preserve">BCDO2、EDN3、SOX5、玫瑰冠倒位、部分羽色和羽型位点</w:t>
            </w:r>
          </w:p>
        </w:tc>
        <w:tc>
          <w:tcPr/>
          <w:p>
            <w:pPr>
              <w:pStyle w:val="Compact"/>
              <w:jc w:val="left"/>
            </w:pPr>
            <w:r>
              <w:t xml:space="preserve">T2，多限品种特征管理、保种或市场偏好</w:t>
            </w:r>
          </w:p>
        </w:tc>
        <w:tc>
          <w:tcPr/>
          <w:p>
            <w:pPr>
              <w:pStyle w:val="Compact"/>
              <w:jc w:val="left"/>
            </w:pPr>
            <w:r>
              <w:t xml:space="preserve">A 级证据集中于主效可见表型；地方适应扫描多数为 C–B</w:t>
            </w:r>
          </w:p>
        </w:tc>
      </w:tr>
    </w:tbl>
    <w:p>
      <w:pPr>
        <w:pStyle w:val="BodyText"/>
      </w:pPr>
      <w:r>
        <w:t xml:space="preserve">由此可以提炼出四个判断。第一，证据等级与性状遗传结构高度相关。主效或寡基因控制的可见表型更容易形成“变异—分子功能—表型”链条，因此更容易达到 variant-level A；而饲料效率、产蛋持续性、肉质、复杂抗病性和地方适应等性状通常受多基因小效应、环境互作、发育阶段和管理条件共同影响，即使候选信号数量很多，也很难形成单个位点层面的强因果证据。第二，抗病性状呈现明显的非对称证据格局：强证据更多出现在 gene/target-level，例如 ANP32A 或部分病毒受体相关靶点，而不是自然变异层面的 variant-level A。这说明抗病育种的关键瓶颈不只是发现功能靶点，而是如何将靶点功能证据转化为可育种自然变异，或转化为监管、福利和产业上可接受的编辑应用。</w:t>
      </w:r>
    </w:p>
    <w:p>
      <w:pPr>
        <w:pStyle w:val="BodyText"/>
      </w:pPr>
      <w:r>
        <w:t xml:space="preserve">第三，T 轴必须绑定具体应用场景。蓝壳、黄肤、纤维黑变、冠型、羽色等位点可以在品种识别、商品分级、保种和市场偏好场景中达到较高应用成熟度，但这种 T2 不能外推到生长、产蛋、肉质或抗病等综合经济性状。ANP32A 等编辑靶点即使具有强功能证据，也可能因为病原逃逸、补偿通路、多性状影响、动物福利、监管路径和消费者接受度而停留在 T0–T1。地方适应位点即使在群体遗传层面显示强选择信号，也通常只能用于资源保护、机制研究或后续验证，而不能直接作为商业育种标记。脱离具体性状、群体和应用目标讨论 T2，实际上没有明确生物学或育种意义。</w:t>
      </w:r>
    </w:p>
    <w:p>
      <w:pPr>
        <w:pStyle w:val="BodyText"/>
      </w:pPr>
      <w:r>
        <w:t xml:space="preserve">第四，表型质量是复杂性状证据上限的隐形天花板。饲料效率依赖长期、个体化和标准化采食记录；产蛋持续性需要纵向表型和阶段划分；肉质受屠宰日龄、取样部位、储藏条件和测定方法影响；抗病性状取决于病原、感染模型和免疫终点；地方适应则更依赖共同环境试验和长期生态表型。若表型定义不一致或测量误差较大，即使有 GWAS、多组学或细胞实验支持，候选位点的证据等级也不宜过度提高。复杂经济性状的证据不足，不完全是基因组学技术不足造成的，也来自表型层面的系统限制。</w:t>
      </w:r>
    </w:p>
    <w:p>
      <w:pPr>
        <w:pStyle w:val="BodyText"/>
      </w:pPr>
      <w:r>
        <w:t xml:space="preserve">这种分布并非家鸡研究所特有。在人类遗传学中，较强因果证据往往更容易出现在孟德尔遗传病或大效应变异中，而复杂疾病 GWAS 信号通常需要长期精细定位和功能验证；在牛、羊和猪等畜种中，DGAT1、MSTN、callipyge 等主效位点也多集中于效应较大、表型相对清楚的性状。家鸡目前呈现的格局符合这一普遍规律：A 级证据的稀缺或集中，并不单纯反映研究投入不足，而是与性状遗传结构、表型可测量性和功能验证可及性密切相关。</w:t>
      </w:r>
    </w:p>
    <w:p>
      <w:pPr>
        <w:pStyle w:val="BodyText"/>
      </w:pPr>
      <w:r>
        <w:t xml:space="preserve">对育种转化而言，这一证据地形图给出一个直接启示：复杂经济性状的长期改良仍应以 GS 和多性状选择指数为主，而不是期待少数候选位点承担主要选择功能。A 级主效位点适合用于品种特征管理、商品分级、保种或特定风险管理；B+ 位点的主要价值是排序和优先验证，而不是直接应用；B 和 C–B 位点更适合作为精细定位、功能实验和 GS 功能先验的候选集合。对于抗病编辑靶点，还必须在病原生态、宿主多性状效应、动物福利和监管路径之间进行单独评估。</w:t>
      </w:r>
    </w:p>
    <w:p>
      <w:pPr>
        <w:pStyle w:val="BodyText"/>
      </w:pPr>
      <w:r>
        <w:t xml:space="preserve">因此，本章的核心结论不是“哪些基因最重要”，而是“不同性状中候选位点通常能达到什么证据上限”。家鸡中确实存在一批强证据主效位点，但它们大多服务于可见表型和品种特征管理；复杂经济性状则需要在高质量表型、跨群体验证、多组学机制解析和功能验证之间逐步积累证据。下一章将进一步讨论功能验证如何推动候选位点从 B 或 B+ 向 A 级升级，这是当前家鸡精准育种中最稀缺、也最决定证据质量的一环。第 6 章则将在本章证据分布的基础上，讨论 MAS、GS 和基因编辑在不同证据等级下应如何分工。</w:t>
      </w:r>
    </w:p>
    <w:bookmarkEnd w:id="36"/>
    <w:bookmarkEnd w:id="37"/>
    <w:bookmarkStart w:id="42" w:name="功能验证如何推动证据升级"/>
    <w:p>
      <w:pPr>
        <w:pStyle w:val="Heading2"/>
      </w:pPr>
      <w:r>
        <w:t xml:space="preserve">5 功能验证如何推动证据升级</w:t>
      </w:r>
    </w:p>
    <w:p>
      <w:pPr>
        <w:pStyle w:val="FirstParagraph"/>
      </w:pPr>
      <w:r>
        <w:t xml:space="preserve">第 4 章显示，家鸡中并不缺少强证据位点，但真正达到 variant-level A 的案例主要集中在主效可见表型；多数复杂经济性状仍停留在 C、B 或 B+ 阶段。造成这一现象的关键原因之一，是候选信号从统计发现到功能因果之间仍存在明显断层。GWAS、QTL、选择扫描、多组学共定位和差异表达可以提出候选位点，也可以提高候选位点的机制合理性，但它们通常不能单独证明自然变异驱动表型差异。功能验证的核心任务，就是把“候选信号可能相关”推进到“变异、基因或靶点确实影响分子过程和表型”。</w:t>
      </w:r>
    </w:p>
    <w:p>
      <w:pPr>
        <w:pStyle w:val="BodyText"/>
      </w:pPr>
      <w:r>
        <w:t xml:space="preserve">在本文框架中，功能验证不是所有证据中的普通加分项，而是 A 级证据的关键门槛。没有功能验证，候选位点即使具有较强统计重复性和机制解释，也通常只能停留在 B 或 B+。但不同功能实验的证据强度并不相同。报告基因、细胞模型、过表达、敲低、CRISPRa/i、高通量筛选和体外病原复制实验，可以证明候选序列或基因具有功能潜力；内源编辑、自然突变或等位基因导入、PGC 介导编辑、体内模型和救援实验，才更接近因果判定。功能验证的目标不是简单地“做一个实验”，而是逐步建立“候选变异或靶点—分子效应—细胞或组织功能—体内表型”的证据链。</w:t>
      </w:r>
    </w:p>
    <w:p>
      <w:pPr>
        <w:pStyle w:val="BodyText"/>
      </w:pPr>
      <w:r>
        <w:rPr>
          <w:b/>
          <w:bCs/>
        </w:rPr>
        <w:t xml:space="preserve">表 7 候选位点从 B/B+ 升级到 A 的典型路径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起点证据形态</w:t>
            </w:r>
          </w:p>
        </w:tc>
        <w:tc>
          <w:tcPr/>
          <w:p>
            <w:pPr>
              <w:pStyle w:val="Compact"/>
              <w:jc w:val="left"/>
            </w:pPr>
            <w:r>
              <w:t xml:space="preserve">关键升级动作</w:t>
            </w:r>
          </w:p>
        </w:tc>
        <w:tc>
          <w:tcPr/>
          <w:p>
            <w:pPr>
              <w:pStyle w:val="Compact"/>
              <w:jc w:val="left"/>
            </w:pPr>
            <w:r>
              <w:t xml:space="preserve">终点证据形态</w:t>
            </w:r>
          </w:p>
        </w:tc>
      </w:tr>
      <w:tr>
        <w:tc>
          <w:tcPr/>
          <w:p>
            <w:pPr>
              <w:pStyle w:val="Compact"/>
              <w:jc w:val="left"/>
            </w:pPr>
            <w:r>
              <w:t xml:space="preserve">GWAS 峰、QTL 区间或邻近基因注释，变异不明确</w:t>
            </w:r>
          </w:p>
        </w:tc>
        <w:tc>
          <w:tcPr/>
          <w:p>
            <w:pPr>
              <w:pStyle w:val="Compact"/>
              <w:jc w:val="left"/>
            </w:pPr>
            <w:r>
              <w:t xml:space="preserve">精细定位、候选变异筛选、LD 区分、结构变异解析</w:t>
            </w:r>
          </w:p>
        </w:tc>
        <w:tc>
          <w:tcPr/>
          <w:p>
            <w:pPr>
              <w:pStyle w:val="Compact"/>
              <w:jc w:val="left"/>
            </w:pPr>
            <w:r>
              <w:t xml:space="preserve">variant-level 候选确认，为后续功能验证提供明确对象</w:t>
            </w:r>
          </w:p>
        </w:tc>
      </w:tr>
      <w:tr>
        <w:tc>
          <w:tcPr/>
          <w:p>
            <w:pPr>
              <w:pStyle w:val="Compact"/>
              <w:jc w:val="left"/>
            </w:pPr>
            <w:r>
              <w:t xml:space="preserve">ASE、coloc、报告基因阳性等调控候选</w:t>
            </w:r>
          </w:p>
        </w:tc>
        <w:tc>
          <w:tcPr/>
          <w:p>
            <w:pPr>
              <w:pStyle w:val="Compact"/>
              <w:jc w:val="left"/>
            </w:pPr>
            <w:r>
              <w:t xml:space="preserve">内源编辑、等位基因替换、表型重现或救援实验</w:t>
            </w:r>
          </w:p>
        </w:tc>
        <w:tc>
          <w:tcPr/>
          <w:p>
            <w:pPr>
              <w:pStyle w:val="Compact"/>
              <w:jc w:val="left"/>
            </w:pPr>
            <w:r>
              <w:t xml:space="preserve">variant-level A</w:t>
            </w:r>
          </w:p>
        </w:tc>
      </w:tr>
      <w:tr>
        <w:tc>
          <w:tcPr/>
          <w:p>
            <w:pPr>
              <w:pStyle w:val="Compact"/>
              <w:jc w:val="left"/>
            </w:pPr>
            <w:r>
              <w:t xml:space="preserve">细胞实验、通路富集或候选基因功能线索</w:t>
            </w:r>
          </w:p>
        </w:tc>
        <w:tc>
          <w:tcPr/>
          <w:p>
            <w:pPr>
              <w:pStyle w:val="Compact"/>
              <w:jc w:val="left"/>
            </w:pPr>
            <w:r>
              <w:t xml:space="preserve">体内模型、多性状表型评估、救援实验</w:t>
            </w:r>
          </w:p>
        </w:tc>
        <w:tc>
          <w:tcPr/>
          <w:p>
            <w:pPr>
              <w:pStyle w:val="Compact"/>
              <w:jc w:val="left"/>
            </w:pPr>
            <w:r>
              <w:t xml:space="preserve">gene/target-level A</w:t>
            </w:r>
          </w:p>
        </w:tc>
      </w:tr>
      <w:tr>
        <w:tc>
          <w:tcPr/>
          <w:p>
            <w:pPr>
              <w:pStyle w:val="Compact"/>
              <w:jc w:val="left"/>
            </w:pPr>
            <w:r>
              <w:t xml:space="preserve">MPRA、CRISPR 筛选或单细胞扰动命中</w:t>
            </w:r>
          </w:p>
        </w:tc>
        <w:tc>
          <w:tcPr/>
          <w:p>
            <w:pPr>
              <w:pStyle w:val="Compact"/>
              <w:jc w:val="left"/>
            </w:pPr>
            <w:r>
              <w:t xml:space="preserve">单基因验证、内源验证、目标组织和真实表型验证</w:t>
            </w:r>
          </w:p>
        </w:tc>
        <w:tc>
          <w:tcPr/>
          <w:p>
            <w:pPr>
              <w:pStyle w:val="Compact"/>
              <w:jc w:val="left"/>
            </w:pPr>
            <w:r>
              <w:t xml:space="preserve">gene/target-level A 或 B+，取决于是否完成体内因果验证</w:t>
            </w:r>
          </w:p>
        </w:tc>
      </w:tr>
    </w:tbl>
    <w:p>
      <w:pPr>
        <w:pStyle w:val="BodyText"/>
      </w:pPr>
      <w:r>
        <w:t xml:space="preserve">表 7 的核心含义是：B/B+ 升级到 A 不是靠证据数量堆叠，而是靠关键证据类型跨越。多个表达分析、多个候选基因关联或多个体外实验可以增强候选位点的可信度，但如果没有进入内源、体内或等位基因层面的因果验证，通常仍不应越过 A 级门槛。</w:t>
      </w:r>
    </w:p>
    <w:bookmarkStart w:id="38" w:name="从表达相关到等位基因层面证据"/>
    <w:p>
      <w:pPr>
        <w:pStyle w:val="Heading3"/>
      </w:pPr>
      <w:r>
        <w:t xml:space="preserve">5.1 从表达相关到等位基因层面证据</w:t>
      </w:r>
    </w:p>
    <w:p>
      <w:pPr>
        <w:pStyle w:val="FirstParagraph"/>
      </w:pPr>
      <w:r>
        <w:t xml:space="preserve">表达差异是家鸡复杂性状研究中最常见的机制证据之一。高低表型组之间的差异表达、目标组织中的高表达、感染后诱导表达或发育阶段特异表达，能够提示候选基因可能参与相关生物过程。然而，表达相关本身不能区分原因和结果。一个基因在高脂和低脂个体之间差异表达，可能参与脂肪沉积，也可能只是脂肪细胞状态变化后的结果；一个基因在感染后上调，可能参与抗病，也可能只是炎症反应的一部分。因此，单纯差异表达通常只能把候选位点从 C 级线索推进到机制候选，不能直接形成强因果证据。</w:t>
      </w:r>
    </w:p>
    <w:p>
      <w:pPr>
        <w:pStyle w:val="BodyText"/>
      </w:pPr>
      <w:r>
        <w:t xml:space="preserve">证据升级的关键，是把表达变化与遗传变异连接起来。分子 QTL、共定位、等位基因特异表达和等位基因特异染色质开放，可以部分回答候选变异是否影响目标组织中的分子表型。如果一个 GWAS 信号与 eQTL 信号共定位，并且有利等位基因或风险等位基因同时对应目标基因表达变化，证据强度就明显高于普通差异表达。如果同一个个体内两个等位基因表现出表达不平衡，且这种不平衡与候选变异或单倍型一致，则更能支持顺式调控机制。</w:t>
      </w:r>
    </w:p>
    <w:p>
      <w:pPr>
        <w:pStyle w:val="BodyText"/>
      </w:pPr>
      <w:r>
        <w:t xml:space="preserve">不过，等位基因层面证据仍不是终点。共定位会受到 LD 结构、样本量、组织选择和分子表型质量影响；等位基因特异表达也可能受测序偏倚、等位基因分型错误、组织异质性或细胞组成差异影响。因此，这类证据更适合把候选位点推向 B 或 B+，并确定后续验证优先级。只有当等位基因层面分子效应进一步与细胞功能、组织功能和体内表型相连接时，才可能支撑 A 级判断。</w:t>
      </w:r>
    </w:p>
    <w:p>
      <w:pPr>
        <w:pStyle w:val="BodyText"/>
      </w:pPr>
      <w:r>
        <w:t xml:space="preserve">对于非编码变异，这一过程尤其重要。非编码候选位点通常不会改变蛋白序列，其作用更可能体现在增强子活性、转录因子结合、剪接调控、染色质状态或三维互作上。因此，对非编码位点而言，理想的升级路径不是从 GWAS 直接跳到“候选基因”，而是依次确认候选变异、调控元件、等位基因分子效应、靶基因和表型后果。PHIP、IGF2BP1 和 rs734209466–IGFBP2/IGFBP5 这类案例的价值，正是在于把候选信号向这一链条推进；其不足，则在于仍需要更强的内源和体内证据来完成从 B/B+ 到 A 的跨越。</w:t>
      </w:r>
    </w:p>
    <w:bookmarkEnd w:id="38"/>
    <w:bookmarkStart w:id="39" w:name="从报告基因和细胞模型到内源编辑"/>
    <w:p>
      <w:pPr>
        <w:pStyle w:val="Heading3"/>
      </w:pPr>
      <w:r>
        <w:t xml:space="preserve">5.2 从报告基因和细胞模型到内源编辑</w:t>
      </w:r>
    </w:p>
    <w:p>
      <w:pPr>
        <w:pStyle w:val="FirstParagraph"/>
      </w:pPr>
      <w:r>
        <w:t xml:space="preserve">报告基因实验是验证候选调控序列最常见的方法之一。它可以比较不同等位基因或不同片段的转录调控活性，判断候选变异是否可能影响增强子或启动子功能。对于非编码变异，报告基因阳性通常比单纯“落在开放染色质区域”更有说服力，因为它至少证明候选片段具有改变转录输出的能力。然而，报告基因实验也有明显边界：候选序列被放入人工载体和简化调控环境中，脱离了原生染色质、三维空间结构、细胞发育状态和组织微环境。因此，报告基因阳性说明“有调控潜力”，不等于证明“在体内目标组织中承担实际调控功能”。</w:t>
      </w:r>
    </w:p>
    <w:p>
      <w:pPr>
        <w:pStyle w:val="BodyText"/>
      </w:pPr>
      <w:r>
        <w:t xml:space="preserve">细胞模型、过表达、敲低和 CRISPRa/i 可以进一步检验候选基因或调控元件是否影响细胞表型。例如，脂前体细胞分化、颗粒细胞增殖和激素分泌、肌肉细胞分化、巨噬细胞杀菌能力或病毒复制水平，都可以作为机制验证终点。这些实验比纯相关证据更进一步，能够帮助判断候选基因是否参与目标生物过程。但它们仍然主要回答“基因或序列是否具有功能”，而不是自然群体中的某个等位变异是否驱动复杂性状差异。</w:t>
      </w:r>
    </w:p>
    <w:p>
      <w:pPr>
        <w:pStyle w:val="BodyText"/>
      </w:pPr>
      <w:r>
        <w:t xml:space="preserve">内源编辑是证据升级的关键一步。与报告基因和过表达不同，内源编辑可以在原生染色质和基因组背景下检验候选变异或调控元件的真实作用。对于自然变异位点，更有力的设计是等位基因替换、候选插入或缺失重建、结构变异恢复或删除，而不是简单敲除整个基因。因为复杂性状候选位点常常不是“基因有没有”的问题，而是“某个等位变异是否改变表达、调控或功能”的问题。如果实验只证明敲除某基因会影响表型，却没有重现自然等位变异的分子效应，就更接近 gene/target-level 证据，而不是 variant-level 证据。</w:t>
      </w:r>
    </w:p>
    <w:p>
      <w:pPr>
        <w:pStyle w:val="BodyText"/>
      </w:pPr>
      <w:r>
        <w:t xml:space="preserve">由此可见，从 B+ 升级到 A，最关键的不是实验数量，而是实验设计是否针对因果问题。多个报告基因、差异表达和细胞实验可以形成很强的机制链，但如果都没有回到内源变异和体内表型，仍不宜自动升 A。相反，一个设计严密的等位基因替换或体内救援实验，即使样本规模有限，也可能提供更接近因果判定的证据。以 PHIP 为例，当前证据已经涉及非编码变异、转录因子结合、表达变化和颗粒细胞功能，但仍缺少决定性的内源等位基因替换或 PGC 编辑后产蛋相关表型重现，因此本文将其评为 B 而非 B+ 或 A。这正是“实验设计针对因果问题”优先于“实验数量”的具体体现。</w:t>
      </w:r>
    </w:p>
    <w:bookmarkEnd w:id="39"/>
    <w:bookmarkStart w:id="40" w:name="pgc-编辑体内模型和救援实验的证据价值"/>
    <w:p>
      <w:pPr>
        <w:pStyle w:val="Heading3"/>
      </w:pPr>
      <w:r>
        <w:t xml:space="preserve">5.3 PGC 编辑、体内模型和救援实验的证据价值</w:t>
      </w:r>
    </w:p>
    <w:p>
      <w:pPr>
        <w:pStyle w:val="FirstParagraph"/>
      </w:pPr>
      <w:r>
        <w:t xml:space="preserve">家鸡功能验证的一个特殊挑战，是获得稳定的体内遗传模型比模式动物更困难。鸡胚胎发育、生殖细胞操作、世代周期、饲养成本和伦理监管都会限制大规模功能验证。PGC 介导编辑为家鸡提供了重要路径，因为它可以在生殖系层面进行基因编辑或等位基因操作，从而建立更接近真实遗传背景的体内模型。对于复杂性状候选位点，PGC 编辑的价值不仅在于“能改基因”，更在于它有可能把候选变异、内源表达和体内表型连接起来。</w:t>
      </w:r>
    </w:p>
    <w:p>
      <w:pPr>
        <w:pStyle w:val="BodyText"/>
      </w:pPr>
      <w:r>
        <w:t xml:space="preserve">体内模型的证据价值取决于模型是否回答了正确问题。对于主效可见表型，重建或删除候选结构变异、插入片段或调控变异，可以直接检验其对表型的作用。对于复杂经济性状，体内模型需要同时记录目标性状和潜在副作用，例如生长位点需要评价体重、骨骼、脂肪、肉质和繁殖性能；抗病编辑需要评价病毒复制、临床结局、生产性能、免疫稳态和病原逃逸风险；产蛋相关候选位点需要评价卵巢功能、开产日龄、产蛋节律、产蛋持续性和蛋品质。若只观察一个分子指标或单一细胞终点，就不足以支持育种层面的强结论。</w:t>
      </w:r>
    </w:p>
    <w:p>
      <w:pPr>
        <w:pStyle w:val="BodyText"/>
      </w:pPr>
      <w:r>
        <w:t xml:space="preserve">救援实验是强因果证据的重要组成部分。若候选变异或基因扰动导致表型变化，而恢复目标基因表达、恢复特定等位基因或补回关键调控元件能够逆转该表型，则因果链条明显增强。救援实验的意义在于排除部分脱靶效应、背景效应和非特异扰动效应。对于基因编辑靶点，救援实验还可以帮助区分目标基因本身作用和编辑过程造成的间接影响。对于非编码调控变异，若能够证明特定等位基因改变靶基因表达，而恢复靶基因表达能够部分救回细胞或体内表型，证据强度会明显高于单独报告基因实验。</w:t>
      </w:r>
    </w:p>
    <w:p>
      <w:pPr>
        <w:pStyle w:val="BodyText"/>
      </w:pPr>
      <w:r>
        <w:t xml:space="preserve">不过，体内功能验证仍不等于产业应用成熟。即使 PGC 编辑或体内模型证明某个变异或靶点具有功能，也仍需要目标育种群体中的等位基因频率、遗传背景依赖、多性状影响和经济权重评估。ANP32A 这类抗病靶点尤其说明这一点：即使在 PGC 编辑或体内模型层面已经达到 gene/target-level A，自然群体可育种变异层面仍可能停留在 B 或 C；且其 T 轴位置受病原逃逸、补偿通路、动物福利、监管路径和消费者接受度等多重约束。因此，功能验证可以推动证据轴升级，但不能自动完成产业轴升级。</w:t>
      </w:r>
    </w:p>
    <w:bookmarkEnd w:id="40"/>
    <w:bookmarkStart w:id="41" w:name="高通量筛选适合排序不等于因果证明"/>
    <w:p>
      <w:pPr>
        <w:pStyle w:val="Heading3"/>
      </w:pPr>
      <w:r>
        <w:t xml:space="preserve">5.4 高通量筛选适合排序，不等于因果证明</w:t>
      </w:r>
    </w:p>
    <w:p>
      <w:pPr>
        <w:pStyle w:val="FirstParagraph"/>
      </w:pPr>
      <w:r>
        <w:t xml:space="preserve">随着基因组编辑、单细胞组学、MPRA、CRISPR 筛选和多组学整合的发展，高通量功能筛选正在成为候选位点优先排序的重要工具。MPRA 可以同时测试大量候选调控片段或等位变异的转录活性；CRISPRa/i 或 CRISPR knockout 筛选可以在细胞层面寻找影响病毒复制、细胞分化、代谢状态或免疫反应的基因；单细胞扰动实验可以把基因扰动与细胞状态变化联系起来。这些方法显著提高了候选筛选效率，尤其适合在大量 GWAS 或选择扫描信号中识别更值得验证的对象。</w:t>
      </w:r>
    </w:p>
    <w:p>
      <w:pPr>
        <w:pStyle w:val="BodyText"/>
      </w:pPr>
      <w:r>
        <w:t xml:space="preserve">但是，高通量筛选的主要价值是排序，而不是最终定性。一个位点在 MPRA 中表现出等位基因活性差异，并不说明它在目标组织的内源染色质环境中发挥相同作用；一个基因在 CRISPR 筛选中影响细胞表型，也不说明自然群体中存在可育种变异；一个单细胞扰动结果显示某基因改变细胞状态，也不等于该变化足以影响体内复杂性状。高通量结果通常应被视为 B 级或 B+ 级证据的重要组成部分，而不是直接作为 A 级证据。</w:t>
      </w:r>
    </w:p>
    <w:p>
      <w:pPr>
        <w:pStyle w:val="BodyText"/>
      </w:pPr>
      <w:r>
        <w:t xml:space="preserve">高通量筛选还容易受到模型选择和终点选择的影响。不同细胞系、原代细胞、发育阶段、感染剂量、培养条件和检测窗口，可能得到不同候选基因排序。对于家鸡复杂性状而言，体外细胞终点和真实育种表型之间常存在距离：肌肉细胞分化不等于胸肌产量，脂肪细胞分化不等于胴体脂肪分布，病毒复制抑制不等于生产环境中的抗病育种价值，颗粒细胞增殖也不等于全期产蛋持续性。所以，高通量筛选结果必须最终回到目标组织和真实表型中验证。</w:t>
      </w:r>
    </w:p>
    <w:p>
      <w:pPr>
        <w:pStyle w:val="BodyText"/>
      </w:pPr>
      <w:r>
        <w:t xml:space="preserve">更合理的策略，是把高通量筛选纳入分层验证流程：</w:t>
      </w:r>
    </w:p>
    <w:p>
      <w:pPr>
        <w:pStyle w:val="Compact"/>
        <w:numPr>
          <w:ilvl w:val="0"/>
          <w:numId w:val="1001"/>
        </w:numPr>
      </w:pPr>
      <w:r>
        <w:rPr>
          <w:b/>
          <w:bCs/>
        </w:rPr>
        <w:t xml:space="preserve">候选构建</w:t>
      </w:r>
      <w:r>
        <w:t xml:space="preserve">：利用 GWAS、QTL、选择扫描、多组学共定位和功能注释建立候选位点集合。</w:t>
      </w:r>
    </w:p>
    <w:p>
      <w:pPr>
        <w:pStyle w:val="Compact"/>
        <w:numPr>
          <w:ilvl w:val="0"/>
          <w:numId w:val="1001"/>
        </w:numPr>
      </w:pPr>
      <w:r>
        <w:rPr>
          <w:b/>
          <w:bCs/>
        </w:rPr>
        <w:t xml:space="preserve">优先排序</w:t>
      </w:r>
      <w:r>
        <w:t xml:space="preserve">：利用 MPRA、CRISPR 筛选、单细胞扰动或其他高通量实验识别高验证价值候选。</w:t>
      </w:r>
    </w:p>
    <w:p>
      <w:pPr>
        <w:pStyle w:val="Compact"/>
        <w:numPr>
          <w:ilvl w:val="0"/>
          <w:numId w:val="1001"/>
        </w:numPr>
      </w:pPr>
      <w:r>
        <w:rPr>
          <w:b/>
          <w:bCs/>
        </w:rPr>
        <w:t xml:space="preserve">机制确认</w:t>
      </w:r>
      <w:r>
        <w:t xml:space="preserve">：通过等位基因特异表达、共定位、报告基因、细胞模型和调控元件验证确认候选机制。</w:t>
      </w:r>
    </w:p>
    <w:p>
      <w:pPr>
        <w:pStyle w:val="Compact"/>
        <w:numPr>
          <w:ilvl w:val="0"/>
          <w:numId w:val="1001"/>
        </w:numPr>
      </w:pPr>
      <w:r>
        <w:rPr>
          <w:b/>
          <w:bCs/>
        </w:rPr>
        <w:t xml:space="preserve">因果定性</w:t>
      </w:r>
      <w:r>
        <w:t xml:space="preserve">：通过内源编辑、PGC 介导编辑、体内模型、救援实验和目标群体验证，判断其能否达到 variant-level A 或 gene/target-level A。</w:t>
      </w:r>
    </w:p>
    <w:p>
      <w:pPr>
        <w:pStyle w:val="FirstParagraph"/>
      </w:pPr>
      <w:r>
        <w:t xml:space="preserve">在这一流程中，高通量技术主要位于第 2 步，最多辅助第 3 步，不应跳过内源和体内证据直接进入第 4 步。它的价值是提高验证效率、减少盲目实验和排序候选对象，而不是替代因果验证。</w:t>
      </w:r>
    </w:p>
    <w:p>
      <w:pPr>
        <w:pStyle w:val="BodyText"/>
      </w:pPr>
      <w:r>
        <w:t xml:space="preserve">总体来看，功能验证推动证据升级的关键，是从“候选基因合理”走向“候选变异或靶点在内源和体内背景中发挥作用”。表达、共定位、报告基因、细胞模型和高通量筛选可以把 C 级线索推进到 B 或 B+；内源编辑、等位基因导入、PGC 编辑、体内模型和救援实验，才可能支撑 A 级证据。对于家鸡精准育种而言，未来最需要补足的不是候选信号数量，而是能够区分 variant-level、gene/target-level 和 T 轴应用边界的针对性功能验证体系。其中三个瓶颈环节最为关键：PGC 编辑通量决定能验证多少候选位点，内源等位基因替换效率决定能验证什么类型的变异，长期与多性状表型监测能力决定能否完成 T 轴评估。这三项中的任何一项不补足，复杂经济性状的证据等级都难以系统升级。</w:t>
      </w:r>
    </w:p>
    <w:bookmarkEnd w:id="41"/>
    <w:bookmarkEnd w:id="42"/>
    <w:bookmarkStart w:id="47" w:name="基于证据成熟度的育种转化决策"/>
    <w:p>
      <w:pPr>
        <w:pStyle w:val="Heading2"/>
      </w:pPr>
      <w:r>
        <w:t xml:space="preserve">6 基于证据成熟度的育种转化决策</w:t>
      </w:r>
    </w:p>
    <w:p>
      <w:pPr>
        <w:pStyle w:val="FirstParagraph"/>
      </w:pPr>
      <w:r>
        <w:t xml:space="preserve">前文讨论的是候选位点证据如何分级，以及功能验证如何推动证据升级。本章进一步讨论一个更接近育种实践的问题：不同证据等级的候选位点，应该如何进入育种决策。家鸡复杂性状育种不能简单理解为“找到一个候选基因，然后用于选择”。多数经济性状由多基因小效应、遗传背景、环境条件和多性状权衡共同决定。即使某个位点具有较强功能证据，也还需要回答它在目标群体中是否存在、效应是否稳定、是否有负面连锁效应、是否能带来实际遗传增益，以及是否符合动物福利、监管和市场要求。</w:t>
      </w:r>
    </w:p>
    <w:p>
      <w:pPr>
        <w:pStyle w:val="BodyText"/>
      </w:pPr>
      <w:r>
        <w:t xml:space="preserve">标记辅助选择、基因组选择和基因编辑是覆盖不同证据等级与应用场景的并行工具，而非依次替代的三代技术。MAS 适用于少数效应明确、检测方便、与目标表型稳定相关的主效位点；GS 适用于多数多基因复杂经济性状；基因编辑既是强功能验证工具，也可能在少数关键靶点上具有定向改造价值，但它对证据等级、监管路径和产业可接受性的要求最高。因此，证据成熟度框架的核心用途不是给候选位点贴标签，而是防止育种工具错配。</w:t>
      </w:r>
    </w:p>
    <w:p>
      <w:pPr>
        <w:pStyle w:val="BodyText"/>
      </w:pPr>
      <w:r>
        <w:t xml:space="preserve">本章给出的工具匹配建议基于各位点的当前证据等级。证据成熟度本身是动态的：一个位点完成关键验证步骤后可能跨越评级边界，相应应用建议也会随之改变。育种决策应定期回顾候选位点的证据状态，而不是把当前评级当作永久结论。同时，工具选择不仅是证据问题，也是成本—收益问题。MAS 单位点分型成本较低，适合中小育种企业或保种场景；GS 需要参考群体、全基因组标记和稳定表型记录系统，前期投入较大但适合多基因经济性状长期改良；基因编辑需要 PGC 体系、功能验证平台、多代追踪和监管准备，目前更适合大型育种公司或公共研究机构主导。证据成熟度框架提供科学边界，具体工具组合还要结合育种主体资源、目标市场和监管环境综合决定。</w:t>
      </w:r>
    </w:p>
    <w:p>
      <w:pPr>
        <w:pStyle w:val="BodyText"/>
      </w:pPr>
      <w:r>
        <w:rPr>
          <w:b/>
          <w:bCs/>
        </w:rPr>
        <w:t xml:space="preserve">表 8 候选位点证据等级与育种工具匹配矩阵</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证据层级 + 等级</w:t>
            </w:r>
          </w:p>
        </w:tc>
        <w:tc>
          <w:tcPr/>
          <w:p>
            <w:pPr>
              <w:pStyle w:val="Compact"/>
              <w:jc w:val="left"/>
            </w:pPr>
            <w:r>
              <w:t xml:space="preserve">T0：目标群体未验证</w:t>
            </w:r>
          </w:p>
        </w:tc>
        <w:tc>
          <w:tcPr/>
          <w:p>
            <w:pPr>
              <w:pStyle w:val="Compact"/>
              <w:jc w:val="left"/>
            </w:pPr>
            <w:r>
              <w:t xml:space="preserve">T1：目标群体初步验证</w:t>
            </w:r>
          </w:p>
        </w:tc>
        <w:tc>
          <w:tcPr/>
          <w:p>
            <w:pPr>
              <w:pStyle w:val="Compact"/>
              <w:jc w:val="left"/>
            </w:pPr>
            <w:r>
              <w:t xml:space="preserve">T2：应用场景成熟</w:t>
            </w:r>
          </w:p>
        </w:tc>
      </w:tr>
      <w:tr>
        <w:tc>
          <w:tcPr/>
          <w:p>
            <w:pPr>
              <w:pStyle w:val="Compact"/>
              <w:jc w:val="left"/>
            </w:pPr>
            <w:r>
              <w:t xml:space="preserve">variant-level A</w:t>
            </w:r>
          </w:p>
        </w:tc>
        <w:tc>
          <w:tcPr/>
          <w:p>
            <w:pPr>
              <w:pStyle w:val="Compact"/>
              <w:jc w:val="left"/>
            </w:pPr>
            <w:r>
              <w:t xml:space="preserve">进入目标群体验证；评估等位基因频率、效应方向和多性状影响</w:t>
            </w:r>
          </w:p>
        </w:tc>
        <w:tc>
          <w:tcPr/>
          <w:p>
            <w:pPr>
              <w:pStyle w:val="Compact"/>
              <w:jc w:val="left"/>
            </w:pPr>
            <w:r>
              <w:t xml:space="preserve">可作为试点 MAS 或品种特征管理对象，但需继续监测副作用</w:t>
            </w:r>
          </w:p>
        </w:tc>
        <w:tc>
          <w:tcPr/>
          <w:p>
            <w:pPr>
              <w:pStyle w:val="Compact"/>
              <w:jc w:val="left"/>
            </w:pPr>
            <w:r>
              <w:t xml:space="preserve">可用于 MAS、品种特征管理、商品分级或保种</w:t>
            </w:r>
          </w:p>
        </w:tc>
      </w:tr>
      <w:tr>
        <w:tc>
          <w:tcPr/>
          <w:p>
            <w:pPr>
              <w:pStyle w:val="Compact"/>
              <w:jc w:val="left"/>
            </w:pPr>
            <w:r>
              <w:t xml:space="preserve">variant-level B+</w:t>
            </w:r>
          </w:p>
        </w:tc>
        <w:tc>
          <w:tcPr/>
          <w:p>
            <w:pPr>
              <w:pStyle w:val="Compact"/>
              <w:jc w:val="left"/>
            </w:pPr>
            <w:r>
              <w:t xml:space="preserve">优先功能验证、内源编辑、跨群体验证；可作为 GS 功能先验</w:t>
            </w:r>
          </w:p>
        </w:tc>
        <w:tc>
          <w:tcPr/>
          <w:p>
            <w:pPr>
              <w:pStyle w:val="Compact"/>
              <w:jc w:val="left"/>
            </w:pPr>
            <w:r>
              <w:t xml:space="preserve">可用于目标群体风险评估或模型加权，但不宜作为确定性标记</w:t>
            </w:r>
          </w:p>
        </w:tc>
        <w:tc>
          <w:tcPr/>
          <w:p>
            <w:pPr>
              <w:pStyle w:val="Compact"/>
              <w:jc w:val="left"/>
            </w:pPr>
            <w:r>
              <w:t xml:space="preserve">可在已验证群体内作为 GS 高权重先验或辅助标记，但应明确报告为“育种预测价值”而非“因果标记”；跨群体推广前必须重新评估；这种 T2 状态不等于因果证据成熟</w:t>
            </w:r>
          </w:p>
        </w:tc>
      </w:tr>
      <w:tr>
        <w:tc>
          <w:tcPr/>
          <w:p>
            <w:pPr>
              <w:pStyle w:val="Compact"/>
              <w:jc w:val="left"/>
            </w:pPr>
            <w:r>
              <w:t xml:space="preserve">region-level B</w:t>
            </w:r>
          </w:p>
        </w:tc>
        <w:tc>
          <w:tcPr/>
          <w:p>
            <w:pPr>
              <w:pStyle w:val="Compact"/>
              <w:jc w:val="left"/>
            </w:pPr>
            <w:r>
              <w:t xml:space="preserve">精细定位、候选变异筛选、LD 区分和结构变异解析</w:t>
            </w:r>
          </w:p>
        </w:tc>
        <w:tc>
          <w:tcPr/>
          <w:p>
            <w:pPr>
              <w:pStyle w:val="Compact"/>
              <w:jc w:val="left"/>
            </w:pPr>
            <w:r>
              <w:t xml:space="preserve">可作为目标群体重点验证区段或 GS 低—中权重先验</w:t>
            </w:r>
          </w:p>
        </w:tc>
        <w:tc>
          <w:tcPr/>
          <w:p>
            <w:pPr>
              <w:pStyle w:val="Compact"/>
              <w:jc w:val="left"/>
            </w:pPr>
            <w:r>
              <w:t xml:space="preserve">若未解析到具体变异、结构变异或功能单倍型，通常不应直接用于 MAS</w:t>
            </w:r>
          </w:p>
        </w:tc>
      </w:tr>
      <w:tr>
        <w:tc>
          <w:tcPr/>
          <w:p>
            <w:pPr>
              <w:pStyle w:val="Compact"/>
              <w:jc w:val="left"/>
            </w:pPr>
            <w:r>
              <w:t xml:space="preserve">gene-level C–B</w:t>
            </w:r>
          </w:p>
        </w:tc>
        <w:tc>
          <w:tcPr/>
          <w:p>
            <w:pPr>
              <w:pStyle w:val="Compact"/>
              <w:jc w:val="left"/>
            </w:pPr>
            <w:r>
              <w:t xml:space="preserve">机制实验、跨群体重复验证和候选集合构建</w:t>
            </w:r>
          </w:p>
        </w:tc>
        <w:tc>
          <w:tcPr/>
          <w:p>
            <w:pPr>
              <w:pStyle w:val="Compact"/>
              <w:jc w:val="left"/>
            </w:pPr>
            <w:r>
              <w:t xml:space="preserve">可作为功能注释或 GS 低权重先验</w:t>
            </w:r>
          </w:p>
        </w:tc>
        <w:tc>
          <w:tcPr/>
          <w:p>
            <w:pPr>
              <w:pStyle w:val="Compact"/>
              <w:jc w:val="left"/>
            </w:pPr>
            <w:r>
              <w:t xml:space="preserve">不宜直接用于 MAS；除非进一步升级为明确变异或强靶点证据</w:t>
            </w:r>
          </w:p>
        </w:tc>
      </w:tr>
      <w:tr>
        <w:tc>
          <w:tcPr/>
          <w:p>
            <w:pPr>
              <w:pStyle w:val="Compact"/>
              <w:jc w:val="left"/>
            </w:pPr>
            <w:r>
              <w:t xml:space="preserve">gene/target-level A，variant-level B–C</w:t>
            </w:r>
          </w:p>
        </w:tc>
        <w:tc>
          <w:tcPr/>
          <w:p>
            <w:pPr>
              <w:pStyle w:val="Compact"/>
              <w:jc w:val="left"/>
            </w:pPr>
            <w:r>
              <w:t xml:space="preserve">机制研究、编辑靶点评估、生物安全评估</w:t>
            </w:r>
          </w:p>
        </w:tc>
        <w:tc>
          <w:tcPr/>
          <w:p>
            <w:pPr>
              <w:pStyle w:val="Compact"/>
              <w:jc w:val="left"/>
            </w:pPr>
            <w:r>
              <w:t xml:space="preserve">可开展编辑研究试点、疾病风险评估或监管和市场环境扫描</w:t>
            </w:r>
          </w:p>
        </w:tc>
        <w:tc>
          <w:tcPr/>
          <w:p>
            <w:pPr>
              <w:pStyle w:val="Compact"/>
              <w:jc w:val="left"/>
            </w:pPr>
            <w:r>
              <w:t xml:space="preserve">在监管批准、多代福利评估、病原逃逸监测和目标市场可行性已经确认的前提下，可在严格监控条件下进入抗病编辑应用；若任一前置条件缺失，该位点在该场景下应保持 T1 状态，不进入编辑应用</w:t>
            </w:r>
          </w:p>
        </w:tc>
      </w:tr>
      <w:tr>
        <w:tc>
          <w:tcPr/>
          <w:p>
            <w:pPr>
              <w:pStyle w:val="Compact"/>
              <w:jc w:val="left"/>
            </w:pPr>
            <w:r>
              <w:t xml:space="preserve">C 级候选线索</w:t>
            </w:r>
          </w:p>
        </w:tc>
        <w:tc>
          <w:tcPr/>
          <w:p>
            <w:pPr>
              <w:pStyle w:val="Compact"/>
              <w:jc w:val="left"/>
            </w:pPr>
            <w:r>
              <w:t xml:space="preserve">假设生成、候选清单构建、低权重功能注释</w:t>
            </w:r>
          </w:p>
        </w:tc>
        <w:tc>
          <w:tcPr/>
          <w:p>
            <w:pPr>
              <w:pStyle w:val="Compact"/>
              <w:jc w:val="left"/>
            </w:pPr>
            <w:r>
              <w:t xml:space="preserve">一般不进入育种决策</w:t>
            </w:r>
          </w:p>
        </w:tc>
        <w:tc>
          <w:tcPr/>
          <w:p>
            <w:pPr>
              <w:pStyle w:val="Compact"/>
              <w:jc w:val="left"/>
            </w:pPr>
            <w:r>
              <w:t xml:space="preserve">不适合直接应用</w:t>
            </w:r>
          </w:p>
        </w:tc>
      </w:tr>
    </w:tbl>
    <w:p>
      <w:pPr>
        <w:pStyle w:val="BodyText"/>
      </w:pPr>
      <w:r>
        <w:t xml:space="preserve">表 8 的核心含义是：证据等级和 T 轴必须同时看。A 级但 T0 的位点不能直接应用；B+ 但 T0 的位点主要用于验证和排序；B+ 即使在某一群体中表现出稳定预测价值，也不应被改写为强因果标记；gene/target-level A 如果缺少 variant-level 自然变异证据，也不能写成可直接选择的功能标记。真正进入育种流程的，不是“看起来重要的基因”，而是证据等级、应用场景和工具类型三者匹配的位点。</w:t>
      </w:r>
    </w:p>
    <w:p>
      <w:pPr>
        <w:pStyle w:val="BodyText"/>
      </w:pPr>
      <w:r>
        <w:t xml:space="preserve">表 8 中工具选择呈现一个隐含规律：</w:t>
      </w:r>
      <w:r>
        <w:rPr>
          <w:b/>
          <w:bCs/>
        </w:rPr>
        <w:t xml:space="preserve">variant-level A + T2</w:t>
      </w:r>
      <w:r>
        <w:t xml:space="preserve"> </w:t>
      </w:r>
      <w:r>
        <w:t xml:space="preserve">时，因果变异明确，可使用 MAS 作单点选择；</w:t>
      </w:r>
      <w:r>
        <w:rPr>
          <w:b/>
          <w:bCs/>
        </w:rPr>
        <w:t xml:space="preserve">variant-level B+ + T2</w:t>
      </w:r>
      <w:r>
        <w:t xml:space="preserve"> </w:t>
      </w:r>
      <w:r>
        <w:t xml:space="preserve">时，因果性未确认，只能作为 GS 模型的局部先验或群体内辅助标记，不能独立作为选择标记。这一区分反映了“确定性因果证据”与“稳定预测价值”在工具选择上的不同含义。</w:t>
      </w:r>
    </w:p>
    <w:bookmarkStart w:id="43" w:name="mas少数强证据主效位点和品种特征管理"/>
    <w:p>
      <w:pPr>
        <w:pStyle w:val="Heading3"/>
      </w:pPr>
      <w:r>
        <w:t xml:space="preserve">6.1 MAS：少数强证据主效位点和品种特征管理</w:t>
      </w:r>
    </w:p>
    <w:p>
      <w:pPr>
        <w:pStyle w:val="FirstParagraph"/>
      </w:pPr>
      <w:r>
        <w:t xml:space="preserve">标记辅助选择最适合处理效应明确、分型可靠、应用目标单一的位点。第 4 章中达到 variant-level A 的蓝壳 SLCO1B3、黄肤 BCDO2、纤维黑变 EDN3、豌豆冠 SOX5、玫瑰冠相关倒位以及部分羽色和羽型位点，均可作为 MAS 或品种特征管理的典型对象。这类位点的共同特点是表型边界清楚、变异效应较大、检测成本低，且 T 轴应用场景相对明确。对于壳色、肤色、羽色、冠型、乌骨性状和特定品种识别而言，MAS 可以提高选种准确性，减少表型误判，并服务于保种、商品分级和市场定位。</w:t>
      </w:r>
    </w:p>
    <w:p>
      <w:pPr>
        <w:pStyle w:val="BodyText"/>
      </w:pPr>
      <w:r>
        <w:t xml:space="preserve">但是，A 级主效位点进入 MAS 并不意味着可以无条件使用。首先，T2 必须绑定具体应用场景。SLCO1B3 可用于蓝壳识别，不代表能够提高产蛋数或蛋壳强度；BCDO2 可用于黄肤管理，不代表能够改善肉质或地方适应；EDN3 可解释乌骨和纤维黑变，不代表其对抗病性或药用价值具有强证据。其次，某些主效位点可能伴随负面连锁或多性状风险。玫瑰冠是第 4.4 节讨论的多性状风险案例。在 MAS 决策语境下，这一风险意味着：即使变异明确度和表型因果证据达到 A 级，玫瑰冠 MAS 也应限制在繁殖性能不是核心目标的场景，如展览、保种或特定文化标识用途，而不应直接进入肉用或蛋用商业品系的繁殖核心群体管理。</w:t>
      </w:r>
    </w:p>
    <w:p>
      <w:pPr>
        <w:pStyle w:val="BodyText"/>
      </w:pPr>
      <w:r>
        <w:t xml:space="preserve">MAS 应用 A 级位点需要同时满足三个前提：第一，证据等级达到 variant-level A，且因果变异、结构变异或功能单倍型已经明确；第二，T 应用场景与具体育种目标一致；第三，多性状风险、负面连锁效应和目标群体适用性已被独立评估。三者缺一，都不应进入常规选择流程。</w:t>
      </w:r>
    </w:p>
    <w:p>
      <w:pPr>
        <w:pStyle w:val="BodyText"/>
      </w:pPr>
      <w:r>
        <w:t xml:space="preserve">对于 B+ 位点，MAS 应更加谨慎。IGF2BP1 启动子缺失、rs734209466–IGFBP2/IGFBP5 调控链、TSHR 驯化相关变异以及部分受体型抗病位点，虽然具有较强机制证据或候选价值，但仍不宜直接作为 MAS 标记。它们更适合作为目标群体验证对象、功能实验优先对象或风险评估位点。在严格控制的试点研究中，可以测试其作为辅助标记的价值，但不应在主流选择流程中使用。只有当这些位点在目标育种群体中表现出稳定效应，并且完成多性状和经济权重评估后，才可能进入更直接的选择应用。对于 C 或普通 B 级候选信号，直接用于 MAS 风险更高，容易把群体特异 LD、表型偶然关联或机制线索误当作因果标记。</w:t>
      </w:r>
    </w:p>
    <w:bookmarkEnd w:id="43"/>
    <w:bookmarkStart w:id="44" w:name="gs复杂经济性状改良的主干"/>
    <w:p>
      <w:pPr>
        <w:pStyle w:val="Heading3"/>
      </w:pPr>
      <w:r>
        <w:t xml:space="preserve">6.2 GS：复杂经济性状改良的主干</w:t>
      </w:r>
    </w:p>
    <w:p>
      <w:pPr>
        <w:pStyle w:val="FirstParagraph"/>
      </w:pPr>
      <w:r>
        <w:t xml:space="preserve">对于生长、饲料效率、产蛋持续性、肉质、蛋壳强度、复杂抗病性和地方适应等多基因经济性状，基因组选择仍应是主要改良工具。复杂经济性状通常由大量小效应位点共同影响，单个位点即使具有一定机制证据，也难以解释足够多的遗传变异。第 4 章显示，生长、脂肪沉积和饲料效率方向目前最高多为 B+；产蛋数量和综合蛋品质多数为 B 或 C–B；抗病性状虽然有 gene/target-level A 靶点，但自然变异层面的可育种 A 级位点很少。这种证据分布决定了复杂经济性状不宜依赖少数候选基因直接选择。</w:t>
      </w:r>
    </w:p>
    <w:p>
      <w:pPr>
        <w:pStyle w:val="BodyText"/>
      </w:pPr>
      <w:r>
        <w:t xml:space="preserve">GS 的优势在于不要求每个位点都被证明为因果变异，而是利用全基因组标记捕捉整体遗传值。对于高度多基因性状，GS 比 MAS 更符合遗传结构。尤其在商业育种体系中，选择目标通常不是单一性状最大化，而是生长、繁殖、饲料效率、肉质、健康、福利和遗传多样性的综合平衡。多性状选择指数可以将不同性状的经济权重纳入同一框架，避免单一候选位点选择造成不必要的性状偏移。</w:t>
      </w:r>
    </w:p>
    <w:p>
      <w:pPr>
        <w:pStyle w:val="BodyText"/>
      </w:pPr>
      <w:r>
        <w:t xml:space="preserve">证据成熟度框架可以增强 GS，而不是与 GS 对立。B+ 或高可信 B 级位点可以作为功能先验，用于构建加权 GS 模型、贝叶斯模型或功能注释增强模型。比如，IGF2BP1 或 IGFBP2/IGFBP5 相关位点可作为生长和脂肪沉积方向的机制先验；MHC-B 或部分抗病候选区域可作为疾病风险模型中的候选区域。对于尚未达到 B+ 的位点，如 PHIP，其在 GS 模型中应仅作为低权重候选区段或候选清单的一部分；其更恰当的应用路径仍是功能验证，详见第 6.4 节。</w:t>
      </w:r>
    </w:p>
    <w:p>
      <w:pPr>
        <w:pStyle w:val="BodyText"/>
      </w:pPr>
      <w:r>
        <w:t xml:space="preserve">这类功能先验必须有权重边界。例如，在腹脂沉积 GS 模型中，rs734209466–IGFBP2/IGFBP5 区域具有具体候选变异和较强机制证据，可作为高权重先验位点，但其权重上限不应超过该位点在交叉验证中显示的解释力。在产蛋持续性 GS 模型中，PHIP 和 PRLR 邻近区域因变异未完全明确，只能作为候选先验区段，且权重应低于明确变异位点；同时，其权重也不应超过该位点在该模型交叉验证中显示的解释力。由于产蛋持续性方向目前缺少 variant-level A 位点，模型整体应以 GS 多基因评估为主，候选先验作用有限。这样的做法既利用了 B+ 或 B 级位点的机制信息，又避免把候选位点当作确定性因果标记。</w:t>
      </w:r>
    </w:p>
    <w:p>
      <w:pPr>
        <w:pStyle w:val="BodyText"/>
      </w:pPr>
      <w:r>
        <w:t xml:space="preserve">GS 的另一个关键前提是高质量表型。复杂性状的遗传评估不能只依赖更密集的基因型或更多多组学数据。饲料效率需要标准化个体采食记录，产蛋持续性需要纵向记录，肉质需要一致的屠宰和测定流程，抗病性状需要明确感染模型和终点，地方适应需要共同环境或跨环境表型。若表型质量不足，GS 预测准确性和候选位点解释都会受到限制。由此可见，复杂经济性状的主要瓶颈往往不是缺少候选基因，而是缺少稳定、可比较、可用于遗传评估的高质量表型体系。表型基础设施的瓶颈对 MAS 和 GS 都是约束；但对基因编辑而言，约束的来源进一步扩展到监管、福利和病原生态，下一节将讨论这些非生物学约束如何决定编辑工具的实际可用边界。</w:t>
      </w:r>
    </w:p>
    <w:bookmarkEnd w:id="44"/>
    <w:bookmarkStart w:id="45" w:name="基因编辑功能验证工具与少数关键靶点突破"/>
    <w:p>
      <w:pPr>
        <w:pStyle w:val="Heading3"/>
      </w:pPr>
      <w:r>
        <w:t xml:space="preserve">6.3 基因编辑：功能验证工具与少数关键靶点突破</w:t>
      </w:r>
    </w:p>
    <w:p>
      <w:pPr>
        <w:pStyle w:val="FirstParagraph"/>
      </w:pPr>
      <w:r>
        <w:t xml:space="preserve">基因编辑在家鸡遗传研究中的价值首先是功能验证，其次才是潜在育种工具。PGC 介导编辑、内源等位基因替换、结构变异重建、靶点敲除或敲入，可以帮助研究者判断候选变异或基因是否真正影响目标表型。对于 B+ 位点，编辑实验是推动其向 A 级升级的关键路径。对于 gene/target-level 候选，编辑可以明确靶点是否具有功能作用；对于 variant-level 候选，最有价值的编辑设计是等位基因替换或自然变异重建，而不是简单敲除整个基因。</w:t>
      </w:r>
    </w:p>
    <w:p>
      <w:pPr>
        <w:pStyle w:val="BodyText"/>
      </w:pPr>
      <w:r>
        <w:t xml:space="preserve">基因编辑作为育种工具时，门槛更高。一个靶点在实验模型中有效，并不等于可以进入产业育种；这一门槛由证据非对称性、监管路径和应用边界三类约束共同构成。下面以 ANP32A 和 TVB/NHE1 两类典型靶点说明这种约束差异。</w:t>
      </w:r>
    </w:p>
    <w:p>
      <w:pPr>
        <w:pStyle w:val="BodyText"/>
      </w:pPr>
      <w:r>
        <w:t xml:space="preserve">就证据非对称性而言，ANP32A 是</w:t>
      </w:r>
      <w:r>
        <w:t xml:space="preserve"> </w:t>
      </w:r>
      <w:r>
        <w:rPr>
          <w:b/>
          <w:bCs/>
        </w:rPr>
        <w:t xml:space="preserve">gene/target-level A + variant-level B–C</w:t>
      </w:r>
      <w:r>
        <w:t xml:space="preserve"> </w:t>
      </w:r>
      <w:r>
        <w:t xml:space="preserve">的极端非对称情形：编辑层面证据强，但自然群体可育种变异证据弱；TVB/NHE1 则代表非对称程度较轻的情形，靶点功能证据和自然变异证据部分重叠。就监管路径而言，ANP32A 类靶点更接近纯编辑路径，主要在监管允许编辑的市场中具有产业前景；TVB/NHE1 类靶点可同时支持自然变异筛选和编辑两条路径，在监管严格的市场中也可能通过自然变异筛选实现部分育种价值。就应用边界而言，ANP32A 需要病原逃逸、ANP32 家族补偿和多性状副作用的额外评估；TVB/NHE1 仍需要病原亚群特异性、跨群体效应和体内感染验证。</w:t>
      </w:r>
    </w:p>
    <w:p>
      <w:pPr>
        <w:pStyle w:val="BodyText"/>
      </w:pPr>
      <w:r>
        <w:t xml:space="preserve">基于上述差异，对监管允许编辑的市场，研究投入可优先聚焦 ANP32A 这类高功能价值靶点的编辑路径；对监管严格的市场，TVB/NHE1 这类同时存在自然变异的靶点应是研究优先级更高的对象。</w:t>
      </w:r>
    </w:p>
    <w:p>
      <w:pPr>
        <w:pStyle w:val="BodyText"/>
      </w:pPr>
      <w:r>
        <w:t xml:space="preserve">对于复杂经济性状，基因编辑无法替代 GS。生长、饲料效率、产蛋持续性和肉质通常不由单个靶点决定。即使编辑某个关键调控基因能够改变表型，也可能引起多性状副作用。比如，提高体型可能影响腿部健康和繁殖性能；降低脂肪沉积可能影响肉质、代谢稳态或适应性；改变繁殖内分泌通路可能影响产蛋节律、卵巢健康和福利。所以，基因编辑更适合三类任务：第一，作为功能验证工具，确认 B+ 位点是否具备 A 级证据；第二，作为少数关键风险位点或主效位点的定向管理手段；第三，在抗病或特定生物安全场景中探索靶点突破，但必须进行严格 T 轴评估。</w:t>
      </w:r>
    </w:p>
    <w:p>
      <w:pPr>
        <w:pStyle w:val="BodyText"/>
      </w:pPr>
      <w:r>
        <w:t xml:space="preserve">基因编辑的 T 轴评估至少涉及三个独立维度。第一是监管路径。不同国家和地区对禽类基因编辑产品的监管态度差异很大，目标市场选择直接决定编辑应用的可行边界。中文行业读者在制定编辑应用策略时，应优先评估国内主流市场和目标出口市场的具体监管现状，而非按全球平均情况估计可行性。第二是福利与多代追踪。编辑后多代的生长、繁殖、行为、健康和免疫指标监测，是负责任应用的基本要求，不能只凭 F0 或 F1 的短期表型决定产业化。第三是病原逃逸监测。抗病编辑尤其需要在产业实施前后建立病毒变异和宿主适应监测体系，否则单一靶点的保护效应可能在选择压力下被绕过。这三个维度任何一项缺失，编辑应用都难以从研究阶段进入产业阶段。</w:t>
      </w:r>
    </w:p>
    <w:bookmarkEnd w:id="45"/>
    <w:bookmarkStart w:id="46" w:name="具体情景代表性位点应该怎么用"/>
    <w:p>
      <w:pPr>
        <w:pStyle w:val="Heading3"/>
      </w:pPr>
      <w:r>
        <w:t xml:space="preserve">6.4 具体情景：代表性位点应该怎么用</w:t>
      </w:r>
    </w:p>
    <w:p>
      <w:pPr>
        <w:pStyle w:val="FirstParagraph"/>
      </w:pPr>
      <w:r>
        <w:t xml:space="preserve">将前文代表性位点放入育种决策框架，可以更清楚地看到不同证据等级对应的不同用途。</w:t>
      </w:r>
    </w:p>
    <w:p>
      <w:pPr>
        <w:pStyle w:val="BodyText"/>
      </w:pPr>
      <w:r>
        <w:rPr>
          <w:b/>
          <w:bCs/>
        </w:rPr>
        <w:t xml:space="preserve">SLCO1B3 EAV-HP 插入：variant-level A / T2 的成熟 MAS 应用。</w:t>
      </w:r>
      <w:r>
        <w:br/>
      </w:r>
      <w:r>
        <w:t xml:space="preserve">SLCO1B3 EAV-HP 插入是本文讨论中较成熟的 MAS 案例。其分型可通过常规 PCR 或简单分型方法完成，检测成本低，适合大规模应用于蓝壳产蛋鸡品种识别、品系纯度管理、蓝壳商品蛋市场分级，以及蓝壳地方品种保种群体监测。但 SLCO1B3 的“成熟”严格限定在壳色管理这一具体场景；它不能作为产蛋数、蛋壳强度或综合蛋品质的标记。这种“A 级证据 + 严格场景边界”的应用方式，是 BCDO2 黄肤、EDN3 纤维黑变、SOX5 豌豆冠等其他特色表型 A 级位点应当参照的模板。</w:t>
      </w:r>
    </w:p>
    <w:p>
      <w:pPr>
        <w:pStyle w:val="BodyText"/>
      </w:pPr>
      <w:r>
        <w:t xml:space="preserve">与 SLCO1B3 这种已经达到 T2 的成熟应用案例不同，多数复杂经济性状的代表位点目前仍停留在 B+ 或 B 级。</w:t>
      </w:r>
    </w:p>
    <w:p>
      <w:pPr>
        <w:pStyle w:val="BodyText"/>
      </w:pPr>
      <w:r>
        <w:rPr>
          <w:b/>
          <w:bCs/>
        </w:rPr>
        <w:t xml:space="preserve">IGF2BP1 启动子缺失：variant-level B+ / T0 的验证优先位点。</w:t>
      </w:r>
      <w:r>
        <w:br/>
      </w:r>
      <w:r>
        <w:t xml:space="preserve">IGF2BP1 启动子缺失目前定位为 variant-level B+ / T0，不宜直接进入 MAS。其升级路径包含三类工作，可并行推进：（1）内源编辑或等位基因导入验证，以建立因果证据；（2）跨主流商业品系的效应一致性确认；（3）腿病、胸肌质量、脂肪沉积、繁殖性能等多性状副作用评估。这三类工作均完成且方向一致后，IGF2BP1 才可能升级为 variant-level A / T1，进入特定群体的有限 MAS 试点。在这些验证完成前，直接作为“增重标记”使用会过度外推。这一升级路径所需的内源编辑、跨品系验证和长期多性状评估，目前主要在大型育种公司或公共研究机构具备实施条件。中小育种主体在 IGF2BP1 升级前，更适合将其作为研究跟踪对象，而非自主验证目标。</w:t>
      </w:r>
    </w:p>
    <w:p>
      <w:pPr>
        <w:pStyle w:val="BodyText"/>
      </w:pPr>
      <w:r>
        <w:rPr>
          <w:b/>
          <w:bCs/>
        </w:rPr>
        <w:t xml:space="preserve">rs734209466–IGFBP2/IGFBP5 调控链：variant-level B+ / T0 的高优先级调控候选。</w:t>
      </w:r>
      <w:r>
        <w:br/>
      </w:r>
      <w:r>
        <w:t xml:space="preserve">该调控链具有较完整的非编码调控机制证据，定位为 variant-level B+ / T0。其主要应用价值是为后续内源验证和跨群体效应评估提供高优先级对象，而不是立即指导降脂选择。后续应用应优先回答三个问题：该变异在白羽肉鸡、黄羽肉鸡和地方鸡中的等位基因频率与效应是否一致；降低脂肪沉积是否影响肉质、繁殖和代谢稳态；该位点是否能提高 GS 模型对腹脂或肉质相关性状的预测能力。只有在这些问题得到回答后，才适合考虑更直接的选择应用。</w:t>
      </w:r>
    </w:p>
    <w:p>
      <w:pPr>
        <w:pStyle w:val="BodyText"/>
      </w:pPr>
      <w:r>
        <w:rPr>
          <w:b/>
          <w:bCs/>
        </w:rPr>
        <w:t xml:space="preserve">PHIP 非编码变异：variant-level B / T0 的产蛋机制候选。</w:t>
      </w:r>
      <w:r>
        <w:br/>
      </w:r>
      <w:r>
        <w:t xml:space="preserve">PHIP 可以用于卵巢功能机制研究、目标群体验证和功能实验设计，但不宜写成产蛋数量标记。PHIP 后续研究的优先级应从增加相似的表达层面证据，转向内源等位基因编辑、颗粒细胞和体内卵巢表型验证，以及纵向产蛋记录关联。PGC 编辑后获得稳定的 F1/F2 产蛋表型数据通常需要 1.5–2 年；加上多群体重复验证和纵向产蛋记录，PHIP 完成 B 级到 B+ 或 A 级的升级周期实际上不少于 3–5 年。这一时间约束应纳入研究规划。如果不能连接到开产日龄、产蛋节律、产蛋持续性或卵巢功能的体内结果，其证据等级就不宜过度提高。</w:t>
      </w:r>
    </w:p>
    <w:p>
      <w:pPr>
        <w:pStyle w:val="BodyText"/>
      </w:pPr>
      <w:r>
        <w:t xml:space="preserve">以上四个位点（SLCO1B3、IGF2BP1、IGFBP2/IGFBP5、PHIP）都属于 variant-level 评级，应用决策围绕变异本身展开。MHC-B 则代表另一种证据形态：单倍型层面证据强于单一变异。</w:t>
      </w:r>
    </w:p>
    <w:p>
      <w:pPr>
        <w:pStyle w:val="BodyText"/>
      </w:pPr>
      <w:r>
        <w:rPr>
          <w:b/>
          <w:bCs/>
        </w:rPr>
        <w:t xml:space="preserve">MHC-B 单倍型：haplotype/region-level B+ / T1 的特定疾病风险层。</w:t>
      </w:r>
      <w:r>
        <w:br/>
      </w:r>
      <w:r>
        <w:t xml:space="preserve">MHC-B 适合用于特定疾病背景下的风险评估和育种辅助决策，但不宜作为普适抗病标记。haplotype-level 标签的使用见第 4.3 节关于 MHC-B 的讨论，其含义是该区域的单倍型证据强于单一变异证据。MHC-B 的定位意味着：在马立克氏病、疫苗反应或特定免疫表型中，它可以进入目标群体验证和风险管理；但由于单倍型结构复杂、病原背景依赖和多性状权衡明显，不能简单推广到所有疾病或所有商业群体。实际应用中，MHC-B 更适合作为抗病指数中的一个风险层，而不是替代全基因组选择或综合健康评估。</w:t>
      </w:r>
    </w:p>
    <w:p>
      <w:pPr>
        <w:pStyle w:val="BodyText"/>
      </w:pPr>
      <w:r>
        <w:t xml:space="preserve">MHC-B 的复杂性来自单倍型的多基因构成。ANP32A 则展示另一种复杂性——同一位点在 gene/target-level 与 variant-level 之间给出截然不同的证据强度。</w:t>
      </w:r>
    </w:p>
    <w:p>
      <w:pPr>
        <w:pStyle w:val="BodyText"/>
      </w:pPr>
      <w:r>
        <w:rPr>
          <w:b/>
          <w:bCs/>
        </w:rPr>
        <w:t xml:space="preserve">ANP32A：gene/target-level A 与 variant-level B–C 并存的非对称证据。</w:t>
      </w:r>
      <w:r>
        <w:br/>
      </w:r>
      <w:r>
        <w:t xml:space="preserve">ANP32A 在禽流感宿主因子研究中具有强功能价值，可作为基因编辑抗病策略和病毒适配机制研究的核心靶点；但不能被写成自然群体中已经可直接选择的抗病标记。其应用路线应从功能验证和生物安全评估出发，而不是从常规 MAS 出发。若考虑编辑应用，必须同步评价病原逃逸、ANP32 家族补偿、多性状影响、福利、监管和市场接受度。在监管允许禽类基因编辑产品的目标市场中，ANP32A 编辑路径具有进入抗病育种的潜在前景，但仍需完成多代福利评估和病原逃逸监测；在监管不允许编辑应用的目标市场，ANP32A 仍可作为生物安全监测、病毒适应性追踪和疫苗策略优化的研究工具，而不必把其应用价值绑定在编辑应用上。</w:t>
      </w:r>
    </w:p>
    <w:p>
      <w:pPr>
        <w:pStyle w:val="BodyText"/>
      </w:pPr>
      <w:r>
        <w:t xml:space="preserve">本节六个位点对应五种典型证据组合：</w:t>
      </w:r>
      <w:r>
        <w:rPr>
          <w:b/>
          <w:bCs/>
        </w:rPr>
        <w:t xml:space="preserve">variant-level A + T2</w:t>
      </w:r>
      <w:r>
        <w:t xml:space="preserve"> </w:t>
      </w:r>
      <w:r>
        <w:t xml:space="preserve">的成熟应用（SLCO1B3）；</w:t>
      </w:r>
      <w:r>
        <w:rPr>
          <w:b/>
          <w:bCs/>
        </w:rPr>
        <w:t xml:space="preserve">variant-level B+ + T0</w:t>
      </w:r>
      <w:r>
        <w:t xml:space="preserve"> </w:t>
      </w:r>
      <w:r>
        <w:t xml:space="preserve">的验证优先对象（IGF2BP1 和 rs734209466–IGFBP2/IGFBP5，分别代表生长方向和脂肪沉积方向的不同应用决策）；</w:t>
      </w:r>
      <w:r>
        <w:rPr>
          <w:b/>
          <w:bCs/>
        </w:rPr>
        <w:t xml:space="preserve">variant-level B + T0</w:t>
      </w:r>
      <w:r>
        <w:t xml:space="preserve"> </w:t>
      </w:r>
      <w:r>
        <w:t xml:space="preserve">的机制候选（PHIP）；</w:t>
      </w:r>
      <w:r>
        <w:rPr>
          <w:b/>
          <w:bCs/>
        </w:rPr>
        <w:t xml:space="preserve">haplotype-level B+ + T1</w:t>
      </w:r>
      <w:r>
        <w:t xml:space="preserve"> </w:t>
      </w:r>
      <w:r>
        <w:t xml:space="preserve">的风险层管理（MHC-B）；以及</w:t>
      </w:r>
      <w:r>
        <w:t xml:space="preserve"> </w:t>
      </w:r>
      <w:r>
        <w:rPr>
          <w:b/>
          <w:bCs/>
        </w:rPr>
        <w:t xml:space="preserve">gene/target-level A + variant-level B–C + T0–T1</w:t>
      </w:r>
      <w:r>
        <w:t xml:space="preserve"> </w:t>
      </w:r>
      <w:r>
        <w:t xml:space="preserve">的非对称证据（ANP32A）。这五种组合覆盖了家鸡候选位点从“已成熟”到“非对称证据”的主要应用形态。其共同特点是：进入育种流程的不是位点本身，而是证据—场景—工具的具体组合状态。第 4 章讨论的其他位点未在此处逐一展开，可根据其证据组合形态参照表 8 中对应行的处置建议。</w:t>
      </w:r>
    </w:p>
    <w:p>
      <w:pPr>
        <w:pStyle w:val="BodyText"/>
      </w:pPr>
      <w:r>
        <w:t xml:space="preserve">总体而言，证据成熟度框架对育种转化的实际作用，是把“有什么证据”与“用什么工具”之间的对应关系显性化。MAS 不应承担复杂经济性状长期改良的主干任务；GS 不需要每个位点都达到 A 级，但需要高质量表型和全基因组预测体系；基因编辑不能因为靶点有效就直接进入产业应用，而必须经过 T 轴约束。真正稳妥的家鸡精准育种，是让证据等级、性状结构、应用场景和育种工具四者持续对齐，而不是把任何一个候选位点当作通用解。</w:t>
      </w:r>
    </w:p>
    <w:p>
      <w:pPr>
        <w:pStyle w:val="BodyText"/>
      </w:pPr>
      <w:r>
        <w:t xml:space="preserve">本章建立的工具匹配规则基于当前证据格局。下一章将讨论这一格局目前面临的方法学和群体性瓶颈，以及未来最可能改变家鸡候选位点证据分布的具体方向，包括泛基因组与结构变异图谱、PGC 编辑通量提升、地方品种功能基因组学协作和评级框架的形式化验证。</w:t>
      </w:r>
    </w:p>
    <w:bookmarkEnd w:id="46"/>
    <w:bookmarkEnd w:id="47"/>
    <w:bookmarkEnd w:id="48"/>
    <w:p>
      <w:pPr>
        <w:pStyle w:val="Heading2"/>
      </w:pPr>
      <w:r>
        <w:t>参考文献</w:t>
      </w:r>
    </w:p>
    <w:p>
      <w:pPr>
        <w:pStyle w:val="BodyText"/>
      </w:pPr>
      <w:r>
        <w:t>Animal QTLdb. Chicken QTLdb summary data by year and release. Release 58 (Dec. 29, 2025). https://www.animalgenome.org/cgi-bin/QTLdb/GG/summary?statu=&amp;summ=year. Accessed May 31, 2026.</w:t>
      </w:r>
    </w:p>
    <w:p>
      <w:pPr>
        <w:pStyle w:val="BodyText"/>
      </w:pPr>
      <w:r>
        <w:t>Dorshorst, B., Molin, A.-M., Rubin, C.-J., et al. 2011. A complex genomic rearrangement involving the endothelin 3 locus causes dermal hyperpigmentation in the chicken. PLoS Genetics 7:e1002412. https://doi.org/10.1371/journal.pgen.1002412.</w:t>
      </w:r>
    </w:p>
    <w:p>
      <w:pPr>
        <w:pStyle w:val="BodyText"/>
      </w:pPr>
      <w:r>
        <w:t>Eriksson, J., Larson, G., Gunnarsson, U., et al. 2008. Identification of the yellow skin gene reveals a hybrid origin of the domestic chicken. PLoS Genetics 4:e1000010. https://doi.org/10.1371/journal.pgen.1000010.</w:t>
      </w:r>
    </w:p>
    <w:p>
      <w:pPr>
        <w:pStyle w:val="BodyText"/>
      </w:pPr>
      <w:r>
        <w:t>Guyatt, G. H., Oxman, A. D., Vist, G. E., et al. 2008. GRADE: an emerging consensus on rating quality of evidence and strength of recommendations. BMJ 336:924–926. https://doi.org/10.1136/bmj.39489.470347.AD.</w:t>
      </w:r>
    </w:p>
    <w:p>
      <w:pPr>
        <w:pStyle w:val="BodyText"/>
      </w:pPr>
      <w:r>
        <w:t>Hu, Z.-L., Park, C. A., and Reecy, J. M. 2016. Developmental progress and current status of the Animal QTLdb. Nucleic Acids Research 44:D827–D833. https://doi.org/10.1093/nar/gkv1233.</w:t>
      </w:r>
    </w:p>
    <w:p>
      <w:pPr>
        <w:pStyle w:val="BodyText"/>
      </w:pPr>
      <w:r>
        <w:t>Rehm, H. L., Berg, J. S., Brooks, L. D., et al. 2015. ClinGen--the Clinical Genome Resource. New England Journal of Medicine 372:2235–2242. https://doi.org/10.1056/NEJMsr1406261.</w:t>
      </w:r>
    </w:p>
    <w:p>
      <w:pPr>
        <w:pStyle w:val="BodyText"/>
      </w:pPr>
      <w:r>
        <w:t>Richards, S., Aziz, N., Bale, S., et al. 2015. Standards and guidelines for the interpretation of sequence variants: a joint consensus recommendation of the American College of Medical Genetics and Genomics and the Association for Molecular Pathology. Genetics in Medicine 17:405–423. https://doi.org/10.1038/gim.2015.30.</w:t>
      </w:r>
    </w:p>
    <w:p>
      <w:pPr>
        <w:pStyle w:val="BodyText"/>
      </w:pPr>
      <w:r>
        <w:t>Wang, Z., Qu, L., Yao, J., et al. 2013. An EAV-HP insertion in 5′ flanking region of SLCO1B3 causes blue eggshell in the chicken. PLoS Genetics 9:e1003183. https://doi.org/10.1371/journal.pgen.1003183.</w:t>
      </w:r>
    </w:p>
    <w:p>
      <w:pPr>
        <w:pStyle w:val="BodyText"/>
      </w:pPr>
      <w:r>
        <w:t>Wright, D., Boije, H., Meadows, J. R. S., et al. 2009. Copy number variation in intron 1 of SOX5 causes the pea-comb phenotype in chickens. PLoS Genetics 5:e1000512. https://doi.org/10.1371/journal.pgen.1000512.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2026-05-30T16:20:21Z</dcterms:created>
  <dcterms:modified xsi:type="dcterms:W3CDTF">2026-05-30T16:20:21Z</dcterms:modified>
</cp:coreProperties>
</file>

<file path=docProps/custom.xml><?xml version="1.0" encoding="utf-8"?>
<Properties xmlns="http://schemas.openxmlformats.org/officeDocument/2006/custom-properties" xmlns:vt="http://schemas.openxmlformats.org/officeDocument/2006/docPropsVTypes"/>
</file>