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spacing w:before="0" w:after="240" w:line="312" w:lineRule="auto"/>
        <w:jc w:val="center"/>
      </w:pPr>
      <w:r>
        <w:rPr>
          <w:rFonts w:ascii="Times New Roman" w:hAnsi="Times New Roman" w:eastAsia="黑体" w:cs="Times New Roman"/>
          <w:b/>
          <w:color w:val="000000"/>
          <w:sz w:val="32"/>
        </w:rPr>
        <w:t xml:space="preserve">家鸡复杂性状候选位点的证据分级与育种转化</w:t>
      </w:r>
    </w:p>
    <w:bookmarkStart w:id="20" w:name="摘要"/>
    <w:p>
      <w:pPr>
        <w:pStyle w:val="Heading2"/>
        <w:spacing w:before="240" w:after="120" w:line="312" w:lineRule="auto"/>
        <w:jc w:val="center"/>
      </w:pPr>
      <w:r>
        <w:rPr>
          <w:rFonts w:ascii="Times New Roman" w:hAnsi="Times New Roman" w:eastAsia="黑体" w:cs="Times New Roman"/>
          <w:b/>
          <w:color w:val="000000"/>
          <w:sz w:val="28"/>
        </w:rPr>
        <w:t xml:space="preserve">摘要</w:t>
      </w:r>
    </w:p>
    <w:p>
      <w:pPr>
        <w:pStyle w:val="FirstParagraph"/>
        <w:spacing w:before="0" w:after="0" w:line="360" w:lineRule="auto"/>
        <w:ind w:firstLine="480"/>
        <w:jc w:val="both"/>
      </w:pPr>
      <w:r>
        <w:rPr>
          <w:rFonts w:ascii="Times New Roman" w:hAnsi="Times New Roman" w:eastAsia="宋体" w:cs="Times New Roman"/>
          <w:color w:val="000000"/>
          <w:sz w:val="24"/>
        </w:rP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spacing w:before="0" w:after="120" w:line="360" w:lineRule="auto"/>
        <w:jc w:val="both"/>
      </w:pPr>
      <w:r>
        <w:rPr>
          <w:rFonts w:ascii="Times New Roman" w:hAnsi="Times New Roman" w:eastAsia="宋体" w:cs="Times New Roman"/>
          <w:color w:val="000000"/>
          <w:sz w:val="24"/>
        </w:rPr>
        <w:t>关键词： 家鸡；候选位点；证据成熟度；后关联分析；功能验证；基因组选择；基因编辑</w:t>
      </w:r>
    </w:p>
    <w:bookmarkEnd w:id="20"/>
    <w:bookmarkStart w:id="21" w:name="引言"/>
    <w:p>
      <w:pPr>
        <w:pStyle w:val="Heading2"/>
        <w:spacing w:before="240" w:after="120" w:line="312" w:lineRule="auto"/>
        <w:jc w:val="left"/>
      </w:pPr>
      <w:r>
        <w:rPr>
          <w:rFonts w:ascii="Times New Roman" w:hAnsi="Times New Roman" w:eastAsia="黑体" w:cs="Times New Roman"/>
          <w:b/>
          <w:color w:val="000000"/>
          <w:sz w:val="28"/>
        </w:rPr>
        <w:t xml:space="preserve">1 引言</w:t>
      </w:r>
    </w:p>
    <w:p>
      <w:pPr>
        <w:pStyle w:val="FirstParagraph"/>
        <w:spacing w:before="0" w:after="0" w:line="360" w:lineRule="auto"/>
        <w:ind w:firstLine="480"/>
        <w:jc w:val="both"/>
      </w:pPr>
      <w:r>
        <w:rPr>
          <w:rFonts w:ascii="Times New Roman" w:hAnsi="Times New Roman" w:eastAsia="宋体" w:cs="Times New Roman"/>
          <w:color w:val="000000"/>
          <w:sz w:val="24"/>
        </w:rP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spacing w:before="0" w:after="0" w:line="360" w:lineRule="auto"/>
        <w:ind w:firstLine="480"/>
        <w:jc w:val="both"/>
      </w:pPr>
      <w:r>
        <w:rPr>
          <w:rFonts w:ascii="Times New Roman" w:hAnsi="Times New Roman" w:eastAsia="宋体" w:cs="Times New Roman"/>
          <w:color w:val="000000"/>
          <w:sz w:val="24"/>
        </w:rP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Z. et al., 2013）；多数复杂经济性状仍缺少同等验证深度（详见第 4 章）。</w:t>
      </w:r>
    </w:p>
    <w:p>
      <w:pPr>
        <w:pStyle w:val="BodyText"/>
        <w:spacing w:before="0" w:after="0" w:line="360" w:lineRule="auto"/>
        <w:ind w:firstLine="480"/>
        <w:jc w:val="both"/>
      </w:pPr>
      <w:r>
        <w:rPr>
          <w:rFonts w:ascii="Times New Roman" w:hAnsi="Times New Roman" w:eastAsia="宋体" w:cs="Times New Roman"/>
          <w:color w:val="000000"/>
          <w:sz w:val="24"/>
        </w:rP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spacing w:before="0" w:after="0" w:line="360" w:lineRule="auto"/>
        <w:ind w:firstLine="480"/>
        <w:jc w:val="both"/>
      </w:pPr>
      <w:r>
        <w:rPr>
          <w:rFonts w:ascii="Times New Roman" w:hAnsi="Times New Roman" w:eastAsia="宋体" w:cs="Times New Roman"/>
          <w:color w:val="000000"/>
          <w:sz w:val="24"/>
        </w:rP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spacing w:before="0" w:after="0" w:line="360" w:lineRule="auto"/>
        <w:ind w:firstLine="480"/>
        <w:jc w:val="both"/>
      </w:pPr>
      <w:r>
        <w:rPr>
          <w:rFonts w:ascii="Times New Roman" w:hAnsi="Times New Roman" w:eastAsia="宋体" w:cs="Times New Roman"/>
          <w:color w:val="000000"/>
          <w:sz w:val="24"/>
        </w:rPr>
        <w:t>本文采用结构化叙述综述（structured narrative review）方法。文献检索使用 PubMed、Web of Science 和 CNKI，检索式为 ("chicken" OR "poultry" OR "Gallus gallus") AND ("GWAS" OR "QTL" OR "selection signature" OR "causal variant" OR "functional validation" OR "genomic selection" OR "marker-assisted selection" OR "gene editing")，时间范围为 2000 年 1 月至 2025 年 12 月。</w:t>
      </w:r>
    </w:p>
    <w:p>
      <w:pPr>
        <w:pStyle w:val="BodyText"/>
        <w:spacing w:before="0" w:after="0" w:line="360" w:lineRule="auto"/>
        <w:ind w:firstLine="480"/>
        <w:jc w:val="both"/>
      </w:pPr>
      <w:r>
        <w:rPr>
          <w:rFonts w:ascii="Times New Roman" w:hAnsi="Times New Roman" w:eastAsia="宋体" w:cs="Times New Roman"/>
          <w:color w:val="000000"/>
          <w:sz w:val="24"/>
        </w:rPr>
        <w:t>纳入标准：(1) 涉及家鸡复杂性状或可见表型的遗传定位、机制或功能研究；(2) 至少提供变异、表达、调控或功能证据之一。排除标准：(1) 纯方法学或无表型关联的研究；(2) 综述与会议摘要（仅用于背景）。</w:t>
      </w:r>
    </w:p>
    <w:p>
      <w:pPr>
        <w:pStyle w:val="BodyText"/>
        <w:spacing w:before="0" w:after="0" w:line="360" w:lineRule="auto"/>
        <w:ind w:firstLine="480"/>
        <w:jc w:val="both"/>
      </w:pPr>
      <w:r>
        <w:rPr>
          <w:rFonts w:ascii="Times New Roman" w:hAnsi="Times New Roman" w:eastAsia="宋体" w:cs="Times New Roman"/>
          <w:color w:val="000000"/>
          <w:sz w:val="24"/>
        </w:rPr>
        <w:t>代表性位点选择原则：在每个性状类别下，优先选择能够代表不同证据成熟度等级（从候选线索到强功能证据）的位点，以展示框架的区分能力，而非穷举所有候选基因。因此本文纳入的位点既包括强证据案例（如 SLCO1B3、BCDO2），也包括仅有候选线索的案例（如多数感染相关候选基因）。</w:t>
      </w:r>
    </w:p>
    <w:p>
      <w:pPr>
        <w:pStyle w:val="BodyText"/>
        <w:spacing w:before="0" w:after="0" w:line="360" w:lineRule="auto"/>
        <w:ind w:firstLine="480"/>
        <w:jc w:val="both"/>
      </w:pPr>
      <w:r>
        <w:rPr>
          <w:rFonts w:ascii="Times New Roman" w:hAnsi="Times New Roman" w:eastAsia="宋体" w:cs="Times New Roman"/>
          <w:color w:val="000000"/>
          <w:sz w:val="24"/>
        </w:rP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spacing w:before="240" w:after="120" w:line="312" w:lineRule="auto"/>
        <w:jc w:val="left"/>
      </w:pPr>
      <w:r>
        <w:rPr>
          <w:rFonts w:ascii="Times New Roman" w:hAnsi="Times New Roman" w:eastAsia="黑体" w:cs="Times New Roman"/>
          <w:b/>
          <w:color w:val="000000"/>
          <w:sz w:val="28"/>
        </w:rPr>
        <w:t xml:space="preserve">2 为什么候选信号不能直接等同于因果位点</w:t>
      </w:r>
    </w:p>
    <w:p>
      <w:pPr>
        <w:pStyle w:val="FirstParagraph"/>
        <w:spacing w:before="0" w:after="0" w:line="360" w:lineRule="auto"/>
        <w:ind w:firstLine="480"/>
        <w:jc w:val="both"/>
      </w:pPr>
      <w:r>
        <w:rPr>
          <w:rFonts w:ascii="Times New Roman" w:hAnsi="Times New Roman" w:eastAsia="宋体" w:cs="Times New Roman"/>
          <w:color w:val="000000"/>
          <w:sz w:val="24"/>
        </w:rP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spacing w:before="240" w:after="120" w:line="312" w:lineRule="auto"/>
        <w:jc w:val="left"/>
      </w:pPr>
      <w:r>
        <w:rPr>
          <w:rFonts w:ascii="Times New Roman" w:hAnsi="Times New Roman" w:eastAsia="黑体" w:cs="Times New Roman"/>
          <w:b/>
          <w:color w:val="000000"/>
          <w:sz w:val="28"/>
        </w:rPr>
        <w:t xml:space="preserve">2.1 GWAS、QTL 和选择信号的证据边界</w:t>
      </w:r>
    </w:p>
    <w:p>
      <w:pPr>
        <w:pStyle w:val="FirstParagraph"/>
        <w:spacing w:before="0" w:after="0" w:line="360" w:lineRule="auto"/>
        <w:ind w:firstLine="480"/>
        <w:jc w:val="both"/>
      </w:pPr>
      <w:r>
        <w:rPr>
          <w:rFonts w:ascii="Times New Roman" w:hAnsi="Times New Roman" w:eastAsia="宋体" w:cs="Times New Roman"/>
          <w:color w:val="000000"/>
          <w:sz w:val="24"/>
        </w:rP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spacing w:before="0" w:after="0" w:line="360" w:lineRule="auto"/>
        <w:ind w:firstLine="480"/>
        <w:jc w:val="both"/>
      </w:pPr>
      <w:r>
        <w:rPr>
          <w:rFonts w:ascii="Times New Roman" w:hAnsi="Times New Roman" w:eastAsia="宋体" w:cs="Times New Roman"/>
          <w:color w:val="000000"/>
          <w:sz w:val="24"/>
        </w:rP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spacing w:before="0" w:after="0" w:line="360" w:lineRule="auto"/>
        <w:ind w:firstLine="480"/>
        <w:jc w:val="both"/>
      </w:pPr>
      <w:r>
        <w:rPr>
          <w:rFonts w:ascii="Times New Roman" w:hAnsi="Times New Roman" w:eastAsia="宋体" w:cs="Times New Roman"/>
          <w:color w:val="000000"/>
          <w:sz w:val="24"/>
        </w:rP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spacing w:before="0" w:after="0" w:line="360" w:lineRule="auto"/>
        <w:ind w:firstLine="480"/>
        <w:jc w:val="both"/>
      </w:pPr>
      <w:r>
        <w:rPr>
          <w:rFonts w:ascii="Times New Roman" w:hAnsi="Times New Roman" w:eastAsia="宋体" w:cs="Times New Roman"/>
          <w:color w:val="000000"/>
          <w:sz w:val="24"/>
        </w:rP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spacing w:before="0" w:after="0" w:line="360" w:lineRule="auto"/>
        <w:ind w:firstLine="480"/>
        <w:jc w:val="both"/>
      </w:pPr>
      <w:r>
        <w:rPr>
          <w:rFonts w:ascii="Times New Roman" w:hAnsi="Times New Roman" w:eastAsia="宋体" w:cs="Times New Roman"/>
          <w:color w:val="000000"/>
          <w:sz w:val="24"/>
        </w:rP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spacing w:before="240" w:after="120" w:line="312" w:lineRule="auto"/>
        <w:jc w:val="left"/>
      </w:pPr>
      <w:r>
        <w:rPr>
          <w:rFonts w:ascii="Times New Roman" w:hAnsi="Times New Roman" w:eastAsia="黑体" w:cs="Times New Roman"/>
          <w:b/>
          <w:color w:val="000000"/>
          <w:sz w:val="28"/>
        </w:rPr>
        <w:t xml:space="preserve">2.2 差异表达、多组学共定位和功能注释的解释边界</w:t>
      </w:r>
    </w:p>
    <w:p>
      <w:pPr>
        <w:pStyle w:val="FirstParagraph"/>
        <w:spacing w:before="0" w:after="0" w:line="360" w:lineRule="auto"/>
        <w:ind w:firstLine="480"/>
        <w:jc w:val="both"/>
      </w:pPr>
      <w:r>
        <w:rPr>
          <w:rFonts w:ascii="Times New Roman" w:hAnsi="Times New Roman" w:eastAsia="宋体" w:cs="Times New Roman"/>
          <w:color w:val="000000"/>
          <w:sz w:val="24"/>
        </w:rP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spacing w:before="0" w:after="0" w:line="360" w:lineRule="auto"/>
        <w:ind w:firstLine="480"/>
        <w:jc w:val="both"/>
      </w:pPr>
      <w:r>
        <w:rPr>
          <w:rFonts w:ascii="Times New Roman" w:hAnsi="Times New Roman" w:eastAsia="宋体" w:cs="Times New Roman"/>
          <w:color w:val="000000"/>
          <w:sz w:val="24"/>
        </w:rP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spacing w:before="0" w:after="0" w:line="360" w:lineRule="auto"/>
        <w:ind w:firstLine="480"/>
        <w:jc w:val="both"/>
      </w:pPr>
      <w:r>
        <w:rPr>
          <w:rFonts w:ascii="Times New Roman" w:hAnsi="Times New Roman" w:eastAsia="宋体" w:cs="Times New Roman"/>
          <w:color w:val="000000"/>
          <w:sz w:val="24"/>
        </w:rP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spacing w:before="0" w:after="0" w:line="360" w:lineRule="auto"/>
        <w:ind w:firstLine="480"/>
        <w:jc w:val="both"/>
      </w:pPr>
      <w:r>
        <w:rPr>
          <w:rFonts w:ascii="Times New Roman" w:hAnsi="Times New Roman" w:eastAsia="宋体" w:cs="Times New Roman"/>
          <w:color w:val="000000"/>
          <w:sz w:val="24"/>
        </w:rPr>
        <w:t>这一标准在具体案例中如何兑现，可以从 PHIP 非编码变异和 rs734209466–IGFBP2/IGFBP5 调控链看到。前者提示非编码变异可能通过转录因子结合和 PHIP 表达影响颗粒细胞相关功能（Wang D.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spacing w:before="0" w:after="0" w:line="360" w:lineRule="auto"/>
        <w:ind w:firstLine="480"/>
        <w:jc w:val="both"/>
      </w:pPr>
      <w:r>
        <w:rPr>
          <w:rFonts w:ascii="Times New Roman" w:hAnsi="Times New Roman" w:eastAsia="宋体" w:cs="Times New Roman"/>
          <w:color w:val="000000"/>
          <w:sz w:val="24"/>
        </w:rP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spacing w:before="0" w:after="0" w:line="360" w:lineRule="auto"/>
        <w:ind w:firstLine="480"/>
        <w:jc w:val="both"/>
      </w:pPr>
      <w:r>
        <w:rPr>
          <w:rFonts w:ascii="Times New Roman" w:hAnsi="Times New Roman" w:eastAsia="宋体" w:cs="Times New Roman"/>
          <w:color w:val="000000"/>
          <w:sz w:val="24"/>
        </w:rP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spacing w:before="0" w:after="0" w:line="360" w:lineRule="auto"/>
        <w:ind w:firstLine="480"/>
        <w:jc w:val="both"/>
      </w:pPr>
      <w:r>
        <w:rPr>
          <w:rFonts w:ascii="Times New Roman" w:hAnsi="Times New Roman" w:eastAsia="宋体" w:cs="Times New Roman"/>
          <w:color w:val="000000"/>
          <w:sz w:val="24"/>
        </w:rP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spacing w:before="240" w:after="120" w:line="312" w:lineRule="auto"/>
        <w:jc w:val="left"/>
      </w:pPr>
      <w:r>
        <w:rPr>
          <w:rFonts w:ascii="Times New Roman" w:hAnsi="Times New Roman" w:eastAsia="黑体" w:cs="Times New Roman"/>
          <w:b/>
          <w:color w:val="000000"/>
          <w:sz w:val="28"/>
        </w:rPr>
        <w:t xml:space="preserve">2.3 体外功能实验与体内因果证据的区别</w:t>
      </w:r>
    </w:p>
    <w:p>
      <w:pPr>
        <w:pStyle w:val="FirstParagraph"/>
        <w:spacing w:before="0" w:after="0" w:line="360" w:lineRule="auto"/>
        <w:ind w:firstLine="480"/>
        <w:jc w:val="both"/>
      </w:pPr>
      <w:r>
        <w:rPr>
          <w:rFonts w:ascii="Times New Roman" w:hAnsi="Times New Roman" w:eastAsia="宋体" w:cs="Times New Roman"/>
          <w:color w:val="000000"/>
          <w:sz w:val="24"/>
        </w:rPr>
        <w:t>功能实验是候选位点证据升级的关键环节，但不同实验体系提供的证据强度并不相同。报告基因实验可以检验某段序列是否具有调控活性；大规模并行报告实验（massively parallel reporter assay, MPRA）可高通量测试大量候选调控片段；过表达、敲低或细胞模型可以判断某个基因是否影响细胞表型；CRISPR 激活/干扰（CRISPRa/i）可以测试调控方向；体外病毒复制实验可以初步评估宿主因子对病原复制的影响（Inoue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spacing w:before="0" w:after="0" w:line="360" w:lineRule="auto"/>
        <w:ind w:firstLine="480"/>
        <w:jc w:val="both"/>
      </w:pPr>
      <w:r>
        <w:rPr>
          <w:rFonts w:ascii="Times New Roman" w:hAnsi="Times New Roman" w:eastAsia="宋体" w:cs="Times New Roman"/>
          <w:color w:val="000000"/>
          <w:sz w:val="24"/>
        </w:rP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spacing w:before="0" w:after="0" w:line="360" w:lineRule="auto"/>
        <w:ind w:firstLine="480"/>
        <w:jc w:val="both"/>
      </w:pPr>
      <w:r>
        <w:rPr>
          <w:rFonts w:ascii="Times New Roman" w:hAnsi="Times New Roman" w:eastAsia="宋体" w:cs="Times New Roman"/>
          <w:color w:val="000000"/>
          <w:sz w:val="24"/>
        </w:rPr>
        <w:t>更强的功能证据通常需要把候选变异、内源分子效应和体内表型连接起来。内源编辑、自然突变或等位基因导入、原始生殖细胞（primordial germ cells, PGC）介导编辑、体内模型、救援实验以及在目标群体中的等位基因效应验证，能够更直接地回答候选变异或靶点是否影响表型。鸡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spacing w:before="0" w:after="0" w:line="360" w:lineRule="auto"/>
        <w:ind w:firstLine="480"/>
        <w:jc w:val="both"/>
      </w:pPr>
      <w:r>
        <w:rPr>
          <w:rFonts w:ascii="Times New Roman" w:hAnsi="Times New Roman" w:eastAsia="宋体" w:cs="Times New Roman"/>
          <w:color w:val="000000"/>
          <w:sz w:val="24"/>
        </w:rP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spacing w:before="0" w:after="0" w:line="360" w:lineRule="auto"/>
        <w:ind w:firstLine="480"/>
        <w:jc w:val="both"/>
      </w:pPr>
      <w:r>
        <w:rPr>
          <w:rFonts w:ascii="Times New Roman" w:hAnsi="Times New Roman" w:eastAsia="宋体" w:cs="Times New Roman"/>
          <w:color w:val="000000"/>
          <w:sz w:val="24"/>
        </w:rP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spacing w:before="240" w:after="120" w:line="312" w:lineRule="auto"/>
        <w:jc w:val="left"/>
      </w:pPr>
      <w:r>
        <w:rPr>
          <w:rFonts w:ascii="Times New Roman" w:hAnsi="Times New Roman" w:eastAsia="黑体" w:cs="Times New Roman"/>
          <w:b/>
          <w:color w:val="000000"/>
          <w:sz w:val="28"/>
        </w:rPr>
        <w:t xml:space="preserve">3 家鸡候选位点的证据成熟度框架</w:t>
      </w:r>
    </w:p>
    <w:p>
      <w:pPr>
        <w:pStyle w:val="FirstParagraph"/>
        <w:spacing w:before="0" w:after="0" w:line="360" w:lineRule="auto"/>
        <w:ind w:firstLine="480"/>
        <w:jc w:val="both"/>
      </w:pPr>
      <w:r>
        <w:rPr>
          <w:rFonts w:ascii="Times New Roman" w:hAnsi="Times New Roman" w:eastAsia="宋体" w:cs="Times New Roman"/>
          <w:color w:val="000000"/>
          <w:sz w:val="24"/>
        </w:rPr>
        <w:t>第 2 章讨论了候选信号不能直接等同于因果位点。本章进一步把这种判断转化为可操作的证据成熟度框架，为候选位点的证据强度和应用边界提供一种更清楚的讨论语言。</w:t>
      </w:r>
    </w:p>
    <w:p>
      <w:pPr>
        <w:pStyle w:val="BodyText"/>
        <w:spacing w:before="0" w:after="0" w:line="360" w:lineRule="auto"/>
        <w:ind w:firstLine="480"/>
        <w:jc w:val="both"/>
      </w:pPr>
      <w:r>
        <w:rPr>
          <w:rFonts w:ascii="Times New Roman" w:hAnsi="Times New Roman" w:eastAsia="宋体" w:cs="Times New Roman"/>
          <w:color w:val="000000"/>
          <w:sz w:val="24"/>
        </w:rP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spacing w:before="240" w:after="120" w:line="312" w:lineRule="auto"/>
        <w:jc w:val="left"/>
      </w:pPr>
      <w:r>
        <w:rPr>
          <w:rFonts w:ascii="Times New Roman" w:hAnsi="Times New Roman" w:eastAsia="黑体" w:cs="Times New Roman"/>
          <w:b/>
          <w:color w:val="000000"/>
          <w:sz w:val="28"/>
        </w:rPr>
        <w:t xml:space="preserve">3.1 四个证据维度：变异明确度、重复性、机制支持和功能验证</w:t>
      </w:r>
    </w:p>
    <w:p>
      <w:pPr>
        <w:pStyle w:val="FirstParagraph"/>
        <w:spacing w:before="0" w:after="0" w:line="360" w:lineRule="auto"/>
        <w:ind w:firstLine="480"/>
        <w:jc w:val="both"/>
      </w:pPr>
      <w:r>
        <w:rPr>
          <w:rFonts w:ascii="Times New Roman" w:hAnsi="Times New Roman" w:eastAsia="宋体" w:cs="Times New Roman"/>
          <w:color w:val="000000"/>
          <w:sz w:val="24"/>
        </w:rP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spacing w:before="0" w:after="0" w:line="360" w:lineRule="auto"/>
        <w:ind w:firstLine="480"/>
        <w:jc w:val="both"/>
      </w:pPr>
      <w:r>
        <w:rPr>
          <w:rFonts w:ascii="Times New Roman" w:hAnsi="Times New Roman" w:eastAsia="宋体" w:cs="Times New Roman"/>
          <w:color w:val="000000"/>
          <w:sz w:val="24"/>
        </w:rP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spacing w:before="0" w:after="0" w:line="360" w:lineRule="auto"/>
        <w:ind w:firstLine="480"/>
        <w:jc w:val="both"/>
      </w:pPr>
      <w:r>
        <w:rPr>
          <w:rFonts w:ascii="Times New Roman" w:hAnsi="Times New Roman" w:eastAsia="宋体" w:cs="Times New Roman"/>
          <w:color w:val="000000"/>
          <w:sz w:val="24"/>
        </w:rP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spacing w:before="0" w:after="0" w:line="360" w:lineRule="auto"/>
        <w:ind w:firstLine="480"/>
        <w:jc w:val="both"/>
      </w:pPr>
      <w:r>
        <w:rPr>
          <w:rFonts w:ascii="Times New Roman" w:hAnsi="Times New Roman" w:eastAsia="宋体" w:cs="Times New Roman"/>
          <w:color w:val="000000"/>
          <w:sz w:val="24"/>
        </w:rPr>
        <w:t>第三个维度是分子机制支持。机制支持的核心不是“这个基因看起来合理”，而是候选信号是否能够连接到目标组织、目标细胞类型、调控元件、分子 QTL、等位基因特异表达（allele-specific expression, ASE）、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spacing w:before="0" w:after="0" w:line="360" w:lineRule="auto"/>
        <w:ind w:firstLine="480"/>
        <w:jc w:val="both"/>
      </w:pPr>
      <w:r>
        <w:rPr>
          <w:rFonts w:ascii="Times New Roman" w:hAnsi="Times New Roman" w:eastAsia="宋体" w:cs="Times New Roman"/>
          <w:color w:val="000000"/>
          <w:sz w:val="24"/>
        </w:rP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spacing w:before="0" w:after="0" w:line="360" w:lineRule="auto"/>
        <w:ind w:firstLine="480"/>
        <w:jc w:val="both"/>
      </w:pPr>
      <w:r>
        <w:rPr>
          <w:rFonts w:ascii="Times New Roman" w:hAnsi="Times New Roman" w:eastAsia="宋体" w:cs="Times New Roman"/>
          <w:color w:val="000000"/>
          <w:sz w:val="24"/>
        </w:rP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spacing w:before="240" w:after="120" w:line="312" w:lineRule="auto"/>
        <w:jc w:val="left"/>
      </w:pPr>
      <w:r>
        <w:rPr>
          <w:rFonts w:ascii="Times New Roman" w:hAnsi="Times New Roman" w:eastAsia="黑体" w:cs="Times New Roman"/>
          <w:b/>
          <w:color w:val="000000"/>
          <w:sz w:val="28"/>
        </w:rPr>
        <w:t xml:space="preserve">3.2 C、B、B+ 和 A 四级证据的定义</w:t>
      </w:r>
    </w:p>
    <w:p>
      <w:pPr>
        <w:pStyle w:val="FirstParagraph"/>
        <w:spacing w:before="0" w:after="0" w:line="360" w:lineRule="auto"/>
        <w:ind w:firstLine="480"/>
        <w:jc w:val="both"/>
      </w:pPr>
      <w:r>
        <w:rPr>
          <w:rFonts w:ascii="Times New Roman" w:hAnsi="Times New Roman" w:eastAsia="宋体" w:cs="Times New Roman"/>
          <w:color w:val="000000"/>
          <w:sz w:val="24"/>
        </w:rP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spacing w:before="0" w:after="0" w:line="360" w:lineRule="auto"/>
        <w:ind w:firstLine="480"/>
        <w:jc w:val="both"/>
      </w:pPr>
      <w:r>
        <w:rPr>
          <w:rFonts w:ascii="Times New Roman" w:hAnsi="Times New Roman" w:eastAsia="宋体" w:cs="Times New Roman"/>
          <w:color w:val="000000"/>
          <w:sz w:val="24"/>
        </w:rP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spacing w:before="0" w:after="0" w:line="360" w:lineRule="auto"/>
        <w:ind w:firstLine="480"/>
        <w:jc w:val="both"/>
      </w:pPr>
      <w:r>
        <w:rPr>
          <w:rFonts w:ascii="Times New Roman" w:hAnsi="Times New Roman" w:eastAsia="宋体" w:cs="Times New Roman"/>
          <w:color w:val="000000"/>
          <w:sz w:val="24"/>
        </w:rP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spacing w:before="0" w:after="0" w:line="360" w:lineRule="auto"/>
        <w:ind w:firstLine="480"/>
        <w:jc w:val="both"/>
      </w:pPr>
      <w:r>
        <w:rPr>
          <w:rFonts w:ascii="Times New Roman" w:hAnsi="Times New Roman" w:eastAsia="宋体" w:cs="Times New Roman"/>
          <w:color w:val="000000"/>
          <w:sz w:val="24"/>
        </w:rP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spacing w:before="0" w:after="0" w:line="360" w:lineRule="auto"/>
        <w:ind w:firstLine="480"/>
        <w:jc w:val="both"/>
      </w:pPr>
      <w:r>
        <w:rPr>
          <w:rFonts w:ascii="Times New Roman" w:hAnsi="Times New Roman" w:eastAsia="宋体" w:cs="Times New Roman"/>
          <w:color w:val="000000"/>
          <w:sz w:val="24"/>
        </w:rP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spacing w:before="0" w:after="0" w:line="360" w:lineRule="auto"/>
        <w:ind w:firstLine="480"/>
        <w:jc w:val="both"/>
      </w:pPr>
      <w:r>
        <w:rPr>
          <w:rFonts w:ascii="Times New Roman" w:hAnsi="Times New Roman" w:eastAsia="宋体" w:cs="Times New Roman"/>
          <w:color w:val="000000"/>
          <w:sz w:val="24"/>
        </w:rP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spacing w:line="360" w:lineRule="auto" w:before="0" w:after="0"/>
        <w:ind w:firstLine="480"/>
        <w:jc w:val="both"/>
      </w:pPr>
      <w:r>
        <w:rPr>
          <w:rFonts w:ascii="Times New Roman" w:hAnsi="Times New Roman" w:eastAsia="宋体" w:cs="Times New Roman"/>
          <w:color w:val="000000"/>
          <w:sz w:val="24"/>
        </w:rPr>
        <w:t>评级判定流程如下。第一，先定证据层级：根据变异解析程度将证据归入 region-level、gene-level、variant-level、haplotype-level 或 target-level，避免把区域信号、候选基因、自然变异和编辑靶点混为同一层级。</w:t>
      </w:r>
    </w:p>
    <w:p>
      <w:pPr>
        <w:pStyle w:val="BodyText"/>
        <w:spacing w:line="360" w:lineRule="auto" w:before="0" w:after="0"/>
        <w:ind w:firstLine="480"/>
        <w:jc w:val="both"/>
      </w:pPr>
      <w:r>
        <w:rPr>
          <w:rFonts w:ascii="Times New Roman" w:hAnsi="Times New Roman" w:eastAsia="宋体" w:cs="Times New Roman"/>
          <w:color w:val="000000"/>
          <w:sz w:val="24"/>
        </w:rPr>
        <w:t>第二，先检查 A 级硬门槛：是否已有强功能验证，包括内源编辑、PGC 介导编辑、体内模型、救援实验、自然突变或等位基因导入等能够连接变异或靶点与表型后果的证据。若没有，最高只能评为 B+，不得评为 A；若有，再进入 A 级判定，并区分 variant-level A 与 gene/target-level A。</w:t>
      </w:r>
    </w:p>
    <w:p>
      <w:pPr>
        <w:pStyle w:val="BodyText"/>
        <w:spacing w:line="360" w:lineRule="auto" w:before="0" w:after="0"/>
        <w:ind w:firstLine="480"/>
        <w:jc w:val="both"/>
      </w:pPr>
      <w:r>
        <w:rPr>
          <w:rFonts w:ascii="Times New Roman" w:hAnsi="Times New Roman" w:eastAsia="宋体" w:cs="Times New Roman"/>
          <w:color w:val="000000"/>
          <w:sz w:val="24"/>
        </w:rPr>
        <w:t>第三，在未达到 A 级门槛的前提下判定 B+：若明确候选变异、至少一种强机制互证（如共定位、等位基因特异表达、方向一致的调控证据）和中等功能证据三项中至少两项同时存在，且不同证据能够相互印证，可评为 B+；若证据只达到单项较强或多项之间不能形成互证，则保持 B。</w:t>
      </w:r>
    </w:p>
    <w:p>
      <w:pPr>
        <w:pStyle w:val="BodyText"/>
        <w:spacing w:line="360" w:lineRule="auto" w:before="0" w:after="0"/>
        <w:ind w:firstLine="480"/>
        <w:jc w:val="both"/>
      </w:pPr>
      <w:r>
        <w:rPr>
          <w:rFonts w:ascii="Times New Roman" w:hAnsi="Times New Roman" w:eastAsia="宋体" w:cs="Times New Roman"/>
          <w:color w:val="000000"/>
          <w:sz w:val="24"/>
        </w:rPr>
        <w:t>第四，C 级用于单一 GWAS、单一差异表达、单一选择扫描、最近基因注释或候选基因合理性，但缺少独立重复、机制互证和功能验证的情形。C 级不是否定信号价值，而是提示其仍处于假设生成阶段。</w:t>
      </w:r>
    </w:p>
    <w:p>
      <w:pPr>
        <w:pStyle w:val="BodyText"/>
        <w:spacing w:line="360" w:lineRule="auto" w:before="0" w:after="0"/>
        <w:ind w:firstLine="480"/>
        <w:jc w:val="both"/>
      </w:pPr>
      <w:r>
        <w:rPr>
          <w:rFonts w:ascii="Times New Roman" w:hAnsi="Times New Roman" w:eastAsia="宋体" w:cs="Times New Roman"/>
          <w:color w:val="000000"/>
          <w:sz w:val="24"/>
        </w:rPr>
        <w:t>第五，T 轴独立判定：B+ 不能自动对应 T1 或 T2；是否进入 T1/T2 必须单独评估目标群体效应、多性状影响、经济权重、福利风险和监管可行性。</w:t>
      </w:r>
    </w:p>
    <w:p>
      <w:pPr>
        <w:pStyle w:val="BodyText"/>
        <w:spacing w:line="360" w:lineRule="auto" w:before="0" w:after="0"/>
        <w:ind w:firstLine="480"/>
        <w:jc w:val="both"/>
      </w:pPr>
      <w:r>
        <w:rPr>
          <w:rFonts w:ascii="Times New Roman" w:hAnsi="Times New Roman" w:eastAsia="宋体" w:cs="Times New Roman"/>
          <w:color w:val="000000"/>
          <w:sz w:val="24"/>
        </w:rPr>
        <w:t>这一流程还需遵守两个关键原则：两个中等证据不自动等于一个强证据；多个同类表达证据也不应简单堆叠为更高等级。只有当不同证据类型在同一候选变异、靶基因、目标组织和表型方向上形成互证时，才构成真正的证据升级。</w:t>
      </w:r>
    </w:p>
    <w:p>
      <w:pPr>
        <w:pStyle w:val="BodyText"/>
        <w:spacing w:before="120" w:after="80" w:line="288" w:lineRule="auto"/>
        <w:jc w:val="center"/>
      </w:pPr>
      <w:r>
        <w:rPr>
          <w:rFonts w:ascii="Times New Roman" w:hAnsi="Times New Roman" w:eastAsia="宋体" w:cs="Times New Roman"/>
          <w:b/>
          <w:color w:val="000000"/>
          <w:sz w:val="21"/>
        </w:rP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spacing w:before="120" w:after="80" w:line="288" w:lineRule="auto"/>
        <w:jc w:val="center"/>
      </w:pPr>
      <w:r>
        <w:rPr>
          <w:rFonts w:ascii="Times New Roman" w:hAnsi="Times New Roman" w:eastAsia="宋体" w:cs="Times New Roman"/>
          <w:b/>
          <w:color w:val="000000"/>
          <w:sz w:val="21"/>
        </w:rPr>
        <w:t>表 1 家鸡候选位点证据等级（C/B/B+/A）在四个证据维度上的典型判定特征</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4"/>
        <w:gridCol w:w="1584"/>
        <w:gridCol w:w="1584"/>
        <w:gridCol w:w="1584"/>
        <w:gridCol w:w="1584"/>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证据维度</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C：候选线索</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B：机制或重复性支持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B+：高验证优先级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A：强功能证据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变异明确度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低分辨率 QTL 区间、GWAS 峰、最近基因注释或候选基因；因果变异未知。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候选区域已缩小，存在较可信候选变异、单倍型或结构变异，但 LD、分型或因果归属仍未充分排除。</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候选变异、单倍型或结构变异相对明确，分型较可靠，并与机制证据或功能线索互相支持。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 要求因果变异或单倍型证据较完整；gene/target-level A 要求功能靶点明确。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统计重复性与稳健性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单一群体、单一批次或单一模型发现；群体结构、表型定义或样本量可能影响结果。</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在独立群体、相关性状、不同生产阶段或有限外部研究中有方向一致的支持。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多群体、多阶段、多性状或多模型证据相互支持，但仍需要更强因果验证。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统计证据与机制证据、功能证据方向一致；跨群体稳健性有助于提高可信度，但不能替代功能验证。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分子机制支持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最近基因注释、普通差异表达、通路富集或低分辨率功能注释。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目标组织表达、染色质开放、细胞类型定位、3D 互作或调控元件证据与候选信号相符。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分子 QTL 共定位、等位基因特异表达、等位基因特异调控或多个机制证据形成同向支持。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机制证据能够连接变异或靶点、分子效应和表型后果，并与强功能验证一致。</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功能验证强度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无扰动实验；仅有相关性观察。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报告基因、MPRA、过表达、敲低、细胞模型、CRISPRa/i 或体外实验提供初步功能支持。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多种中等强度功能证据互相印证，但缺少内源、体内或自然变异层面的强验证。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spacing w:before="240" w:after="120" w:line="312" w:lineRule="auto"/>
        <w:jc w:val="left"/>
      </w:pPr>
      <w:r>
        <w:rPr>
          <w:rFonts w:ascii="Times New Roman" w:hAnsi="Times New Roman" w:eastAsia="黑体" w:cs="Times New Roman"/>
          <w:b/>
          <w:color w:val="000000"/>
          <w:sz w:val="28"/>
        </w:rPr>
        <w:t xml:space="preserve">3.3 T0/T1/T2：产业适用性不能混入证据等级</w:t>
      </w:r>
    </w:p>
    <w:p>
      <w:pPr>
        <w:pStyle w:val="FirstParagraph"/>
        <w:spacing w:before="0" w:after="0" w:line="360" w:lineRule="auto"/>
        <w:ind w:firstLine="480"/>
        <w:jc w:val="both"/>
      </w:pPr>
      <w:r>
        <w:rPr>
          <w:rFonts w:ascii="Times New Roman" w:hAnsi="Times New Roman" w:eastAsia="宋体" w:cs="Times New Roman"/>
          <w:color w:val="000000"/>
          <w:sz w:val="24"/>
        </w:rP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spacing w:before="0" w:after="0" w:line="360" w:lineRule="auto"/>
        <w:ind w:firstLine="480"/>
        <w:jc w:val="both"/>
      </w:pPr>
      <w:r>
        <w:rPr>
          <w:rFonts w:ascii="Times New Roman" w:hAnsi="Times New Roman" w:eastAsia="宋体" w:cs="Times New Roman"/>
          <w:color w:val="000000"/>
          <w:sz w:val="24"/>
        </w:rP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spacing w:before="0" w:after="0" w:line="360" w:lineRule="auto"/>
        <w:ind w:firstLine="480"/>
        <w:jc w:val="both"/>
      </w:pPr>
      <w:r>
        <w:rPr>
          <w:rFonts w:ascii="Times New Roman" w:hAnsi="Times New Roman" w:eastAsia="宋体" w:cs="Times New Roman"/>
          <w:color w:val="000000"/>
          <w:sz w:val="24"/>
        </w:rP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spacing w:before="0" w:after="0" w:line="360" w:lineRule="auto"/>
        <w:ind w:firstLine="480"/>
        <w:jc w:val="both"/>
      </w:pPr>
      <w:r>
        <w:rPr>
          <w:rFonts w:ascii="Times New Roman" w:hAnsi="Times New Roman" w:eastAsia="宋体" w:cs="Times New Roman"/>
          <w:color w:val="000000"/>
          <w:sz w:val="24"/>
        </w:rP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spacing w:before="0" w:after="0" w:line="360" w:lineRule="auto"/>
        <w:ind w:firstLine="480"/>
        <w:jc w:val="both"/>
      </w:pPr>
      <w:r>
        <w:rPr>
          <w:rFonts w:ascii="Times New Roman" w:hAnsi="Times New Roman" w:eastAsia="宋体" w:cs="Times New Roman"/>
          <w:color w:val="000000"/>
          <w:sz w:val="24"/>
        </w:rP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spacing w:before="0" w:after="0" w:line="360" w:lineRule="auto"/>
        <w:ind w:firstLine="480"/>
        <w:jc w:val="both"/>
      </w:pPr>
      <w:r>
        <w:rPr>
          <w:rFonts w:ascii="Times New Roman" w:hAnsi="Times New Roman" w:eastAsia="宋体" w:cs="Times New Roman"/>
          <w:color w:val="000000"/>
          <w:sz w:val="24"/>
        </w:rP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spacing w:before="0" w:after="0" w:line="360" w:lineRule="auto"/>
        <w:ind w:firstLine="480"/>
        <w:jc w:val="both"/>
      </w:pPr>
      <w:r>
        <w:rPr>
          <w:rFonts w:ascii="Times New Roman" w:hAnsi="Times New Roman" w:eastAsia="宋体" w:cs="Times New Roman"/>
          <w:color w:val="000000"/>
          <w:sz w:val="24"/>
        </w:rPr>
        <w:t>经验上，T2 至少要求：(1) 跨世代稳定性数据（不少于 2 代）；(2) 跨环境或跨场验证；(3) 与多性状选择指数的协调性评估；(4) 经济权重在该应用场景下的明确化。任一项缺失，原则上应保留在 T1 阶段。</w:t>
      </w:r>
    </w:p>
    <w:p>
      <w:pPr>
        <w:pStyle w:val="BodyText"/>
        <w:spacing w:before="0" w:after="0" w:line="360" w:lineRule="auto"/>
        <w:ind w:firstLine="480"/>
        <w:jc w:val="both"/>
      </w:pPr>
      <w:r>
        <w:rPr>
          <w:rFonts w:ascii="Times New Roman" w:hAnsi="Times New Roman" w:eastAsia="宋体" w:cs="Times New Roman"/>
          <w:color w:val="000000"/>
          <w:sz w:val="24"/>
        </w:rP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spacing w:before="240" w:after="120" w:line="312" w:lineRule="auto"/>
        <w:jc w:val="left"/>
      </w:pPr>
      <w:r>
        <w:rPr>
          <w:rFonts w:ascii="Times New Roman" w:hAnsi="Times New Roman" w:eastAsia="黑体" w:cs="Times New Roman"/>
          <w:b/>
          <w:color w:val="000000"/>
          <w:sz w:val="28"/>
        </w:rPr>
        <w:t xml:space="preserve">3.4 variant-level A 与 gene/target-level A 的区别</w:t>
      </w:r>
    </w:p>
    <w:p>
      <w:pPr>
        <w:pStyle w:val="FirstParagraph"/>
        <w:spacing w:before="0" w:after="0" w:line="360" w:lineRule="auto"/>
        <w:ind w:firstLine="480"/>
        <w:jc w:val="both"/>
      </w:pPr>
      <w:r>
        <w:rPr>
          <w:rFonts w:ascii="Times New Roman" w:hAnsi="Times New Roman" w:eastAsia="宋体" w:cs="Times New Roman"/>
          <w:color w:val="000000"/>
          <w:sz w:val="24"/>
        </w:rP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spacing w:before="240" w:after="120" w:line="312" w:lineRule="auto"/>
        <w:jc w:val="left"/>
      </w:pPr>
      <w:r>
        <w:rPr>
          <w:rFonts w:ascii="Times New Roman" w:hAnsi="Times New Roman" w:eastAsia="黑体" w:cs="Times New Roman"/>
          <w:b/>
          <w:color w:val="000000"/>
          <w:sz w:val="28"/>
        </w:rPr>
        <w:t xml:space="preserve">3.5 框架局限：启发式工具，而非已验证量表</w:t>
      </w:r>
    </w:p>
    <w:p>
      <w:pPr>
        <w:pStyle w:val="FirstParagraph"/>
        <w:spacing w:before="0" w:after="0" w:line="360" w:lineRule="auto"/>
        <w:ind w:firstLine="480"/>
        <w:jc w:val="both"/>
      </w:pPr>
      <w:r>
        <w:rPr>
          <w:rFonts w:ascii="Times New Roman" w:hAnsi="Times New Roman" w:eastAsia="宋体" w:cs="Times New Roman"/>
          <w:color w:val="000000"/>
          <w:sz w:val="24"/>
        </w:rP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spacing w:before="0" w:after="0" w:line="360" w:lineRule="auto"/>
        <w:ind w:firstLine="480"/>
        <w:jc w:val="both"/>
      </w:pPr>
      <w:r>
        <w:rPr>
          <w:rFonts w:ascii="Times New Roman" w:hAnsi="Times New Roman" w:eastAsia="宋体" w:cs="Times New Roman"/>
          <w:color w:val="000000"/>
          <w:sz w:val="24"/>
        </w:rP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spacing w:before="0" w:after="0" w:line="360" w:lineRule="auto"/>
        <w:ind w:firstLine="480"/>
        <w:jc w:val="both"/>
      </w:pPr>
      <w:r>
        <w:rPr>
          <w:rFonts w:ascii="Times New Roman" w:hAnsi="Times New Roman" w:eastAsia="宋体" w:cs="Times New Roman"/>
          <w:color w:val="000000"/>
          <w:sz w:val="24"/>
        </w:rP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spacing w:before="0" w:after="0" w:line="360" w:lineRule="auto"/>
        <w:ind w:firstLine="480"/>
        <w:jc w:val="both"/>
      </w:pPr>
      <w:r>
        <w:rPr>
          <w:rFonts w:ascii="Times New Roman" w:hAnsi="Times New Roman" w:eastAsia="宋体" w:cs="Times New Roman"/>
          <w:color w:val="000000"/>
          <w:sz w:val="24"/>
        </w:rPr>
        <w:t>在本文中，该框架的用途更克制：它帮助组织已有文献，避免把候选线索提前包装成因果位点，也避免把功能验证结果直接等同于育种应用。下一章将应用该框架比较不同性状的代表性候选位点，并指出 variant-level A 在家鸡中的具体分布。</w:t>
      </w:r>
    </w:p>
    <w:p>
      <w:pPr>
        <w:pStyle w:val="Heading2"/>
        <w:spacing w:before="240" w:after="120" w:line="312" w:lineRule="auto"/>
        <w:jc w:val="left"/>
      </w:pPr>
      <w:r>
        <w:rPr>
          <w:rFonts w:ascii="Times New Roman" w:hAnsi="Times New Roman" w:eastAsia="黑体" w:cs="Times New Roman"/>
          <w:b/>
          <w:color w:val="000000"/>
          <w:sz w:val="28"/>
        </w:rPr>
        <w:t xml:space="preserve">4 代表性性状和候选位点的证据成熟度比较</w:t>
      </w:r>
    </w:p>
    <w:p>
      <w:pPr>
        <w:pStyle w:val="FirstParagraph"/>
        <w:spacing w:before="0" w:after="0" w:line="360" w:lineRule="auto"/>
        <w:ind w:firstLine="480"/>
        <w:jc w:val="both"/>
      </w:pPr>
      <w:r>
        <w:rPr>
          <w:rFonts w:ascii="Times New Roman" w:hAnsi="Times New Roman" w:eastAsia="宋体" w:cs="Times New Roman"/>
          <w:color w:val="000000"/>
          <w:sz w:val="24"/>
        </w:rP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spacing w:before="0" w:after="0" w:line="360" w:lineRule="auto"/>
        <w:ind w:firstLine="480"/>
        <w:jc w:val="both"/>
      </w:pPr>
      <w:r>
        <w:rPr>
          <w:rFonts w:ascii="Times New Roman" w:hAnsi="Times New Roman" w:eastAsia="宋体" w:cs="Times New Roman"/>
          <w:color w:val="000000"/>
          <w:sz w:val="24"/>
        </w:rP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p>
      <w:pPr>
        <w:pStyle w:val="BodyText"/>
        <w:spacing w:line="360" w:lineRule="auto" w:before="0" w:after="0"/>
        <w:ind w:firstLine="480"/>
        <w:jc w:val="both"/>
      </w:pPr>
      <w:r>
        <w:rPr>
          <w:rFonts w:ascii="Times New Roman" w:hAnsi="Times New Roman" w:eastAsia="宋体" w:cs="Times New Roman"/>
          <w:color w:val="000000"/>
          <w:sz w:val="24"/>
        </w:rPr>
        <w:t>为提高 C/B/B+/A 评级的可复核性，本文将表 2–5 的代表性位点按原始研究、群体/样本、变异明确度、重复性、分子机制和功能验证拆分为证据抽取表，见文末补充表 1。</w:t>
      </w:r>
    </w:p>
    <w:p>
      <w:pPr>
        <w:pStyle w:val="BodyText"/>
        <w:spacing w:before="0" w:after="0" w:line="360" w:lineRule="auto"/>
        <w:ind w:firstLine="480"/>
        <w:jc w:val="both"/>
      </w:pPr>
      <w:r>
        <w:rPr>
          <w:rFonts w:ascii="Times New Roman" w:hAnsi="Times New Roman" w:eastAsia="宋体" w:cs="Times New Roman"/>
          <w:color w:val="000000"/>
          <w:sz w:val="24"/>
        </w:rPr>
        <w:t>定量上，这一差异也体现在遗传参数和预测准确性中。文献中肉鸡体重和生长性状通常呈中高遗传力（约 0.3–0.5），产蛋数量和持续性多为低到中等遗传力（约 0.1–0.3），饲料效率或剩余采食量常为中等遗传力（约 0.2–0.4）；GS 预测准确性则随群体规模、亲缘关系、标记密度和表型质量变化很大，常见报道约为 0.2–0.7（Wolc, 2014；Wolc et al., 2016；Liu et al., 2017；Mebratie et al., 2019；Yang et al., 2021）。因此，本章使用这些数值范围的目的不是给出跨群体固定参数，而是说明复杂经济性状的证据上限与性状遗传结构和表型系统密切相关。</w:t>
      </w:r>
    </w:p>
    <w:bookmarkStart w:id="32" w:name="生长胴体脂肪沉积与饲料效率"/>
    <w:p>
      <w:pPr>
        <w:pStyle w:val="Heading3"/>
        <w:spacing w:before="240" w:after="120" w:line="312" w:lineRule="auto"/>
        <w:jc w:val="left"/>
      </w:pPr>
      <w:r>
        <w:rPr>
          <w:rFonts w:ascii="Times New Roman" w:hAnsi="Times New Roman" w:eastAsia="黑体" w:cs="Times New Roman"/>
          <w:b/>
          <w:color w:val="000000"/>
          <w:sz w:val="28"/>
        </w:rPr>
        <w:t xml:space="preserve">4.1 生长、胴体、脂肪沉积与饲料效率</w:t>
      </w:r>
    </w:p>
    <w:p>
      <w:pPr>
        <w:pStyle w:val="FirstParagraph"/>
        <w:spacing w:before="0" w:after="0" w:line="360" w:lineRule="auto"/>
        <w:ind w:firstLine="480"/>
        <w:jc w:val="both"/>
      </w:pPr>
      <w:r>
        <w:rPr>
          <w:rFonts w:ascii="Times New Roman" w:hAnsi="Times New Roman" w:eastAsia="宋体" w:cs="Times New Roman"/>
          <w:color w:val="000000"/>
          <w:sz w:val="24"/>
        </w:rP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spacing w:before="0" w:after="0" w:line="360" w:lineRule="auto"/>
        <w:ind w:firstLine="480"/>
        <w:jc w:val="both"/>
      </w:pPr>
      <w:r>
        <w:rPr>
          <w:rFonts w:ascii="Times New Roman" w:hAnsi="Times New Roman" w:eastAsia="宋体" w:cs="Times New Roman"/>
          <w:color w:val="000000"/>
          <w:sz w:val="24"/>
        </w:rPr>
        <w:t>在目前家鸡生长相关研究中，IGF2BP1 启动子缺失是证据链较强的代表案例。该研究在鸡泛基因组中识别到参考基因组未充分代表的启动子缺失，并将该结构变异与 IGF2BP1 表达、启动子活性和体型差异相联系；在 Gushi×Anak F2 扩大群体中，L1 等位型与多个体型和胴体性状显著相关，其中爪重和爪重/体重比例的表型解释率约为 4.01% 和 3.85%，雌性个体中爪重解释率可达 11.5%（Wang K. et al., 2021）。该案例的重要性不在于再次提出一个“生长候选基因”，而在于把泛基因组发现的参考缺失变异、启动子调控活性、IGF2BP1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 variant-level B+ / T0：其变异明确度和机制支持较强，但仍缺少内源编辑、等位基因导入或更强体内因果验证，也尚未在目标商业群体中完成系统多性状评估。</w:t>
      </w:r>
    </w:p>
    <w:p>
      <w:pPr>
        <w:pStyle w:val="BodyText"/>
        <w:spacing w:before="0" w:after="0" w:line="360" w:lineRule="auto"/>
        <w:ind w:firstLine="480"/>
        <w:jc w:val="both"/>
      </w:pPr>
      <w:r>
        <w:rPr>
          <w:rFonts w:ascii="Times New Roman" w:hAnsi="Times New Roman" w:eastAsia="宋体" w:cs="Times New Roman"/>
          <w:color w:val="000000"/>
          <w:sz w:val="24"/>
        </w:rP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spacing w:before="0" w:after="0" w:line="360" w:lineRule="auto"/>
        <w:ind w:firstLine="480"/>
        <w:jc w:val="both"/>
      </w:pPr>
      <w:r>
        <w:rPr>
          <w:rFonts w:ascii="Times New Roman" w:hAnsi="Times New Roman" w:eastAsia="宋体" w:cs="Times New Roman"/>
          <w:color w:val="000000"/>
          <w:sz w:val="24"/>
        </w:rPr>
        <w:t>在脂肪沉积方向，rs734209466–IGFBP2/IGFBP5 调控链提供了机制证据较强的案例。该研究类型的价值在于把非编码变异、增强子活性、三维调控、靶基因表达和脂前体细胞功能联系起来，使候选信号不再停留在“显著 SNP 附近有脂肪代谢相关基因”的层面（Shen et al., 2024）。依 3.2 节评级，rs734209466–IGFBP2/IGFBP5 调控链更适合定位为 variant-level B+ / T0：它提示了较清楚的调控路径，也为后续内源编辑、跨群体验证和目标育种群体效应评估提供了方向，但仍不能直接视为 A 级因果位点或成熟 MAS 标记。</w:t>
      </w:r>
    </w:p>
    <w:p>
      <w:pPr>
        <w:pStyle w:val="BodyText"/>
        <w:spacing w:before="0" w:after="0" w:line="360" w:lineRule="auto"/>
        <w:ind w:firstLine="480"/>
        <w:jc w:val="both"/>
      </w:pPr>
      <w:r>
        <w:rPr>
          <w:rFonts w:ascii="Times New Roman" w:hAnsi="Times New Roman" w:eastAsia="宋体" w:cs="Times New Roman"/>
          <w:color w:val="000000"/>
          <w:sz w:val="24"/>
        </w:rP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spacing w:before="0" w:after="0" w:line="360" w:lineRule="auto"/>
        <w:ind w:firstLine="480"/>
        <w:jc w:val="both"/>
      </w:pPr>
      <w:r>
        <w:rPr>
          <w:rFonts w:ascii="Times New Roman" w:hAnsi="Times New Roman" w:eastAsia="宋体" w:cs="Times New Roman"/>
          <w:color w:val="000000"/>
          <w:sz w:val="24"/>
        </w:rPr>
        <w:t>与上述变异层面的调控链不同，IMFNCR–PPARG 轴代表调控网络层面的机制案例。它能够帮助解释非编码 RNA、脂肪细胞分化和肌内脂肪沉积之间的联系（Zhang et al., 2019），但从证据等级上看，它首先是基因调控轴证据，而不是明确自然变异位点证据。按上述维度判定，IMFNCR–PPARG 更适合定位为 gene/network-level B / T0：其机制解释力较强，但自然变异、等位基因效应、群体关联和体内表型之间尚未形成完整链条。它的主要价值在于提示肌内脂肪和肉质形成的调控机制，并为后续候选变异筛选和功能验证提供方向。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spacing w:before="0" w:after="0" w:line="360" w:lineRule="auto"/>
        <w:ind w:firstLine="480"/>
        <w:jc w:val="both"/>
      </w:pPr>
      <w:r>
        <w:rPr>
          <w:rFonts w:ascii="Times New Roman" w:hAnsi="Times New Roman" w:eastAsia="宋体" w:cs="Times New Roman"/>
          <w:color w:val="000000"/>
          <w:sz w:val="24"/>
        </w:rPr>
        <w:t>采食和生长方向中，CCKAR 区段体现了较高分辨率候选信号与强因果证据之间的距离。已有研究提示，CCKAR 相关区域可能参与采食行为、生长或能量摄入调控，并在分歧选择群体、精细定位或启动子调控研究中表现出较强候选价值（Wang and Zhou, 2021；Wang Y. et al., 2022）。CCKAR 更适合暂定为 variant-level B / T0；若后续研究能够证明明确调控变异、等位基因效应和细胞或体内功能后果，则可上调为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spacing w:before="0" w:after="0" w:line="360" w:lineRule="auto"/>
        <w:ind w:firstLine="480"/>
        <w:jc w:val="both"/>
      </w:pPr>
      <w:r>
        <w:rPr>
          <w:rFonts w:ascii="Times New Roman" w:hAnsi="Times New Roman" w:eastAsia="宋体" w:cs="Times New Roman"/>
          <w:color w:val="000000"/>
          <w:sz w:val="24"/>
        </w:rPr>
        <w:t>MSTN 则适合作为 gene-level 与 variant-level 区分的教学性例子。MSTN 在哺乳动物肌肉发育中具有强功能证据，跨物种研究也支持其作为肌肉生长负调控因子的生物学重要性（Kambadur et al., 1997）。然而，在家鸡自然群体内，MSTN 相关信号通常并不等同于类似 Belgian Blue 牛那样的明确主效自然变异。按 C/B/B+/A 标准，MSTN 在鸡内更适合被处理为 gene-level B / T0 或机制背景基因，而不是家鸡 variant-level A 位点。这个例子再次说明：某个基因具有强生物学功能，并不意味着家鸡群体中已经存在可直接用于育种的强效自然等位变异。</w:t>
      </w:r>
    </w:p>
    <w:p>
      <w:pPr>
        <w:pStyle w:val="BodyText"/>
        <w:spacing w:before="0" w:after="0" w:line="360" w:lineRule="auto"/>
        <w:ind w:firstLine="480"/>
        <w:jc w:val="both"/>
      </w:pPr>
      <w:r>
        <w:rPr>
          <w:rFonts w:ascii="Times New Roman" w:hAnsi="Times New Roman" w:eastAsia="宋体" w:cs="Times New Roman"/>
          <w:color w:val="000000"/>
          <w:sz w:val="24"/>
        </w:rPr>
        <w:t>除上述机制较强或较有代表性的案例外，生长和肉质研究中还频繁出现 IGF1、IGF1R、GHR、MYOD/MYF 家族、FABP3、FABP4、PPARG、LPL、CAPN1、CAST 等基因（Xu et al., 2013）。这些基因在肌肉发育、脂肪代谢、蛋白降解或肉品质形成中具有明确生物学相关性，因此适合作为候选通路或功能背景讨论。这类基因多数应定位为 gene-level C–B / T0：若只是位于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spacing w:before="0" w:after="0" w:line="360" w:lineRule="auto"/>
        <w:ind w:firstLine="480"/>
        <w:jc w:val="both"/>
      </w:pPr>
      <w:r>
        <w:rPr>
          <w:rFonts w:ascii="Times New Roman" w:hAnsi="Times New Roman" w:eastAsia="宋体" w:cs="Times New Roman"/>
          <w:color w:val="000000"/>
          <w:sz w:val="24"/>
        </w:rPr>
        <w:t>饲料效率是更典型的复杂经济性状。采食量、增重、代谢率、肠道吸收、活动水平、免疫状态、热应激反应和肠道微生物都会影响饲料转化表现；相关研究中剩余采食量和体重等指标的遗传参数随定义和模型变化明显，基因组预测准确性也高度依赖参考群体和表型质量（Liu et al., 2017；Mebratie et al., 2019）。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spacing w:before="0" w:after="0" w:line="360" w:lineRule="auto"/>
        <w:ind w:firstLine="480"/>
        <w:jc w:val="both"/>
      </w:pPr>
      <w:r>
        <w:rPr>
          <w:rFonts w:ascii="Times New Roman" w:hAnsi="Times New Roman" w:eastAsia="宋体" w:cs="Times New Roman"/>
          <w:color w:val="000000"/>
          <w:sz w:val="24"/>
        </w:rP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中间表型证据 C / T0</w:t>
      </w:r>
      <w:r>
        <w:rPr>
          <w:rFonts w:ascii="Times New Roman" w:hAnsi="Times New Roman" w:eastAsia="宋体" w:cs="Times New Roman"/>
          <w:color w:val="000000"/>
          <w:sz w:val="24"/>
        </w:rP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spacing w:before="120" w:after="80" w:line="288" w:lineRule="auto"/>
        <w:jc w:val="center"/>
      </w:pPr>
      <w:r>
        <w:rPr>
          <w:rFonts w:ascii="Times New Roman" w:hAnsi="Times New Roman" w:eastAsia="宋体" w:cs="Times New Roman"/>
          <w:b/>
          <w:bCs/>
          <w:color w:val="000000"/>
          <w:sz w:val="21"/>
        </w:rPr>
        <w:t xml:space="preserve">表 2 生长、胴体、脂肪沉积与饲料效率代表性候选位点的证据成熟度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IGF2BP1 启动子缺失</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体型 / 生长</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泛基因组缺失变异、启动子活性、表达变化、体型关联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内源编辑或等位基因导入；目标商业群体多性状评估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rs734209466–IGFBP2/IGFBP5</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腹脂沉积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等位基因特异增强子、三维调控、IGFBP2/IGFBP5 表达及脂前体细胞表型</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内源编辑、跨群体自然变异验证、目标群体效应</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IMFNCR–PPARG 调控轴</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肌内脂肪 / 肉质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gene/network-level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 RNA、脂肪细胞分化和 PPARG 调控关系</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明确自然变异、群体关联、体内表型</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CCKAR 区段</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采食 / 生长</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精细定位或分歧群体候选信号，可能涉及采食和能量摄入调控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因果变异、内源功能验证、跨商业群体一致性</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MSTN</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肌肉发育</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跨物种功能保守性和肌肉发育生物学合理性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家鸡自然群体内强效可育种等位变异证据不足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IGF1 / IGF1R / GHR / MYOD 家族 / FABP3 / FABP4 / LPL / CAPN1 / CAST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生长 / 肌肉 / 脂肪 / 肉质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通路相关、邻近 GWAS 峰、部分表达或机制证据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多数缺明确变异、独立重复或强功能验证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宿主—肠道微生物特征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饲料效率</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中间表型证据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微生物组成与饲料效率或采食相关表型关联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因果方向、可重复干预、宿主遗传控制和目标群体验证</w:t>
            </w:r>
          </w:p>
        </w:tc>
      </w:tr>
    </w:tbl>
    <w:p>
      <w:pPr>
        <w:pStyle w:val="BodyText"/>
        <w:spacing w:before="0" w:after="0" w:line="360" w:lineRule="auto"/>
        <w:ind w:firstLine="480"/>
        <w:jc w:val="both"/>
      </w:pPr>
      <w:r>
        <w:rPr>
          <w:rFonts w:ascii="Times New Roman" w:hAnsi="Times New Roman" w:eastAsia="宋体" w:cs="Times New Roman"/>
          <w:color w:val="000000"/>
          <w:sz w:val="24"/>
        </w:rP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spacing w:before="240" w:after="120" w:line="312" w:lineRule="auto"/>
        <w:jc w:val="left"/>
      </w:pPr>
      <w:r>
        <w:rPr>
          <w:rFonts w:ascii="Times New Roman" w:hAnsi="Times New Roman" w:eastAsia="黑体" w:cs="Times New Roman"/>
          <w:b/>
          <w:color w:val="000000"/>
          <w:sz w:val="28"/>
        </w:rPr>
        <w:t xml:space="preserve">4.2 繁殖产蛋与蛋品质</w:t>
      </w:r>
    </w:p>
    <w:p>
      <w:pPr>
        <w:pStyle w:val="FirstParagraph"/>
        <w:spacing w:before="0" w:after="0" w:line="360" w:lineRule="auto"/>
        <w:ind w:firstLine="480"/>
        <w:jc w:val="both"/>
      </w:pPr>
      <w:r>
        <w:rPr>
          <w:rFonts w:ascii="Times New Roman" w:hAnsi="Times New Roman" w:eastAsia="宋体" w:cs="Times New Roman"/>
          <w:color w:val="000000"/>
          <w:sz w:val="24"/>
        </w:rP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spacing w:before="0" w:after="0" w:line="360" w:lineRule="auto"/>
        <w:ind w:firstLine="480"/>
        <w:jc w:val="both"/>
      </w:pPr>
      <w:r>
        <w:rPr>
          <w:rFonts w:ascii="Times New Roman" w:hAnsi="Times New Roman" w:eastAsia="宋体" w:cs="Times New Roman"/>
          <w:color w:val="000000"/>
          <w:sz w:val="24"/>
        </w:rPr>
        <w:t>从证据等级看，繁殖产蛋方向的大多数候选信号仍处于 B 或 C–B 阶段。PRLR 附近区域、NCAPG-FAM184B 区段以及鸡 Z 染色体（GGAZ）上若干区域在多个产蛋相关 GWAS 或关联研究中被报道或反复作为候选区域出现，说明这些区域具有较高验证优先级（Gao et al., 2022；Fu et al., 2023；Kang et al., 2024）。对于尚未精细化到具体基因或变异的候选区段，本文采用 region-level 标签，表示证据仍停留在区域层面，尚未达到 gene-level 或 variant-level 解析度。依 3.2 节评级，这类信号更适合定位为 region-level B / T0：其重复性优于单次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上共享，或者是否代表独立生殖调控信号，目前仍需进一步区分（Elferink et al., 2008）。</w:t>
      </w:r>
    </w:p>
    <w:p>
      <w:pPr>
        <w:pStyle w:val="BodyText"/>
        <w:spacing w:before="0" w:after="0" w:line="360" w:lineRule="auto"/>
        <w:ind w:firstLine="480"/>
        <w:jc w:val="both"/>
      </w:pPr>
      <w:r>
        <w:rPr>
          <w:rFonts w:ascii="Times New Roman" w:hAnsi="Times New Roman" w:eastAsia="宋体" w:cs="Times New Roman"/>
          <w:color w:val="000000"/>
          <w:sz w:val="24"/>
        </w:rPr>
        <w:t>PHIP 非编码变异是产蛋性状中机制证据较强的代表。该类研究尝试将非编码变异、转录因子结合、PHIP 表达变化和卵巢颗粒细胞相关功能联系起来，使候选信号不再停留在“GWAS 峰附近有功能相关基因”的层面（Wang D. et al., 2025）。按上述维度判定，PHIP 更适合定位为 variant-level B / T0，尚未达到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spacing w:before="0" w:after="0" w:line="360" w:lineRule="auto"/>
        <w:ind w:firstLine="480"/>
        <w:jc w:val="both"/>
      </w:pPr>
      <w:r>
        <w:rPr>
          <w:rFonts w:ascii="Times New Roman" w:hAnsi="Times New Roman" w:eastAsia="宋体" w:cs="Times New Roman"/>
          <w:color w:val="000000"/>
          <w:sz w:val="24"/>
        </w:rP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region-level B / T0</w:t>
      </w:r>
      <w:r>
        <w:rPr>
          <w:rFonts w:ascii="Times New Roman" w:hAnsi="Times New Roman" w:eastAsia="宋体" w:cs="Times New Roman"/>
          <w:color w:val="000000"/>
          <w:sz w:val="24"/>
        </w:rPr>
        <w:t xml:space="preserve">：适合继续精细定位和跨群体比较，但不宜在缺少具体变异和功能证据时写成单一因果基因。</w:t>
      </w:r>
    </w:p>
    <w:p>
      <w:pPr>
        <w:pStyle w:val="BodyText"/>
        <w:spacing w:before="0" w:after="0" w:line="360" w:lineRule="auto"/>
        <w:ind w:firstLine="480"/>
        <w:jc w:val="both"/>
      </w:pPr>
      <w:r>
        <w:rPr>
          <w:rFonts w:ascii="Times New Roman" w:hAnsi="Times New Roman" w:eastAsia="宋体" w:cs="Times New Roman"/>
          <w:color w:val="000000"/>
          <w:sz w:val="24"/>
        </w:rPr>
        <w:t>与产蛋数量相比，蛋壳颜色方向已有较接近 A 级的代表性案例。蓝壳性状中，SLCO1B3 5′侧翼区约 4.2 kb EAV-HP 插入可导致其在壳腺中特异表达，并与胆绿素沉积和蓝壳形成相联系；原始研究显示该插入与蓝壳表型呈孟德尔式共分离，且纯合蓝壳个体的壳腺 SLCO1B3 表达约为杂合个体的 2–3 倍（Wang Z. et al., 2013）。该案例能够把具体变异、组织特异性表达和可见表型较清楚地连接起来，因此可定位为 variant-level A / T2（壳色管理场景）。这里的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spacing w:before="0" w:after="0" w:line="360" w:lineRule="auto"/>
        <w:ind w:firstLine="480"/>
        <w:jc w:val="both"/>
      </w:pPr>
      <w:r>
        <w:rPr>
          <w:rFonts w:ascii="Times New Roman" w:hAnsi="Times New Roman" w:eastAsia="宋体" w:cs="Times New Roman"/>
          <w:color w:val="000000"/>
          <w:sz w:val="24"/>
        </w:rPr>
        <w:t>褐壳色可以作为蓝壳的对照。褐壳主要与原卟啉 IX 沉积有关，涉及壳腺色素合成、转运和沉积过程，多项研究讨论了 HRG1、ABCG2 及其他色素代谢或转运相关候选基因（Li et al., 2013；Samiullah and Roberts, 2015；Zheng et al., 2022）。然而，与蓝壳 SLCO1B3 案例相比，褐壳通常呈多基因、连续变异和环境敏感特征，目前缺少一个能够稳定解释主要表型差异的单一 variant-level A 位点。依本文框架，褐壳色相关候选信号更适合定位为 gene/region-level C–B / T0–T1：部分候选基因具有生物学合理性和表达支持，但多数仍缺少明确自然变异、强功能验证和跨群体应用边界评估。</w:t>
      </w:r>
    </w:p>
    <w:p>
      <w:pPr>
        <w:pStyle w:val="BodyText"/>
        <w:spacing w:before="0" w:after="0" w:line="360" w:lineRule="auto"/>
        <w:ind w:firstLine="480"/>
        <w:jc w:val="both"/>
      </w:pPr>
      <w:r>
        <w:rPr>
          <w:rFonts w:ascii="Times New Roman" w:hAnsi="Times New Roman" w:eastAsia="宋体" w:cs="Times New Roman"/>
          <w:color w:val="000000"/>
          <w:sz w:val="24"/>
        </w:rP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gene-level C–B / T0</w:t>
      </w:r>
      <w:r>
        <w:rPr>
          <w:rFonts w:ascii="Times New Roman" w:hAnsi="Times New Roman" w:eastAsia="宋体" w:cs="Times New Roman"/>
          <w:color w:val="000000"/>
          <w:sz w:val="24"/>
        </w:rP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spacing w:before="0" w:after="0" w:line="360" w:lineRule="auto"/>
        <w:ind w:firstLine="480"/>
        <w:jc w:val="both"/>
      </w:pPr>
      <w:r>
        <w:rPr>
          <w:rFonts w:ascii="Times New Roman" w:hAnsi="Times New Roman" w:eastAsia="宋体" w:cs="Times New Roman"/>
          <w:color w:val="000000"/>
          <w:sz w:val="24"/>
        </w:rP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gene-level C–B / T0</w:t>
      </w:r>
      <w:r>
        <w:rPr>
          <w:rFonts w:ascii="Times New Roman" w:hAnsi="Times New Roman" w:eastAsia="宋体" w:cs="Times New Roman"/>
          <w:color w:val="000000"/>
          <w:sz w:val="24"/>
        </w:rPr>
        <w:t xml:space="preserve">。</w:t>
      </w:r>
    </w:p>
    <w:p>
      <w:pPr>
        <w:pStyle w:val="BodyText"/>
        <w:spacing w:before="0" w:after="0" w:line="360" w:lineRule="auto"/>
        <w:ind w:firstLine="480"/>
        <w:jc w:val="both"/>
      </w:pPr>
      <w:r>
        <w:rPr>
          <w:rFonts w:ascii="Times New Roman" w:hAnsi="Times New Roman" w:eastAsia="宋体" w:cs="Times New Roman"/>
          <w:color w:val="000000"/>
          <w:sz w:val="24"/>
        </w:rPr>
        <w:t>繁殖内分泌相关基因也属于高生物学合理性、但证据等级容易被夸大的类别。FSHR、LHCGR、ESR1、ESR2、VIP、VIPR1、PRL、PRLR、GDF9、BMP15、STAR、CYP19A1 等基因在卵泡募集、排卵、类固醇合成、催乳素调控、抱窝性或卵巢功能中具有明确生理意义（PRLR 的产蛋相关 region-level B 评级见前文）。然而，生理通路重要性并不等于群体中存在可直接利用的强效自然变异。除非具体研究能够提供明确等位变异、跨群体重复、靶组织分子效应和功能验证，否则这类基因更适合被作为 gene-level C–B / T0 的候选背景，而不是直接作为产蛋性能主效位点。</w:t>
      </w:r>
    </w:p>
    <w:p>
      <w:pPr>
        <w:pStyle w:val="BodyText"/>
        <w:spacing w:before="0" w:after="0" w:line="360" w:lineRule="auto"/>
        <w:ind w:firstLine="480"/>
        <w:jc w:val="both"/>
      </w:pPr>
      <w:r>
        <w:rPr>
          <w:rFonts w:ascii="Times New Roman" w:hAnsi="Times New Roman" w:eastAsia="宋体" w:cs="Times New Roman"/>
          <w:color w:val="000000"/>
          <w:sz w:val="24"/>
        </w:rP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spacing w:before="120" w:after="80" w:line="288" w:lineRule="auto"/>
        <w:jc w:val="center"/>
      </w:pPr>
      <w:r>
        <w:rPr>
          <w:rFonts w:ascii="Times New Roman" w:hAnsi="Times New Roman" w:eastAsia="宋体" w:cs="Times New Roman"/>
          <w:b/>
          <w:bCs/>
          <w:color w:val="000000"/>
          <w:sz w:val="21"/>
        </w:rPr>
        <w:t xml:space="preserve">表 3 繁殖产蛋与蛋品质代表性候选位点的证据成熟度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蓝壳</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具体插入变异、壳腺特异表达、胆绿素沉积和蓝壳表型联系清楚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不能外推到产蛋数、蛋壳强度或综合蛋品质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PHIP 非编码变异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 / 卵巢功能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非编码变异、转录因子结合、PHIP 表达和颗粒细胞相关功能线索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等位基因特异互证、内源编辑、体内因果验证、跨群体稳定性不足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PRLR 附近区域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 / 抱窝性 / 生殖调控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生殖内分泌功能明确，部分产蛋相关研究重复出现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与 PRLR/SPEF2 结构变异背景的关系、具体因果变异、阶段特异作用和功能验证不足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NCAPG-FAM184B 区段</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产蛋相关性状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多个产蛋相关 GWAS 或关联研究中出现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因果变异、靶组织机制和目标群体效应不明确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GGAZ 产蛋相关区域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产蛋节律 / 性成熟 / 繁殖性能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Z 染色体上重复出现的产蛋相关信号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连锁结构、剂量效应、具体变异和功能验证不足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褐壳色相关候选信号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褐壳 / 原卟啉 IX 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色素合成、转运和壳腺表达相关候选基因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缺少稳定单一主效变异、强功能验证和跨群体应用边界</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SPP1 / OC-17 / OC-116 / CALB1 / CA2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蛋壳强度 / 钙化</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壳腺表达、矿化和钙代谢生物学合理性，部分关联或表达证据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多数缺明确自然变异和强功能验证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OVAL / OVM / LYZ / TF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蛋白品质 / 内部蛋品质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蛋白组成、抗菌功能和内部品质相关生物学背景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表型受周龄、储藏和环境影响大；缺等位变异和体内因果验证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繁殖内分泌相关基因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卵泡发育 / 排卵 / 内分泌调控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FSHR、LHCGR、ESR1/2、VIP/VIPR1、GDF9、BMP15、CYP19A1 等具有明确生理意义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群体内强效自然变异、跨群体重复和功能验证不足</w:t>
            </w:r>
          </w:p>
        </w:tc>
      </w:tr>
    </w:tbl>
    <w:p>
      <w:pPr>
        <w:pStyle w:val="BodyText"/>
        <w:spacing w:before="0" w:after="80" w:line="288" w:lineRule="auto"/>
        <w:jc w:val="left"/>
      </w:pPr>
      <w:r>
        <w:rPr>
          <w:rFonts w:ascii="Times New Roman" w:hAnsi="Times New Roman" w:eastAsia="宋体" w:cs="Times New Roman"/>
          <w:b w:val="0"/>
          <w:color w:val="000000"/>
          <w:sz w:val="21"/>
        </w:rPr>
        <w:t xml:space="preserve">注：</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T2（壳色管理场景）</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仅指蓝壳识别、品种特征管理或蓝壳商品分级；不可外推到产蛋数量、蛋壳强度或综合蛋品质。</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spacing w:before="240" w:after="120" w:line="312" w:lineRule="auto"/>
        <w:jc w:val="left"/>
      </w:pPr>
      <w:r>
        <w:rPr>
          <w:rFonts w:ascii="Times New Roman" w:hAnsi="Times New Roman" w:eastAsia="黑体" w:cs="Times New Roman"/>
          <w:b/>
          <w:color w:val="000000"/>
          <w:sz w:val="28"/>
        </w:rPr>
        <w:t xml:space="preserve">4.3 抗病与免疫性状</w:t>
      </w:r>
    </w:p>
    <w:p>
      <w:pPr>
        <w:pStyle w:val="FirstParagraph"/>
        <w:spacing w:before="0" w:after="0" w:line="360" w:lineRule="auto"/>
        <w:ind w:firstLine="480"/>
        <w:jc w:val="both"/>
      </w:pPr>
      <w:r>
        <w:rPr>
          <w:rFonts w:ascii="Times New Roman" w:hAnsi="Times New Roman" w:eastAsia="宋体" w:cs="Times New Roman"/>
          <w:color w:val="000000"/>
          <w:sz w:val="24"/>
        </w:rPr>
        <w:t>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抗性（resistance），即降低病原复制或定植；有的更接近耐受性（tolerance），即在感染存在时维持健康和生产性能。因此，抗病候选位点的证据等级必须绑定具体病原、具体表型和具体感染模型，不能泛化为“抗病基因”。</w:t>
      </w:r>
    </w:p>
    <w:p>
      <w:pPr>
        <w:pStyle w:val="BodyText"/>
        <w:spacing w:before="0" w:after="0" w:line="360" w:lineRule="auto"/>
        <w:ind w:firstLine="480"/>
        <w:jc w:val="both"/>
      </w:pPr>
      <w:r>
        <w:rPr>
          <w:rFonts w:ascii="Times New Roman" w:hAnsi="Times New Roman" w:eastAsia="宋体" w:cs="Times New Roman"/>
          <w:color w:val="000000"/>
          <w:sz w:val="24"/>
        </w:rPr>
        <w:t>MHC-B 区域是家鸡抗病遗传研究中最经典、证据积累最多的免疫相关区域之一。不同 MHC-B 单倍型与马立克氏病、抗体反应、疫苗应答和多种免疫性状之间的关系已被长期讨论，且鸡 B 位点本身具有相对紧凑但功能集中的 MHC 结构（Briles and Briles, 1982；Kaufman et al., 1999）。对于具有强连锁、多基因构成，且单倍型层面证据强于单一变异层面的免疫复合区域，本文采用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spacing w:before="0" w:after="0" w:line="360" w:lineRule="auto"/>
        <w:ind w:firstLine="480"/>
        <w:jc w:val="both"/>
      </w:pPr>
      <w:r>
        <w:rPr>
          <w:rFonts w:ascii="Times New Roman" w:hAnsi="Times New Roman" w:eastAsia="宋体" w:cs="Times New Roman"/>
          <w:color w:val="000000"/>
          <w:sz w:val="24"/>
        </w:rPr>
        <w:t xml:space="preserve">因此，MHC-B 在本文框架下更适合定位为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haplotype/region-level B+ / T1（限特定疾病和目标群体）</w:t>
      </w:r>
      <w:r>
        <w:rPr>
          <w:rFonts w:ascii="Times New Roman" w:hAnsi="Times New Roman" w:eastAsia="宋体" w:cs="Times New Roman"/>
          <w:color w:val="000000"/>
          <w:sz w:val="24"/>
        </w:rP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spacing w:before="0" w:after="0" w:line="360" w:lineRule="auto"/>
        <w:ind w:firstLine="480"/>
        <w:jc w:val="both"/>
      </w:pPr>
      <w:r>
        <w:rPr>
          <w:rFonts w:ascii="Times New Roman" w:hAnsi="Times New Roman" w:eastAsia="宋体" w:cs="Times New Roman"/>
          <w:color w:val="000000"/>
          <w:sz w:val="24"/>
        </w:rP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spacing w:before="0" w:after="0" w:line="360" w:lineRule="auto"/>
        <w:ind w:firstLine="480"/>
        <w:jc w:val="both"/>
      </w:pPr>
      <w:r>
        <w:rPr>
          <w:rFonts w:ascii="Times New Roman" w:hAnsi="Times New Roman" w:eastAsia="宋体" w:cs="Times New Roman"/>
          <w:color w:val="000000"/>
          <w:sz w:val="24"/>
        </w:rPr>
        <w:t>禽流感宿主因子研究中，ANP32A 是当前功能证据最强的代表之一。编辑 ANP32A 可影响禽流感病毒聚合酶适配和复制；稳定编辑鸡在 10^3 PFU 低剂量 H9N2 感染中 9/10 直接接种个体未检出感染性病毒，哨兵鸡未发生传播；在 10^6 PFU 高剂量感染中，编辑鸡病毒排出面积显著降低（185.2 PFU/ml ± 264.7 SEM，对照为 5.9×10^4 PFU/ml ± 3.7×10^4 SEM），但仍可见低水平突破感染，说明该靶点同时具有强功能价值和明确转化边界（Idoko-Akoh et al., 2023）。按本文框架，ANP32A 是非对称证据的典型代表：其 gene/target-level 可达到 A / T0–T1（高转化风险），但其自然群体中的 variant-level 证据目前更适合定位为 B–C / T0。前者来自编辑或强扰动实验，确立了靶点在病毒复制中的功能作用；后者反映自然群体中尚缺少足以支持直接选择育种的可育种保护性等位变异。这两条评级不应合并为单一最高等级，这正是第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spacing w:before="0" w:after="0" w:line="360" w:lineRule="auto"/>
        <w:ind w:firstLine="480"/>
        <w:jc w:val="both"/>
      </w:pPr>
      <w:r>
        <w:rPr>
          <w:rFonts w:ascii="Times New Roman" w:hAnsi="Times New Roman" w:eastAsia="宋体" w:cs="Times New Roman"/>
          <w:color w:val="000000"/>
          <w:sz w:val="24"/>
        </w:rP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rPr>
          <w:rFonts w:ascii="Times New Roman" w:hAnsi="Times New Roman" w:eastAsia="宋体" w:cs="Times New Roman"/>
          <w:color w:val="000000"/>
          <w:sz w:val="24"/>
        </w:rPr>
        <w:t xml:space="preserve">“</w:t>
      </w:r>
      <w:r>
        <w:rPr>
          <w:rFonts w:ascii="Times New Roman" w:hAnsi="Times New Roman" w:eastAsia="宋体" w:cs="Times New Roman"/>
          <w:color w:val="000000"/>
          <w:sz w:val="24"/>
        </w:rPr>
        <w:t xml:space="preserve">高转化风险</w:t>
      </w:r>
      <w:r>
        <w:rPr>
          <w:rFonts w:ascii="Times New Roman" w:hAnsi="Times New Roman" w:eastAsia="宋体" w:cs="Times New Roman"/>
          <w:color w:val="000000"/>
          <w:sz w:val="24"/>
        </w:rPr>
        <w:t xml:space="preserve">”</w:t>
      </w:r>
      <w:r>
        <w:rPr>
          <w:rFonts w:ascii="Times New Roman" w:hAnsi="Times New Roman" w:eastAsia="宋体" w:cs="Times New Roman"/>
          <w:color w:val="000000"/>
          <w:sz w:val="24"/>
        </w:rPr>
        <w:t xml:space="preserve">并不是否定 ANP32A 的靶点价值，而是提示即使其功能证据强，T 轴评估仍需要比普通生产性状更严格的约束条件。</w:t>
      </w:r>
    </w:p>
    <w:p>
      <w:pPr>
        <w:pStyle w:val="BodyText"/>
        <w:spacing w:before="0" w:after="0" w:line="360" w:lineRule="auto"/>
        <w:ind w:firstLine="480"/>
        <w:jc w:val="both"/>
      </w:pPr>
      <w:r>
        <w:rPr>
          <w:rFonts w:ascii="Times New Roman" w:hAnsi="Times New Roman" w:eastAsia="宋体" w:cs="Times New Roman"/>
          <w:color w:val="000000"/>
          <w:sz w:val="24"/>
        </w:rPr>
        <w:t>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精准编辑可使细胞或鸡对 ALV-J 感染表现出抵抗，TVB 自然移码突变也被证明会降低鸡对 ALV-B、ALV-D 和 ALV-E 的易感性（Lee et al., 2017；Li et al., 2018）。本文不再给出无解释的“A 或 B+”，而将 TVB/NHE1 受体相关证据定位为 gene/target-level B+–A / T0–T1：在特定 ALV 亚群和明确受体模型中可接近 A，但跨亚群、跨群体和体内产业场景仍需逐项限定；其 variant-level 证据则暂定为 B–B+ / T0。该类案例说明，当抗病靶点同时存在可育种自然变异时，gene/target-level 与 variant-level 之间的非对称程度可能小于 ANP32A 这类宿主限制因子。</w:t>
      </w:r>
    </w:p>
    <w:p>
      <w:pPr>
        <w:pStyle w:val="BodyText"/>
        <w:spacing w:before="0" w:after="0" w:line="360" w:lineRule="auto"/>
        <w:ind w:firstLine="480"/>
        <w:jc w:val="both"/>
      </w:pPr>
      <w:r>
        <w:rPr>
          <w:rFonts w:ascii="Times New Roman" w:hAnsi="Times New Roman" w:eastAsia="宋体" w:cs="Times New Roman"/>
          <w:color w:val="000000"/>
          <w:sz w:val="24"/>
        </w:rPr>
        <w:t>除 MHC-B、ANP32A 和受体型抗病位点外，家鸡抗病研究中还经常出现 TLR4、TLR7、TLR15、IFITM3、MX1、OASL、SLC11A1、IL6、IL10、IFNG 等免疫相关基因（Liu et al., 2003；Wang Y. et al., 2012；Calenge et al., 2010）。这些基因在先天免疫、干扰素通路、炎症反应、巨噬细胞功能、病毒限制或细菌清除中具有明确生物学意义。按 C/B/B+/A 标准，这类基因多数应定位为 gene-level C–B / T0：如果证据主要来自候选基因关联、差异表达或感染后表达变化，应判定为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spacing w:before="0" w:after="0" w:line="360" w:lineRule="auto"/>
        <w:ind w:firstLine="480"/>
        <w:jc w:val="both"/>
      </w:pPr>
      <w:r>
        <w:rPr>
          <w:rFonts w:ascii="Times New Roman" w:hAnsi="Times New Roman" w:eastAsia="宋体" w:cs="Times New Roman"/>
          <w:color w:val="000000"/>
          <w:sz w:val="24"/>
        </w:rPr>
        <w:t>产业上同样重要的新城疫（NDV）、传染性法氏囊病（IBD/IBDV）和传染性支气管炎（IB/IBV）更能说明抗病候选证据的现实上限。NDV 抗体应答和感染后生长/免疫反应 GWAS 报道了多个候选区域；IBV 抗体应答 GWAS 也识别出主要关联区域；IBDV 研究则强调早期免疫反应、品系差异和病毒复制终点之间的复杂关系（Luo et al., 2013；Luo et al., 2014；Smith et al., 2015；Habimana et al., 2021）。这些疾病在产业重要性上不低于禽流感或 ALV，但当前多数证据仍更适合定位为 region/gene-level C–B / T0：它们可以支持病原特异性验证和 GS 功能先验，却不宜被写成可直接跨场景应用的单一抗病标记。</w:t>
      </w:r>
    </w:p>
    <w:p>
      <w:pPr>
        <w:pStyle w:val="BodyText"/>
        <w:spacing w:before="0" w:after="0" w:line="360" w:lineRule="auto"/>
        <w:ind w:firstLine="480"/>
        <w:jc w:val="both"/>
      </w:pPr>
      <w:r>
        <w:rPr>
          <w:rFonts w:ascii="Times New Roman" w:hAnsi="Times New Roman" w:eastAsia="宋体" w:cs="Times New Roman"/>
          <w:color w:val="000000"/>
          <w:sz w:val="24"/>
        </w:rPr>
        <w:t>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和转录组研究报道了与病毒载量、肿瘤发生、免疫反应或存活相关的候选区域和候选基因（Kaufman et al., 1999）。这些研究对理解病理机制有价值，但多数信号仍应定位为 region/gene-level C–B / T0。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spacing w:before="0" w:after="0" w:line="360" w:lineRule="auto"/>
        <w:ind w:firstLine="480"/>
        <w:jc w:val="both"/>
      </w:pPr>
      <w:r>
        <w:rPr>
          <w:rFonts w:ascii="Times New Roman" w:hAnsi="Times New Roman" w:eastAsia="宋体" w:cs="Times New Roman"/>
          <w:color w:val="000000"/>
          <w:sz w:val="24"/>
        </w:rPr>
        <w:t>沙门氏菌抗性也是类似情形。SLC11A1、TLR4、LYZ、IL 家族和其他巨噬细胞或黏膜免疫相关基因常被作为候选基因讨论（Liu et al., 2003；Tohidi et al., 2013；Calenge et al., 2010）。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 gene-level C–B / T0。它们适合作为机制研究和目标群体风险评估的候选对象，但在缺少稳定等位基因效应和干预验证前，不应作为直接选择标记。</w:t>
      </w:r>
    </w:p>
    <w:p>
      <w:pPr>
        <w:pStyle w:val="BodyText"/>
        <w:spacing w:before="0" w:after="0" w:line="360" w:lineRule="auto"/>
        <w:ind w:firstLine="480"/>
        <w:jc w:val="both"/>
      </w:pPr>
      <w:r>
        <w:rPr>
          <w:rFonts w:ascii="Times New Roman" w:hAnsi="Times New Roman" w:eastAsia="宋体" w:cs="Times New Roman"/>
          <w:color w:val="000000"/>
          <w:sz w:val="24"/>
        </w:rPr>
        <w:t>球虫病抗性研究同样需要区分免疫反应指标和真正的抗病育种价值。球虫感染后的病变评分、增重损失、卵囊排出量、肠道屏障功能、炎症因子表达和免疫细胞浸润，代表不同层面的表型；早期候选基因研究已提示某些免疫相关基因可能影响球虫病反应，但证据仍高度依赖感染模型和终点定义（Kim et al., 2010）。部分候选基因或 QTL 可能影响某一终点，但未必能同时改善生产性能和健康状态。与球虫相关的细胞因子、TLR 通路、黏膜免疫和肠道屏障候选基因，多数目前仍应定位为 gene/region-level C–B / T0。若仅有感染后差异表达或通路富集，应作为免疫反应线索处理；若具有跨群体 QTL、细胞功能验证或稳定挑战试验支持，可作为 B 级验证对象。</w:t>
      </w:r>
    </w:p>
    <w:p>
      <w:pPr>
        <w:pStyle w:val="BodyText"/>
        <w:spacing w:before="0" w:after="0" w:line="360" w:lineRule="auto"/>
        <w:ind w:firstLine="480"/>
        <w:jc w:val="both"/>
      </w:pPr>
      <w:r>
        <w:rPr>
          <w:rFonts w:ascii="Times New Roman" w:hAnsi="Times New Roman" w:eastAsia="宋体" w:cs="Times New Roman"/>
          <w:color w:val="000000"/>
          <w:sz w:val="24"/>
        </w:rP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spacing w:before="120" w:after="80" w:line="288" w:lineRule="auto"/>
        <w:jc w:val="center"/>
      </w:pPr>
      <w:r>
        <w:rPr>
          <w:rFonts w:ascii="Times New Roman" w:hAnsi="Times New Roman" w:eastAsia="宋体" w:cs="Times New Roman"/>
          <w:b/>
          <w:bCs/>
          <w:color w:val="000000"/>
          <w:sz w:val="21"/>
        </w:rPr>
        <w:t xml:space="preserve">表 4 抗病与免疫性状代表性候选位点的证据成熟度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ANP32A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禽流感病毒复制 / 宿主因子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 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A（gene/target）+ B–C（variant）</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T0–T1（高转化风险）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编辑或强扰动证明宿主因子影响病毒复制和感染结局</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自然可育种等位变异、病原逃逸、ANP32 家族补偿、多性状影响、监管和福利评估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TVB/NHE1 受体相关位点</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ALV 易感性 / 病毒入侵受体</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 variant-level</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B+–A（gene/target，依 ALV 亚群和验证模型限定）+ B–B+（variant）</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NHE1 编辑和 TVB 自然移码突变等受体机制证据；特定 ALV 亚群中易感性改变较明确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跨群体自然变异效应、病毒亚群特异性、体内感染验证和产业边界</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MHC-B 单倍型</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 / 免疫应答 / 疫苗反应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haplotype/region-level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T1（限特定疾病和群体）</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免疫功能明确，跨研究和特定病原背景下重复较多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单一因果变异难以解析；单倍型效应具有病原、疫苗和遗传背景依赖性</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马立克氏病非 MHC QTL/GWAS 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马立克氏病抗性 / 病毒载量 / 肿瘤发生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挑战实验、QTL/GWAS、转录组或免疫反应候选信号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病毒株、感染剂量、评价终点和遗传背景差异大；因果变异和功能验证不足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TLR4 / TLR7 / TLR15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先天免疫 / 病原识别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病原识别和炎症反应通路生物学合理性，部分关联或表达证据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明确自然变异、等位基因效应和体内抗病验证不足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IFITM3 / MX1 / OASL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抗病毒限制因子 / 干扰素通路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抗病毒通路功能明确，部分感染模型或表达证据支持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群体内可育种变异、稳定抗病效应和多性状影响不清楚</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SLC11A1 / LYZ / IL 家族等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沙门氏菌抗性 / 巨噬细胞与黏膜免疫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细菌清除、炎症反应或黏膜免疫相关机制支持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感染模型差异大；缺少稳定等位基因效应和目标群体验证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球虫病相关 QTL / 细胞因子 / 肠道屏障候选基因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球虫病抗性 / 肠道病变 / 卵囊排出</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病变评分、免疫反应、肠道屏障或 QTL/GWAS 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表型终点异质性强；缺少明确变异、功能验证和生产性能综合评估</w:t>
            </w:r>
          </w:p>
        </w:tc>
      </w:tr>
      <w:tr>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NDV / IBDV / IBV 相关候选区域</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新城疫 / 传染性法氏囊病 / 传染性支气管炎</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region/gene-level</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C–B</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T0</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抗体应答、感染后免疫反应或挑战模型中的 GWAS/转录组候选信号</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病原株、疫苗背景、感染模型和表型终点异质性强；缺少明确变异和跨场景验证</w:t>
            </w:r>
          </w:p>
        </w:tc>
      </w:tr>
    </w:tbl>
    <w:p>
      <w:pPr>
        <w:pStyle w:val="BodyText"/>
        <w:spacing w:before="0" w:after="80" w:line="288" w:lineRule="auto"/>
        <w:jc w:val="left"/>
      </w:pPr>
      <w:r>
        <w:rPr>
          <w:rFonts w:ascii="Times New Roman" w:hAnsi="Times New Roman" w:eastAsia="宋体" w:cs="Times New Roman"/>
          <w:b w:val="0"/>
          <w:color w:val="000000"/>
          <w:sz w:val="21"/>
        </w:rPr>
        <w:t xml:space="preserve">注：</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高转化风险</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指即使靶点功能证据强，进入产业育种仍受病原逃逸、功能补偿、多性状影响、动物福利、监管路径和消费者接受度等多重限制；这一标签提示该位点的 T 轴评估需要额外约束维度。</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spacing w:before="240" w:after="120" w:line="312" w:lineRule="auto"/>
        <w:jc w:val="left"/>
      </w:pPr>
      <w:r>
        <w:rPr>
          <w:rFonts w:ascii="Times New Roman" w:hAnsi="Times New Roman" w:eastAsia="黑体" w:cs="Times New Roman"/>
          <w:b/>
          <w:color w:val="000000"/>
          <w:sz w:val="28"/>
        </w:rPr>
        <w:t xml:space="preserve">4.4 特色表型与地方适应</w:t>
      </w:r>
    </w:p>
    <w:p>
      <w:pPr>
        <w:pStyle w:val="FirstParagraph"/>
        <w:spacing w:before="0" w:after="0" w:line="360" w:lineRule="auto"/>
        <w:ind w:firstLine="480"/>
        <w:jc w:val="both"/>
      </w:pPr>
      <w:r>
        <w:rPr>
          <w:rFonts w:ascii="Times New Roman" w:hAnsi="Times New Roman" w:eastAsia="宋体" w:cs="Times New Roman"/>
          <w:color w:val="000000"/>
          <w:sz w:val="24"/>
        </w:rP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spacing w:before="0" w:after="0" w:line="360" w:lineRule="auto"/>
        <w:ind w:firstLine="480"/>
        <w:jc w:val="both"/>
      </w:pPr>
      <w:r>
        <w:rPr>
          <w:rFonts w:ascii="Times New Roman" w:hAnsi="Times New Roman" w:eastAsia="宋体" w:cs="Times New Roman"/>
          <w:color w:val="000000"/>
          <w:sz w:val="24"/>
        </w:rP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spacing w:before="0" w:after="0" w:line="360" w:lineRule="auto"/>
        <w:ind w:firstLine="480"/>
        <w:jc w:val="both"/>
      </w:pPr>
      <w:r>
        <w:rPr>
          <w:rFonts w:ascii="Times New Roman" w:hAnsi="Times New Roman" w:eastAsia="宋体" w:cs="Times New Roman"/>
          <w:color w:val="000000"/>
          <w:sz w:val="24"/>
        </w:rPr>
        <w:t>黄肤是较早形成清晰证据链的经典案例之一。该性状与 BCDO2 在皮肤中的组织特异性调控变异有关，影响类胡萝卜素代谢和皮肤色素沉积（Eriksson et al., 2008）。与普通“色素通路候选基因”不同，黄肤案例能够较好地连接候选变异、组织特异表达、代谢功能和可见表型。按本文框架，BCDO2 黄肤位点可定位为 variant-level A / T2（肤色管理场景）。这里的 T2 仅限于肤色识别、品种特征管理和相关商品性状分级，不能外推为生长性能、肉品质或地方适应能力的综合标记。</w:t>
      </w:r>
    </w:p>
    <w:p>
      <w:pPr>
        <w:pStyle w:val="BodyText"/>
        <w:spacing w:before="0" w:after="0" w:line="360" w:lineRule="auto"/>
        <w:ind w:firstLine="480"/>
        <w:jc w:val="both"/>
      </w:pPr>
      <w:r>
        <w:rPr>
          <w:rFonts w:ascii="Times New Roman" w:hAnsi="Times New Roman" w:eastAsia="宋体" w:cs="Times New Roman"/>
          <w:color w:val="000000"/>
          <w:sz w:val="24"/>
        </w:rPr>
        <w:t>纤维黑变是另一个典型的强证据可见表型。该表型与 EDN3 相关复杂结构变异和异常表达有关，能够解释皮肤、肌肉、骨膜和结缔组织等多组织黑色素沉积（Dorshorst et al., 2011）。EDN3 案例的意义在于，它不仅是一个色素候选基因，更将结构变异、基因表达改变和多组织黑色素沉积表型联系起来。依 3.2 节评级，EDN3 纤维黑变可定位为 variant-level A / T2（纤维黑变和乌骨性状管理场景）。不过，这一评级同样不能泛化：EDN3 可以作为乌骨或纤维黑变相关品种特征管理的强证据位点，但不能自动说明其对肉质、药用价值、抗病性或适应性的影响。</w:t>
      </w:r>
    </w:p>
    <w:p>
      <w:pPr>
        <w:pStyle w:val="BodyText"/>
        <w:spacing w:before="0" w:after="0" w:line="360" w:lineRule="auto"/>
        <w:ind w:firstLine="480"/>
        <w:jc w:val="both"/>
      </w:pPr>
      <w:r>
        <w:rPr>
          <w:rFonts w:ascii="Times New Roman" w:hAnsi="Times New Roman" w:eastAsia="宋体" w:cs="Times New Roman"/>
          <w:color w:val="000000"/>
          <w:sz w:val="24"/>
        </w:rPr>
        <w:t>冠型性状同样提供了可见表型强证据案例。豌豆冠与 SOX5 第 1 内含子中的重复序列扩增有关，说明非编码结构变异可以通过影响发育调控产生清楚形态表型（Wright et al., 2009）。按上述维度判定，SOX5 豌豆冠可定位为 variant-level A / T2（品种特征和冠型管理场景）。这里的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spacing w:before="0" w:after="0" w:line="360" w:lineRule="auto"/>
        <w:ind w:firstLine="480"/>
        <w:jc w:val="both"/>
      </w:pPr>
      <w:r>
        <w:rPr>
          <w:rFonts w:ascii="Times New Roman" w:hAnsi="Times New Roman" w:eastAsia="宋体" w:cs="Times New Roman"/>
          <w:color w:val="000000"/>
          <w:sz w:val="24"/>
        </w:rPr>
        <w:t>玫瑰冠则提醒我们，即使强可见表型达到 variant-level A，也仍需单独评估多性状和繁殖风险。玫瑰冠与特定染色体倒位有关，该倒位能够解释冠型表型，但也被报道与雄性繁殖力或精子运动相关问题存在关联（Imsland et al., 2012）。按本文框架，玫瑰冠可定位为 variant-level A / T1–T2（需考虑繁殖风险）。其表型因果证据强，但 T 轴必须纳入潜在负面连锁效应和群体应用目标。这一案例说明，A 级证据并不等于“无条件使用”；即使因果变异明确，也要考虑该变异所在结构背景是否带来不利伴随效应。</w:t>
      </w:r>
    </w:p>
    <w:p>
      <w:pPr>
        <w:pStyle w:val="BodyText"/>
        <w:spacing w:before="0" w:after="0" w:line="360" w:lineRule="auto"/>
        <w:ind w:firstLine="480"/>
        <w:jc w:val="both"/>
      </w:pPr>
      <w:r>
        <w:rPr>
          <w:rFonts w:ascii="Times New Roman" w:hAnsi="Times New Roman" w:eastAsia="宋体" w:cs="Times New Roman"/>
          <w:color w:val="000000"/>
          <w:sz w:val="24"/>
        </w:rPr>
        <w:t>羽色多样性也是家鸡主效可见表型的重要组成部分。MC1R、ASIP、TYR、TYRP1、PMEL17 等色素通路基因与黑色、白色、斑驳、隐性白、显性白等羽色差异有关，部分变异已经具有较强的变异明确度和表型对应关系（Kerje et al., 2003；Kerje et al., 2004）。依本文框架，部分羽色位点可达到 variant-level B+–A / T1–T2（羽色识别和市场偏好场景）。不过，羽色性状与适应性、生产性能或抗病性之间不存在简单因果关系。其 T 轴价值主要绑定品种识别、文化标识、保种、展览标准或特定市场偏好，而不能直接解释综合生产性能。</w:t>
      </w:r>
    </w:p>
    <w:p>
      <w:pPr>
        <w:pStyle w:val="BodyText"/>
        <w:spacing w:before="0" w:after="0" w:line="360" w:lineRule="auto"/>
        <w:ind w:firstLine="480"/>
        <w:jc w:val="both"/>
      </w:pPr>
      <w:r>
        <w:rPr>
          <w:rFonts w:ascii="Times New Roman" w:hAnsi="Times New Roman" w:eastAsia="宋体" w:cs="Times New Roman"/>
          <w:color w:val="000000"/>
          <w:sz w:val="24"/>
        </w:rPr>
        <w:t>除上述独立讨论的案例外，家鸡中还有一组典型主效可见位点常被用于品种识别和形态性状管理。例如，显性白羽与 PMEL17 相关变异有关，卷羽与 KRT75 相关变异有关，毛脚或胫羽与 TBX5/PITX1 上游调控区域有关，性连锁羽速 K 位点与 PRLR/SPEF2 相关复杂变异有关（Kerje et al., 2004；Ng et al., 2012；Elferink et al., 2008；Li et al., 2020）。这些位点共同的特点是：表型边界较清楚，变异或候选区域相对明确，应用场景多限于品种识别、保种、形态管理和市场偏好。它们可以为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spacing w:before="0" w:after="0" w:line="360" w:lineRule="auto"/>
        <w:ind w:firstLine="480"/>
        <w:jc w:val="both"/>
      </w:pPr>
      <w:r>
        <w:rPr>
          <w:rFonts w:ascii="Times New Roman" w:hAnsi="Times New Roman" w:eastAsia="宋体" w:cs="Times New Roman"/>
          <w:color w:val="000000"/>
          <w:sz w:val="24"/>
        </w:rP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spacing w:before="0" w:after="0" w:line="360" w:lineRule="auto"/>
        <w:ind w:firstLine="480"/>
        <w:jc w:val="both"/>
      </w:pPr>
      <w:r>
        <w:rPr>
          <w:rFonts w:ascii="Times New Roman" w:hAnsi="Times New Roman" w:eastAsia="宋体" w:cs="Times New Roman"/>
          <w:color w:val="000000"/>
          <w:sz w:val="24"/>
        </w:rPr>
        <w:t>驯化相关位点中，TSHR 是最常被讨论的代表之一。TSHR G558R 等变异与家鸡驯化、繁殖季节性改变和光周期反应相关，被认为可能参与从野生祖先季节性繁殖到家鸡相对持续繁殖能力的转变（Rubin et al., 2010）。该位点在群体遗传和驯化扫描中具有较强代表性，也具有明确的生殖内分泌生物学背景。按 C/B/B+/A 标准，TSHR 更适合定位为 variant-level B+ / T0（商业生产）或 T1（驯化机制研究与地方品种保护）。其不宜上调至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spacing w:before="0" w:after="0" w:line="360" w:lineRule="auto"/>
        <w:ind w:firstLine="480"/>
        <w:jc w:val="both"/>
      </w:pPr>
      <w:r>
        <w:rPr>
          <w:rFonts w:ascii="Times New Roman" w:hAnsi="Times New Roman" w:eastAsia="宋体" w:cs="Times New Roman"/>
          <w:color w:val="000000"/>
          <w:sz w:val="24"/>
        </w:rP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region-level C–B / T0</w:t>
      </w:r>
      <w:r>
        <w:rPr>
          <w:rFonts w:ascii="Times New Roman" w:hAnsi="Times New Roman" w:eastAsia="宋体" w:cs="Times New Roman"/>
          <w:color w:val="000000"/>
          <w:sz w:val="24"/>
        </w:rPr>
        <w:t xml:space="preserve">：若只有群体分化或选择统计量，应为 C 级线索；若结合共同环境表型、跨群体重复、功能注释或候选变异证据，可上调至 B 级。</w:t>
      </w:r>
    </w:p>
    <w:p>
      <w:pPr>
        <w:pStyle w:val="BodyText"/>
        <w:spacing w:before="0" w:after="0" w:line="360" w:lineRule="auto"/>
        <w:ind w:firstLine="480"/>
        <w:jc w:val="both"/>
      </w:pPr>
      <w:r>
        <w:rPr>
          <w:rFonts w:ascii="Times New Roman" w:hAnsi="Times New Roman" w:eastAsia="宋体" w:cs="Times New Roman"/>
          <w:color w:val="000000"/>
          <w:sz w:val="24"/>
        </w:rP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spacing w:before="0" w:after="0" w:line="360" w:lineRule="auto"/>
        <w:ind w:firstLine="480"/>
        <w:jc w:val="both"/>
      </w:pPr>
      <w:r>
        <w:rPr>
          <w:rFonts w:ascii="Times New Roman" w:hAnsi="Times New Roman" w:eastAsia="宋体" w:cs="Times New Roman"/>
          <w:color w:val="000000"/>
          <w:sz w:val="24"/>
        </w:rPr>
        <w:t>地方鸡特色性状常同时包含外观、行为、繁殖节律和市场文化偏好。部分外观性状可用于品种识别和遗传资源管理，但适应性、生产性能和市场价值通常不是单一外观位点能够解释的；特色表型位点的 T 轴必须绑定品种鉴定、保种、商品分级、文化标识或特定市场偏好等具体用途。</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spacing w:before="120" w:after="80" w:line="288" w:lineRule="auto"/>
        <w:jc w:val="center"/>
      </w:pPr>
      <w:r>
        <w:rPr>
          <w:rFonts w:ascii="Times New Roman" w:hAnsi="Times New Roman" w:eastAsia="宋体" w:cs="Times New Roman"/>
          <w:b/>
          <w:bCs/>
          <w:color w:val="000000"/>
          <w:sz w:val="21"/>
        </w:rPr>
        <w:t xml:space="preserve">表 5 特色表型与地方适应代表性候选位点的证据成熟度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BCDO2 调控变异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黄肤 / 类胡萝卜素沉积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T2（肤色管理场景）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组织特异性表达调控、类胡萝卜素代谢和黄肤表型联系清楚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不能外推到生长、肉质或地方适应综合能力</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EDN3 相关复杂结构变异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纤维黑变 / 乌骨性状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T2（纤维黑变管理场景）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结构变异、EDN3 异常表达和多组织黑色素沉积联系清楚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对肉质、抗病性、药用价值等外推证据不足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SOX5 内含子重复序列扩增</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豌豆冠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T2（冠型和品种特征管理场景）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非编码结构变异与冠型发育表型关系清楚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商业生产性状权重有限，应用价值依场景而定</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玫瑰冠相关倒位</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冠型 / 繁殖风险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T1–T2（需考虑繁殖风险）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结构变异与冠型表型关系清楚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可能伴随雄性繁殖力风险，需 T 轴单独评估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蓝壳</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插入变异、壳腺特异表达和蓝壳表型联系清楚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不可外推到产蛋数量或综合蛋品质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羽色相关位点（如 MC1R、ASIP、TYR/TYRP1、PMEL17）</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羽色 / 品种识别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T1–T2（羽色识别场景）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色素通路明确，部分变异与表型对应关系较清楚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与生产性能、抗病性或适应性的因果关系不能外推</w:t>
            </w:r>
          </w:p>
        </w:tc>
      </w:tr>
      <w:tr>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羽型和形态相关位点（如 KRT75、TBX5/PITX1 调控区、PRLR/SPEF2 等）</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卷羽、毛脚或胫羽、羽速等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T1–T2（形态管理场景）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部分主效外观性状变异或候选区域较明确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多数应用限于品种识别、保种或市场偏好</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TSHR G558R 等驯化相关变异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驯化 / 繁殖季节性 / 光周期反应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T0（商业生产）/ T1（驯化机制研究与地方品种保护）</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驯化扫描、群体遗传信号和生殖内分泌功能背景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体内因果验证不足；现代商业群体中的产蛋或适应性效应仍需验证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热适应 / 高原适应 / 寒冷耐受选择扫描区域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地方适应 / 环境响应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选择扫描、通路合理性、部分表达或环境关联证据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共同环境表型、因果变异、功能验证和跨群体重复不足</w:t>
            </w:r>
          </w:p>
        </w:tc>
      </w:tr>
    </w:tbl>
    <w:p>
      <w:pPr>
        <w:pStyle w:val="BodyText"/>
        <w:spacing w:before="0" w:after="80" w:line="288" w:lineRule="auto"/>
        <w:jc w:val="left"/>
      </w:pPr>
      <w:r>
        <w:rPr>
          <w:rFonts w:ascii="Times New Roman" w:hAnsi="Times New Roman" w:eastAsia="宋体" w:cs="Times New Roman"/>
          <w:b w:val="0"/>
          <w:color w:val="000000"/>
          <w:sz w:val="21"/>
        </w:rPr>
        <w:t xml:space="preserve">注：特色表型中的 T2 多指品种识别、商品分级、保种、展览标准或特定市场管理场景，不代表综合生产性状或复杂适应性的应用成熟度。</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spacing w:before="240" w:after="120" w:line="312" w:lineRule="auto"/>
        <w:jc w:val="left"/>
      </w:pPr>
      <w:r>
        <w:rPr>
          <w:rFonts w:ascii="Times New Roman" w:hAnsi="Times New Roman" w:eastAsia="黑体" w:cs="Times New Roman"/>
          <w:b/>
          <w:color w:val="000000"/>
          <w:sz w:val="28"/>
        </w:rPr>
        <w:t xml:space="preserve">4.5 小结：复杂经济性状的现实证据上限</w:t>
      </w:r>
    </w:p>
    <w:p>
      <w:pPr>
        <w:pStyle w:val="FirstParagraph"/>
        <w:spacing w:before="0" w:after="0" w:line="360" w:lineRule="auto"/>
        <w:ind w:firstLine="480"/>
        <w:jc w:val="both"/>
      </w:pPr>
      <w:r>
        <w:rPr>
          <w:rFonts w:ascii="Times New Roman" w:hAnsi="Times New Roman" w:eastAsia="宋体" w:cs="Times New Roman"/>
          <w:color w:val="000000"/>
          <w:sz w:val="24"/>
        </w:rP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spacing w:before="120" w:after="80" w:line="288" w:lineRule="auto"/>
        <w:jc w:val="center"/>
      </w:pPr>
      <w:r>
        <w:rPr>
          <w:rFonts w:ascii="Times New Roman" w:hAnsi="Times New Roman" w:eastAsia="宋体" w:cs="Times New Roman"/>
          <w:b/>
          <w:bCs/>
          <w:color w:val="000000"/>
          <w:sz w:val="21"/>
        </w:rPr>
        <w:t xml:space="preserve">表 6 第 4 章代表性性状的证据等级分布概览</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4"/>
        <w:gridCol w:w="1584"/>
        <w:gridCol w:w="1584"/>
        <w:gridCol w:w="1584"/>
        <w:gridCol w:w="1584"/>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性状类别</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当前最高代表性证据等级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代表性位点或证据单元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 T 轴场景</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核心判断</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生长、胴体、脂肪沉积与饲料效率</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IGF2BP1 启动子缺失；rs734209466–IGFBP2/IGFBP5</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T0，主要用于精细定位、机制验证和 GS 功能先验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多基因经济性状尚无成熟 variant-level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繁殖产蛋与蛋品质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A（限壳色）</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T2，限壳色管理场景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主效壳色可达 A；产蛋数量和综合蛋品质多数仍为 B 或 C–B</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抗病与免疫性状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A；haplotype/region-level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ANP32A；TVB/NHE1；MHC-B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T0–T1，常伴随高转化风险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强证据多在靶点层面，variant-level A 罕见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特色表型与地方适应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BCDO2、EDN3、SOX5、玫瑰冠倒位、部分羽色和羽型位点</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T2，多限品种特征管理、保种或市场偏好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 级证据集中于主效可见表型；地方适应扫描多数为 C–B</w:t>
            </w:r>
          </w:p>
        </w:tc>
      </w:tr>
    </w:tbl>
    <w:p>
      <w:pPr>
        <w:pStyle w:val="BodyText"/>
        <w:spacing w:before="0" w:after="0" w:line="360" w:lineRule="auto"/>
        <w:ind w:firstLine="480"/>
        <w:jc w:val="both"/>
      </w:pPr>
      <w:r>
        <w:rPr>
          <w:rFonts w:ascii="Times New Roman" w:hAnsi="Times New Roman" w:eastAsia="宋体" w:cs="Times New Roman"/>
          <w:color w:val="000000"/>
          <w:sz w:val="24"/>
        </w:rP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spacing w:before="0" w:after="0" w:line="360" w:lineRule="auto"/>
        <w:ind w:firstLine="480"/>
        <w:jc w:val="both"/>
      </w:pPr>
      <w:r>
        <w:rPr>
          <w:rFonts w:ascii="Times New Roman" w:hAnsi="Times New Roman" w:eastAsia="宋体" w:cs="Times New Roman"/>
          <w:color w:val="000000"/>
          <w:sz w:val="24"/>
        </w:rP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spacing w:before="0" w:after="0" w:line="360" w:lineRule="auto"/>
        <w:ind w:firstLine="480"/>
        <w:jc w:val="both"/>
      </w:pPr>
      <w:r>
        <w:rPr>
          <w:rFonts w:ascii="Times New Roman" w:hAnsi="Times New Roman" w:eastAsia="宋体" w:cs="Times New Roman"/>
          <w:color w:val="000000"/>
          <w:sz w:val="24"/>
        </w:rP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spacing w:before="0" w:after="0" w:line="360" w:lineRule="auto"/>
        <w:ind w:firstLine="480"/>
        <w:jc w:val="both"/>
      </w:pPr>
      <w:r>
        <w:rPr>
          <w:rFonts w:ascii="Times New Roman" w:hAnsi="Times New Roman" w:eastAsia="宋体" w:cs="Times New Roman"/>
          <w:color w:val="000000"/>
          <w:sz w:val="24"/>
        </w:rP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spacing w:before="0" w:after="0" w:line="360" w:lineRule="auto"/>
        <w:ind w:firstLine="480"/>
        <w:jc w:val="both"/>
      </w:pPr>
      <w:r>
        <w:rPr>
          <w:rFonts w:ascii="Times New Roman" w:hAnsi="Times New Roman" w:eastAsia="宋体" w:cs="Times New Roman"/>
          <w:color w:val="000000"/>
          <w:sz w:val="24"/>
        </w:rP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spacing w:before="0" w:after="0" w:line="360" w:lineRule="auto"/>
        <w:ind w:firstLine="480"/>
        <w:jc w:val="both"/>
      </w:pPr>
      <w:r>
        <w:rPr>
          <w:rFonts w:ascii="Times New Roman" w:hAnsi="Times New Roman" w:eastAsia="宋体" w:cs="Times New Roman"/>
          <w:color w:val="000000"/>
          <w:sz w:val="24"/>
        </w:rP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spacing w:before="240" w:after="120" w:line="312" w:lineRule="auto"/>
        <w:jc w:val="left"/>
      </w:pPr>
      <w:r>
        <w:rPr>
          <w:rFonts w:ascii="Times New Roman" w:hAnsi="Times New Roman" w:eastAsia="黑体" w:cs="Times New Roman"/>
          <w:b/>
          <w:color w:val="000000"/>
          <w:sz w:val="28"/>
        </w:rPr>
        <w:t xml:space="preserve">5 功能验证如何推动证据升级</w:t>
      </w:r>
    </w:p>
    <w:p>
      <w:pPr>
        <w:pStyle w:val="FirstParagraph"/>
        <w:spacing w:before="0" w:after="0" w:line="360" w:lineRule="auto"/>
        <w:ind w:firstLine="480"/>
        <w:jc w:val="both"/>
      </w:pPr>
      <w:r>
        <w:rPr>
          <w:rFonts w:ascii="Times New Roman" w:hAnsi="Times New Roman" w:eastAsia="宋体" w:cs="Times New Roman"/>
          <w:color w:val="000000"/>
          <w:sz w:val="24"/>
        </w:rP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spacing w:before="0" w:after="0" w:line="360" w:lineRule="auto"/>
        <w:ind w:firstLine="480"/>
        <w:jc w:val="both"/>
      </w:pPr>
      <w:r>
        <w:rPr>
          <w:rFonts w:ascii="Times New Roman" w:hAnsi="Times New Roman" w:eastAsia="宋体" w:cs="Times New Roman"/>
          <w:color w:val="000000"/>
          <w:sz w:val="24"/>
        </w:rPr>
        <w:t>在本文框架中，功能验证不是所有证据中的普通加分项，而是 A 级证据的关键门槛。没有功能验证，候选位点即使具有较强统计重复性和机制解释，也通常只能停留在 B 或 B+。但不同功能实验的证据强度并不相同。报告基因、MPRA、细胞模型、过表达、敲低、CRISPRa/i、高通量筛选和体外病原复制实验，可以证明候选序列或基因具有功能潜力（Inoue and Ahituv, 2015；Kampmann, 2018）；内源编辑、自然突变或等位基因导入、PGC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spacing w:before="120" w:after="80" w:line="288" w:lineRule="auto"/>
        <w:jc w:val="center"/>
      </w:pPr>
      <w:r>
        <w:rPr>
          <w:rFonts w:ascii="Times New Roman" w:hAnsi="Times New Roman" w:eastAsia="宋体" w:cs="Times New Roman"/>
          <w:b/>
          <w:bCs/>
          <w:color w:val="000000"/>
          <w:sz w:val="21"/>
        </w:rPr>
        <w:t xml:space="preserve">表 7 候选位点从 B/B+ 升级到 A 的典型路径</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40"/>
        <w:gridCol w:w="2640"/>
        <w:gridCol w:w="264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起点证据形态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关键升级动作</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终点证据形态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GWAS 峰、QTL 区间或邻近基因注释，变异不明确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精细定位、候选变异筛选、LD 区分、结构变异解析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候选确认，为后续功能验证提供明确对象</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等位基因特异表达（ASE）、coloc、报告基因阳性等调控候选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内源编辑、等位基因替换、表型重现或救援实验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细胞实验、通路富集或候选基因功能线索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体内模型、多性状表型评估、救援实验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单基因验证、机制确认和目标组织验证；未完成体内因果验证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B+</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单基因验证、内源验证、目标组织和体内因果验证；完成体内因果验证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gene/target-level A</w:t>
            </w:r>
          </w:p>
        </w:tc>
      </w:tr>
    </w:tbl>
    <w:p>
      <w:pPr>
        <w:pStyle w:val="BodyText"/>
        <w:spacing w:before="120" w:after="80" w:line="288" w:lineRule="auto"/>
        <w:jc w:val="center"/>
      </w:pPr>
      <w:r>
        <w:rPr>
          <w:rFonts w:ascii="Times New Roman" w:hAnsi="Times New Roman" w:eastAsia="宋体" w:cs="Times New Roman"/>
          <w:b/>
          <w:color w:val="000000"/>
          <w:sz w:val="21"/>
        </w:rP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spacing w:before="240" w:after="120" w:line="312" w:lineRule="auto"/>
        <w:jc w:val="left"/>
      </w:pPr>
      <w:r>
        <w:rPr>
          <w:rFonts w:ascii="Times New Roman" w:hAnsi="Times New Roman" w:eastAsia="黑体" w:cs="Times New Roman"/>
          <w:b/>
          <w:color w:val="000000"/>
          <w:sz w:val="28"/>
        </w:rPr>
        <w:t xml:space="preserve">5.1 从表达相关到等位基因层面证据</w:t>
      </w:r>
    </w:p>
    <w:p>
      <w:pPr>
        <w:pStyle w:val="FirstParagraph"/>
        <w:spacing w:before="0" w:after="0" w:line="360" w:lineRule="auto"/>
        <w:ind w:firstLine="480"/>
        <w:jc w:val="both"/>
      </w:pPr>
      <w:r>
        <w:rPr>
          <w:rFonts w:ascii="Times New Roman" w:hAnsi="Times New Roman" w:eastAsia="宋体" w:cs="Times New Roman"/>
          <w:color w:val="000000"/>
          <w:sz w:val="24"/>
        </w:rPr>
        <w:t>表达差异是家鸡复杂性状研究中最常见的机制证据之一，可以提示候选基因可能参与相关生物过程。单纯差异表达不能区分原因与结果（见 2.2 节），通常只能把候选位点从 C 级线索推进到机制候选，不能直接形成强因果证据。</w:t>
      </w:r>
    </w:p>
    <w:p>
      <w:pPr>
        <w:pStyle w:val="BodyText"/>
        <w:spacing w:before="0" w:after="0" w:line="360" w:lineRule="auto"/>
        <w:ind w:firstLine="480"/>
        <w:jc w:val="both"/>
      </w:pPr>
      <w:r>
        <w:rPr>
          <w:rFonts w:ascii="Times New Roman" w:hAnsi="Times New Roman" w:eastAsia="宋体" w:cs="Times New Roman"/>
          <w:color w:val="000000"/>
          <w:sz w:val="24"/>
        </w:rPr>
        <w:t>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信号共定位，并且有利等位基因或风险等位基因同时对应目标基因表达变化，证据强度就明显高于普通差异表达（Giambartolomei et al., 2014；Zhu et al., 2016）。如果同一个个体内两个等位基因表现出表达不平衡，且这种不平衡与候选变异或单倍型一致，则更能支持顺式调控机制。</w:t>
      </w:r>
    </w:p>
    <w:p>
      <w:pPr>
        <w:pStyle w:val="BodyText"/>
        <w:spacing w:before="0" w:after="0" w:line="360" w:lineRule="auto"/>
        <w:ind w:firstLine="480"/>
        <w:jc w:val="both"/>
      </w:pPr>
      <w:r>
        <w:rPr>
          <w:rFonts w:ascii="Times New Roman" w:hAnsi="Times New Roman" w:eastAsia="宋体" w:cs="Times New Roman"/>
          <w:color w:val="000000"/>
          <w:sz w:val="24"/>
        </w:rP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spacing w:before="0" w:after="0" w:line="360" w:lineRule="auto"/>
        <w:ind w:firstLine="480"/>
        <w:jc w:val="both"/>
      </w:pPr>
      <w:r>
        <w:rPr>
          <w:rFonts w:ascii="Times New Roman" w:hAnsi="Times New Roman" w:eastAsia="宋体" w:cs="Times New Roman"/>
          <w:color w:val="000000"/>
          <w:sz w:val="24"/>
        </w:rPr>
        <w:t>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启动子缺失和 rs734209466–IGFBP2/IGFBP5 这类案例的价值，正在于把候选信号从统计关联推进到调控元件、等位基因分子效应和靶基因解释链条（Wang D. et al., 2025；Wang K. et al., 2021；Shen et al., 2024）。</w:t>
      </w:r>
    </w:p>
    <w:bookmarkEnd w:id="38"/>
    <w:bookmarkStart w:id="39" w:name="从报告基因和细胞模型到内源编辑"/>
    <w:p>
      <w:pPr>
        <w:pStyle w:val="Heading3"/>
        <w:spacing w:before="240" w:after="120" w:line="312" w:lineRule="auto"/>
        <w:jc w:val="left"/>
      </w:pPr>
      <w:r>
        <w:rPr>
          <w:rFonts w:ascii="Times New Roman" w:hAnsi="Times New Roman" w:eastAsia="黑体" w:cs="Times New Roman"/>
          <w:b/>
          <w:color w:val="000000"/>
          <w:sz w:val="28"/>
        </w:rPr>
        <w:t xml:space="preserve">5.2 从报告基因和细胞模型到内源编辑</w:t>
      </w:r>
    </w:p>
    <w:p>
      <w:pPr>
        <w:pStyle w:val="FirstParagraph"/>
        <w:spacing w:before="0" w:after="0" w:line="360" w:lineRule="auto"/>
        <w:ind w:firstLine="480"/>
        <w:jc w:val="both"/>
      </w:pPr>
      <w:r>
        <w:rPr>
          <w:rFonts w:ascii="Times New Roman" w:hAnsi="Times New Roman" w:eastAsia="宋体" w:cs="Times New Roman"/>
          <w:color w:val="000000"/>
          <w:sz w:val="24"/>
        </w:rPr>
        <w:t>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阳性只说明候选片段有调控潜力，不等于在体内目标组织承担实际功能（其边界见 2.3 节）。</w:t>
      </w:r>
    </w:p>
    <w:p>
      <w:pPr>
        <w:pStyle w:val="BodyText"/>
        <w:spacing w:before="0" w:after="0" w:line="360" w:lineRule="auto"/>
        <w:ind w:firstLine="480"/>
        <w:jc w:val="both"/>
      </w:pPr>
      <w:r>
        <w:rPr>
          <w:rFonts w:ascii="Times New Roman" w:hAnsi="Times New Roman" w:eastAsia="宋体" w:cs="Times New Roman"/>
          <w:color w:val="000000"/>
          <w:sz w:val="24"/>
        </w:rP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spacing w:before="0" w:after="0" w:line="360" w:lineRule="auto"/>
        <w:ind w:firstLine="480"/>
        <w:jc w:val="both"/>
      </w:pPr>
      <w:r>
        <w:rPr>
          <w:rFonts w:ascii="Times New Roman" w:hAnsi="Times New Roman" w:eastAsia="宋体" w:cs="Times New Roman"/>
          <w:color w:val="000000"/>
          <w:sz w:val="24"/>
        </w:rP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spacing w:before="0" w:after="0" w:line="360" w:lineRule="auto"/>
        <w:ind w:firstLine="480"/>
        <w:jc w:val="both"/>
      </w:pPr>
      <w:r>
        <w:rPr>
          <w:rFonts w:ascii="Times New Roman" w:hAnsi="Times New Roman" w:eastAsia="宋体" w:cs="Times New Roman"/>
          <w:color w:val="000000"/>
          <w:sz w:val="24"/>
        </w:rPr>
        <w:t>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为例（Wang D. et al., 2025），当前证据已经涉及非编码变异、转录因子结合、表达变化和颗粒细胞功能，但仍缺少决定性的内源等位基因替换或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spacing w:before="240" w:after="120" w:line="312" w:lineRule="auto"/>
        <w:jc w:val="left"/>
      </w:pPr>
      <w:r>
        <w:rPr>
          <w:rFonts w:ascii="Times New Roman" w:hAnsi="Times New Roman" w:eastAsia="黑体" w:cs="Times New Roman"/>
          <w:b/>
          <w:color w:val="000000"/>
          <w:sz w:val="28"/>
        </w:rPr>
        <w:t xml:space="preserve">5.3 PGC 编辑、体内模型和救援实验的证据价值</w:t>
      </w:r>
    </w:p>
    <w:p>
      <w:pPr>
        <w:pStyle w:val="FirstParagraph"/>
        <w:spacing w:before="0" w:after="0" w:line="360" w:lineRule="auto"/>
        <w:ind w:firstLine="480"/>
        <w:jc w:val="both"/>
      </w:pPr>
      <w:r>
        <w:rPr>
          <w:rFonts w:ascii="Times New Roman" w:hAnsi="Times New Roman" w:eastAsia="宋体" w:cs="Times New Roman"/>
          <w:color w:val="000000"/>
          <w:sz w:val="24"/>
        </w:rPr>
        <w:t>家鸡功能验证的一个特殊挑战，是获得稳定的体内遗传模型比模式动物更困难。鸡胚胎发育、生殖细胞操作、世代周期、饲养成本和伦理监管都会限制大规模功能验证。鸡世代间隔约 5–6 个月，加 PGC 嵌合体建立、生殖系传递和 F2 表型采集，单个编辑品系从构建到获得可用体内表型通常需 2 年以上。PGC 介导编辑为家鸡提供了重要路径，因为它可以在生殖系层面进行基因编辑或等位基因操作，从而建立更接近真实遗传背景的体内模型（van de Lavoir et al., 2006；Whyte et al., 2015）。对于复杂性状候选位点，PGC 编辑的价值不仅在于“能改基因”，更在于它有可能把候选变异、内源表达和体内表型连接起来。</w:t>
      </w:r>
    </w:p>
    <w:p>
      <w:pPr>
        <w:pStyle w:val="BodyText"/>
        <w:spacing w:before="0" w:after="0" w:line="360" w:lineRule="auto"/>
        <w:ind w:firstLine="480"/>
        <w:jc w:val="both"/>
      </w:pPr>
      <w:r>
        <w:rPr>
          <w:rFonts w:ascii="Times New Roman" w:hAnsi="Times New Roman" w:eastAsia="宋体" w:cs="Times New Roman"/>
          <w:color w:val="000000"/>
          <w:sz w:val="24"/>
        </w:rP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spacing w:before="0" w:after="0" w:line="360" w:lineRule="auto"/>
        <w:ind w:firstLine="480"/>
        <w:jc w:val="both"/>
      </w:pPr>
      <w:r>
        <w:rPr>
          <w:rFonts w:ascii="Times New Roman" w:hAnsi="Times New Roman" w:eastAsia="宋体" w:cs="Times New Roman"/>
          <w:color w:val="000000"/>
          <w:sz w:val="24"/>
        </w:rP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spacing w:before="0" w:after="0" w:line="360" w:lineRule="auto"/>
        <w:ind w:firstLine="480"/>
        <w:jc w:val="both"/>
      </w:pPr>
      <w:r>
        <w:rPr>
          <w:rFonts w:ascii="Times New Roman" w:hAnsi="Times New Roman" w:eastAsia="宋体" w:cs="Times New Roman"/>
          <w:color w:val="000000"/>
          <w:sz w:val="24"/>
        </w:rPr>
        <w:t>不过，体内功能验证仍不等于产业应用成熟。即使 PGC 编辑或体内模型证明某个变异或靶点具有功能，也仍需要目标育种群体中的等位基因频率、遗传背景依赖、多性状影响和经济权重评估。ANP32A 这类抗病靶点尤其说明这一点（Idoko-Akoh et al., 2023）：即使在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spacing w:before="240" w:after="120" w:line="312" w:lineRule="auto"/>
        <w:jc w:val="left"/>
      </w:pPr>
      <w:r>
        <w:rPr>
          <w:rFonts w:ascii="Times New Roman" w:hAnsi="Times New Roman" w:eastAsia="黑体" w:cs="Times New Roman"/>
          <w:b/>
          <w:color w:val="000000"/>
          <w:sz w:val="28"/>
        </w:rPr>
        <w:t xml:space="preserve">5.4 高通量筛选适合排序，不等于因果证明</w:t>
      </w:r>
    </w:p>
    <w:p>
      <w:pPr>
        <w:pStyle w:val="FirstParagraph"/>
        <w:spacing w:before="0" w:after="0" w:line="360" w:lineRule="auto"/>
        <w:ind w:firstLine="480"/>
        <w:jc w:val="both"/>
      </w:pPr>
      <w:r>
        <w:rPr>
          <w:rFonts w:ascii="Times New Roman" w:hAnsi="Times New Roman" w:eastAsia="宋体" w:cs="Times New Roman"/>
          <w:color w:val="000000"/>
          <w:sz w:val="24"/>
        </w:rPr>
        <w:t>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筛选可以在细胞层面寻找影响病毒复制、细胞分化、代谢状态或免疫反应的基因（Inoue and Ahituv, 2015；Kampmann, 2018）；单细胞扰动实验可以把基因扰动与细胞状态变化联系起来。这些方法显著提高了候选筛选效率，尤其适合在大量 GWAS 或选择扫描信号中识别更值得验证的对象。</w:t>
      </w:r>
    </w:p>
    <w:p>
      <w:pPr>
        <w:pStyle w:val="BodyText"/>
        <w:spacing w:before="0" w:after="0" w:line="360" w:lineRule="auto"/>
        <w:ind w:firstLine="480"/>
        <w:jc w:val="both"/>
      </w:pPr>
      <w:r>
        <w:rPr>
          <w:rFonts w:ascii="Times New Roman" w:hAnsi="Times New Roman" w:eastAsia="宋体" w:cs="Times New Roman"/>
          <w:color w:val="000000"/>
          <w:sz w:val="24"/>
        </w:rP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spacing w:before="0" w:after="0" w:line="360" w:lineRule="auto"/>
        <w:ind w:firstLine="480"/>
        <w:jc w:val="both"/>
      </w:pPr>
      <w:r>
        <w:rPr>
          <w:rFonts w:ascii="Times New Roman" w:hAnsi="Times New Roman" w:eastAsia="宋体" w:cs="Times New Roman"/>
          <w:color w:val="000000"/>
          <w:sz w:val="24"/>
        </w:rP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spacing w:before="0" w:after="0" w:line="360" w:lineRule="auto"/>
        <w:ind w:firstLine="480"/>
        <w:jc w:val="both"/>
      </w:pPr>
      <w:r>
        <w:rPr>
          <w:rFonts w:ascii="Times New Roman" w:hAnsi="Times New Roman" w:eastAsia="宋体" w:cs="Times New Roman"/>
          <w:color w:val="000000"/>
          <w:sz w:val="24"/>
        </w:rPr>
        <w:t xml:space="preserve">更合理的策略，是把高通量筛选纳入分层验证流程：</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1. 候选构建</w:t>
      </w:r>
      <w:r>
        <w:rPr>
          <w:rFonts w:ascii="Times New Roman" w:hAnsi="Times New Roman" w:eastAsia="黑体" w:cs="Times New Roman"/>
          <w:b/>
          <w:color w:val="000000"/>
          <w:sz w:val="28"/>
        </w:rPr>
        <w:t>：利用 GWAS、QTL、选择扫描、多组学共定位和功能注释建立候选位点集合。</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2. 优先排序</w:t>
      </w:r>
      <w:r>
        <w:rPr>
          <w:rFonts w:ascii="Times New Roman" w:hAnsi="Times New Roman" w:eastAsia="黑体" w:cs="Times New Roman"/>
          <w:b/>
          <w:color w:val="000000"/>
          <w:sz w:val="28"/>
        </w:rPr>
        <w:t>：利用 MPRA、CRISPR 筛选、单细胞扰动或其他高通量实验识别高验证价值候选。</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3. 机制确认</w:t>
      </w:r>
      <w:r>
        <w:rPr>
          <w:rFonts w:ascii="Times New Roman" w:hAnsi="Times New Roman" w:eastAsia="黑体" w:cs="Times New Roman"/>
          <w:b/>
          <w:color w:val="000000"/>
          <w:sz w:val="28"/>
        </w:rPr>
        <w:t>：通过等位基因特异表达、共定位、报告基因、细胞模型和调控元件验证确认候选机制。</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4. 因果定性</w:t>
      </w:r>
      <w:r>
        <w:rPr>
          <w:rFonts w:ascii="Times New Roman" w:hAnsi="Times New Roman" w:eastAsia="黑体" w:cs="Times New Roman"/>
          <w:b/>
          <w:color w:val="000000"/>
          <w:sz w:val="28"/>
        </w:rPr>
        <w:t>：通过内源编辑、PGC 介导编辑、体内模型、救援实验和目标群体验证，判断其能否达到 variant-level A 或 gene/target-level A。</w:t>
      </w:r>
    </w:p>
    <w:p>
      <w:pPr>
        <w:pStyle w:val="FirstParagraph"/>
        <w:spacing w:before="0" w:after="0" w:line="360" w:lineRule="auto"/>
        <w:ind w:firstLine="480"/>
        <w:jc w:val="both"/>
      </w:pPr>
      <w:r>
        <w:rPr>
          <w:rFonts w:ascii="Times New Roman" w:hAnsi="Times New Roman" w:eastAsia="宋体" w:cs="Times New Roman"/>
          <w:color w:val="000000"/>
          <w:sz w:val="24"/>
        </w:rP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spacing w:before="240" w:after="120" w:line="312" w:lineRule="auto"/>
        <w:jc w:val="left"/>
      </w:pPr>
      <w:r>
        <w:rPr>
          <w:rFonts w:ascii="Times New Roman" w:hAnsi="Times New Roman" w:eastAsia="黑体" w:cs="Times New Roman"/>
          <w:b/>
          <w:color w:val="000000"/>
          <w:sz w:val="28"/>
        </w:rPr>
        <w:t xml:space="preserve">6 基于证据成熟度的育种转化决策</w:t>
      </w:r>
    </w:p>
    <w:p>
      <w:pPr>
        <w:pStyle w:val="FirstParagraph"/>
        <w:spacing w:before="0" w:after="0" w:line="360" w:lineRule="auto"/>
        <w:ind w:firstLine="480"/>
        <w:jc w:val="both"/>
      </w:pPr>
      <w:r>
        <w:rPr>
          <w:rFonts w:ascii="Times New Roman" w:hAnsi="Times New Roman" w:eastAsia="宋体" w:cs="Times New Roman"/>
          <w:color w:val="000000"/>
          <w:sz w:val="24"/>
        </w:rP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spacing w:before="0" w:after="0" w:line="360" w:lineRule="auto"/>
        <w:ind w:firstLine="480"/>
        <w:jc w:val="both"/>
      </w:pPr>
      <w:r>
        <w:rPr>
          <w:rFonts w:ascii="Times New Roman" w:hAnsi="Times New Roman" w:eastAsia="宋体" w:cs="Times New Roman"/>
          <w:color w:val="000000"/>
          <w:sz w:val="24"/>
        </w:rPr>
        <w:t>标记辅助选择、基因组选择和基因编辑是覆盖不同证据等级与应用场景的并行工具，而非依次替代的三代技术。MAS 适用于少数效应明确、检测方便、与目标表型稳定相关的主效位点；GS 适用于多数多基因复杂经济性状（Wolc, 2014；Wolc et al., 2016）；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spacing w:before="0" w:after="0" w:line="360" w:lineRule="auto"/>
        <w:ind w:firstLine="480"/>
        <w:jc w:val="both"/>
      </w:pPr>
      <w:r>
        <w:rPr>
          <w:rFonts w:ascii="Times New Roman" w:hAnsi="Times New Roman" w:eastAsia="宋体" w:cs="Times New Roman"/>
          <w:color w:val="000000"/>
          <w:sz w:val="24"/>
        </w:rP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spacing w:before="120" w:after="80" w:line="288" w:lineRule="auto"/>
        <w:jc w:val="center"/>
      </w:pPr>
      <w:r>
        <w:rPr>
          <w:rFonts w:ascii="Times New Roman" w:hAnsi="Times New Roman" w:eastAsia="宋体" w:cs="Times New Roman"/>
          <w:b/>
          <w:bCs/>
          <w:color w:val="000000"/>
          <w:sz w:val="21"/>
        </w:rPr>
        <w:t xml:space="preserve">表 8 候选位点证据等级与育种工具匹配矩阵</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80"/>
        <w:gridCol w:w="1980"/>
        <w:gridCol w:w="1980"/>
        <w:gridCol w:w="198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 +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T0：目标群体未验证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T1：目标群体初步验证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T2：应用场景成熟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进入目标群体验证；评估等位基因频率、效应方向和多性状影响</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可作为试点 MAS 或品种特征管理对象，但需继续监测副作用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可用于 MAS、品种特征管理、商品分级或保种</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优先功能验证、内源编辑、跨群体验证；可作为 GS 功能先验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可用于目标群体风险评估或模型加权，但不宜作为确定性标记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可在已验证群体内作为 GS 高权重先验或辅助标记，但应明确报告为“育种预测价值”而非“因果标记”；跨群体推广前必须重新评估；这种 T2 状态不等于因果证据成熟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精细定位、候选变异筛选、LD 区分和结构变异解析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可作为目标群体重点验证区段或 GS 低—中权重先验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若未解析到具体变异、结构变异或功能单倍型，通常不应直接用于 MAS</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 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机制实验、跨群体重复验证和候选集合构建</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可作为功能注释或 GS 低权重先验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不宜直接用于 MAS；除非进一步升级为明确变异或强靶点证据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A，variant-level B–C</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机制研究、编辑靶点评估、生物安全评估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可开展编辑研究试点、疾病风险评估或监管和市场环境扫描</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 级候选线索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假设生成、候选清单构建、低权重功能注释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一般不进入育种决策</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不适合直接应用</w:t>
            </w:r>
          </w:p>
        </w:tc>
      </w:tr>
    </w:tbl>
    <w:p>
      <w:pPr>
        <w:pStyle w:val="BodyText"/>
        <w:spacing w:before="120" w:after="80" w:line="288" w:lineRule="auto"/>
        <w:jc w:val="center"/>
      </w:pPr>
      <w:r>
        <w:rPr>
          <w:rFonts w:ascii="Times New Roman" w:hAnsi="Times New Roman" w:eastAsia="宋体" w:cs="Times New Roman"/>
          <w:b/>
          <w:color w:val="000000"/>
          <w:sz w:val="21"/>
        </w:rP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spacing w:before="120" w:after="80" w:line="288" w:lineRule="auto"/>
        <w:jc w:val="center"/>
      </w:pPr>
      <w:r>
        <w:rPr>
          <w:rFonts w:ascii="Times New Roman" w:hAnsi="Times New Roman" w:eastAsia="宋体" w:cs="Times New Roman"/>
          <w:b/>
          <w:color w:val="000000"/>
          <w:sz w:val="21"/>
        </w:rPr>
        <w:t xml:space="preserve">表 8 中工具选择呈现一个隐含规律：</w:t>
      </w:r>
      <w:r>
        <w:rPr>
          <w:rFonts w:ascii="Times New Roman" w:hAnsi="Times New Roman" w:eastAsia="宋体" w:cs="Times New Roman"/>
          <w:b/>
          <w:bCs/>
          <w:color w:val="000000"/>
          <w:sz w:val="21"/>
        </w:rPr>
        <w:t xml:space="preserve">variant-level A + T2</w:t>
      </w:r>
      <w:r>
        <w:rPr>
          <w:rFonts w:ascii="Times New Roman" w:hAnsi="Times New Roman" w:eastAsia="宋体" w:cs="Times New Roman"/>
          <w:b/>
          <w:color w:val="000000"/>
          <w:sz w:val="21"/>
        </w:rPr>
        <w:t xml:space="preserve"> </w:t>
      </w:r>
      <w:r>
        <w:rPr>
          <w:rFonts w:ascii="Times New Roman" w:hAnsi="Times New Roman" w:eastAsia="宋体" w:cs="Times New Roman"/>
          <w:b/>
          <w:color w:val="000000"/>
          <w:sz w:val="21"/>
        </w:rPr>
        <w:t xml:space="preserve">时，因果变异明确，可使用 MAS 作单点选择；</w:t>
      </w:r>
      <w:r>
        <w:rPr>
          <w:rFonts w:ascii="Times New Roman" w:hAnsi="Times New Roman" w:eastAsia="宋体" w:cs="Times New Roman"/>
          <w:b/>
          <w:bCs/>
          <w:color w:val="000000"/>
          <w:sz w:val="21"/>
        </w:rPr>
        <w:t xml:space="preserve">variant-level B+ + T2</w:t>
      </w:r>
      <w:r>
        <w:rPr>
          <w:rFonts w:ascii="Times New Roman" w:hAnsi="Times New Roman" w:eastAsia="宋体" w:cs="Times New Roman"/>
          <w:b/>
          <w:color w:val="000000"/>
          <w:sz w:val="21"/>
        </w:rPr>
        <w:t xml:space="preserve"> </w:t>
      </w:r>
      <w:r>
        <w:rPr>
          <w:rFonts w:ascii="Times New Roman" w:hAnsi="Times New Roman" w:eastAsia="宋体" w:cs="Times New Roman"/>
          <w:b/>
          <w:color w:val="000000"/>
          <w:sz w:val="21"/>
        </w:rP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spacing w:before="240" w:after="120" w:line="312" w:lineRule="auto"/>
        <w:jc w:val="left"/>
      </w:pPr>
      <w:r>
        <w:rPr>
          <w:rFonts w:ascii="Times New Roman" w:hAnsi="Times New Roman" w:eastAsia="黑体" w:cs="Times New Roman"/>
          <w:b/>
          <w:color w:val="000000"/>
          <w:sz w:val="28"/>
        </w:rPr>
        <w:t xml:space="preserve">6.1 MAS：少数强证据主效位点和品种特征管理</w:t>
      </w:r>
    </w:p>
    <w:p>
      <w:pPr>
        <w:pStyle w:val="FirstParagraph"/>
        <w:spacing w:before="0" w:after="0" w:line="360" w:lineRule="auto"/>
        <w:ind w:firstLine="480"/>
        <w:jc w:val="both"/>
      </w:pPr>
      <w:r>
        <w:rPr>
          <w:rFonts w:ascii="Times New Roman" w:hAnsi="Times New Roman" w:eastAsia="宋体" w:cs="Times New Roman"/>
          <w:color w:val="000000"/>
          <w:sz w:val="24"/>
        </w:rPr>
        <w:t>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或品种特征管理的典型对象（Wang Z. et al., 2013；Eriksson et al., 2008；Dorshorst et al., 2011；Wright et al., 2009；Imsland et al., 2012）。这类位点的共同特点是表型边界清楚、变异效应较大、检测成本低，且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spacing w:before="0" w:after="0" w:line="360" w:lineRule="auto"/>
        <w:ind w:firstLine="480"/>
        <w:jc w:val="both"/>
      </w:pPr>
      <w:r>
        <w:rPr>
          <w:rFonts w:ascii="Times New Roman" w:hAnsi="Times New Roman" w:eastAsia="宋体" w:cs="Times New Roman"/>
          <w:color w:val="000000"/>
          <w:sz w:val="24"/>
        </w:rP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spacing w:before="0" w:after="0" w:line="360" w:lineRule="auto"/>
        <w:ind w:firstLine="480"/>
        <w:jc w:val="both"/>
      </w:pPr>
      <w:r>
        <w:rPr>
          <w:rFonts w:ascii="Times New Roman" w:hAnsi="Times New Roman" w:eastAsia="宋体" w:cs="Times New Roman"/>
          <w:color w:val="000000"/>
          <w:sz w:val="24"/>
        </w:rP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spacing w:before="0" w:after="0" w:line="360" w:lineRule="auto"/>
        <w:ind w:firstLine="480"/>
        <w:jc w:val="both"/>
      </w:pPr>
      <w:r>
        <w:rPr>
          <w:rFonts w:ascii="Times New Roman" w:hAnsi="Times New Roman" w:eastAsia="宋体" w:cs="Times New Roman"/>
          <w:color w:val="000000"/>
          <w:sz w:val="24"/>
        </w:rPr>
        <w:t>对于 B+ 位点，MAS 应更加谨慎。IGF2BP1 启动子缺失、rs734209466–IGFBP2/IGFBP5 调控链、TSHR 驯化相关变异以及部分受体型抗病位点，虽然具有较强机制证据或候选价值，但仍不宜直接作为 MAS 标记（Wang K. et al., 2021；Shen et al., 2024；Rubin et al., 2010；Lee et al., 2017；Li et al., 2018）。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spacing w:before="240" w:after="120" w:line="312" w:lineRule="auto"/>
        <w:jc w:val="left"/>
      </w:pPr>
      <w:r>
        <w:rPr>
          <w:rFonts w:ascii="Times New Roman" w:hAnsi="Times New Roman" w:eastAsia="黑体" w:cs="Times New Roman"/>
          <w:b/>
          <w:color w:val="000000"/>
          <w:sz w:val="28"/>
        </w:rPr>
        <w:t xml:space="preserve">6.2 GS：复杂经济性状改良的主干</w:t>
      </w:r>
    </w:p>
    <w:p>
      <w:pPr>
        <w:pStyle w:val="FirstParagraph"/>
        <w:spacing w:before="0" w:after="0" w:line="360" w:lineRule="auto"/>
        <w:ind w:firstLine="480"/>
        <w:jc w:val="both"/>
      </w:pPr>
      <w:r>
        <w:rPr>
          <w:rFonts w:ascii="Times New Roman" w:hAnsi="Times New Roman" w:eastAsia="宋体" w:cs="Times New Roman"/>
          <w:color w:val="000000"/>
          <w:sz w:val="24"/>
        </w:rPr>
        <w:t>对于生长、饲料效率、产蛋持续性、肉质、蛋壳强度、复杂抗病性和地方适应等多基因经济性状，基因组选择仍应是主要改良工具（Wolc, 2014；Wolc et al., 2016）。复杂经济性状通常由大量小效应位点共同影响，单个位点即使具有一定机制证据，也难以解释足够多的遗传变异。第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spacing w:before="0" w:after="0" w:line="360" w:lineRule="auto"/>
        <w:ind w:firstLine="480"/>
        <w:jc w:val="both"/>
      </w:pPr>
      <w:r>
        <w:rPr>
          <w:rFonts w:ascii="Times New Roman" w:hAnsi="Times New Roman" w:eastAsia="宋体" w:cs="Times New Roman"/>
          <w:color w:val="000000"/>
          <w:sz w:val="24"/>
        </w:rPr>
        <w:t>GS 的优势在于不要求每个位点都被证明为因果变异，而是利用全基因组标记捕捉整体遗传值。对于高度多基因性状，GS 比 MAS 更符合遗传结构（Wolc, 2014；Wolc et al., 2016）。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spacing w:before="0" w:after="0" w:line="360" w:lineRule="auto"/>
        <w:ind w:firstLine="480"/>
        <w:jc w:val="both"/>
      </w:pPr>
      <w:r>
        <w:rPr>
          <w:rFonts w:ascii="Times New Roman" w:hAnsi="Times New Roman" w:eastAsia="宋体" w:cs="Times New Roman"/>
          <w:color w:val="000000"/>
          <w:sz w:val="24"/>
        </w:rPr>
        <w:t>证据成熟度框架可以增强 GS，而不是与 GS 对立。B+ 或高可信 B 级位点可以作为功能先验，用于构建加权 GS 模型、贝叶斯模型或功能注释增强模型（MacLeod et al., 2016）。比如，IGF2BP1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spacing w:before="0" w:after="0" w:line="360" w:lineRule="auto"/>
        <w:ind w:firstLine="480"/>
        <w:jc w:val="both"/>
      </w:pPr>
      <w:r>
        <w:rPr>
          <w:rFonts w:ascii="Times New Roman" w:hAnsi="Times New Roman" w:eastAsia="宋体" w:cs="Times New Roman"/>
          <w:color w:val="000000"/>
          <w:sz w:val="24"/>
        </w:rPr>
        <w:t>这类功能先验必须有权重边界。例如，在腹脂沉积 GS 模型中，rs734209466–IGFBP2/IGFBP5 区域具有具体候选变异和较强机制证据，可作为高权重先验位点（Shen et al., 2024），但其权重上限不应超过该位点在交叉验证中显示的解释力。在产蛋持续性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spacing w:before="0" w:after="0" w:line="360" w:lineRule="auto"/>
        <w:ind w:firstLine="480"/>
        <w:jc w:val="both"/>
      </w:pPr>
      <w:r>
        <w:rPr>
          <w:rFonts w:ascii="Times New Roman" w:hAnsi="Times New Roman" w:eastAsia="宋体" w:cs="Times New Roman"/>
          <w:color w:val="000000"/>
          <w:sz w:val="24"/>
        </w:rPr>
        <w:t>GS 的另一个关键前提是高质量表型。复杂性状的遗传评估不能只依赖更密集的基因型或更多组学数据。饲料效率需要标准化个体采食记录，产蛋持续性需要纵向记录，肉质需要一致的屠宰和测定流程，抗病性状需要明确感染模型和终点，地方适应需要共同环境或跨环境表型（Wolc, 2014；Liu et al., 2017；Mebratie et al., 2019）。若表型质量不足，GS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spacing w:before="240" w:after="120" w:line="312" w:lineRule="auto"/>
        <w:jc w:val="left"/>
      </w:pPr>
      <w:r>
        <w:rPr>
          <w:rFonts w:ascii="Times New Roman" w:hAnsi="Times New Roman" w:eastAsia="黑体" w:cs="Times New Roman"/>
          <w:b/>
          <w:color w:val="000000"/>
          <w:sz w:val="28"/>
        </w:rPr>
        <w:t xml:space="preserve">6.3 基因编辑：功能验证工具与少数关键靶点突破</w:t>
      </w:r>
    </w:p>
    <w:p>
      <w:pPr>
        <w:pStyle w:val="FirstParagraph"/>
        <w:spacing w:before="0" w:after="0" w:line="360" w:lineRule="auto"/>
        <w:ind w:firstLine="480"/>
        <w:jc w:val="both"/>
      </w:pPr>
      <w:r>
        <w:rPr>
          <w:rFonts w:ascii="Times New Roman" w:hAnsi="Times New Roman" w:eastAsia="宋体" w:cs="Times New Roman"/>
          <w:color w:val="000000"/>
          <w:sz w:val="24"/>
        </w:rPr>
        <w:t>基因编辑在家鸡遗传研究中的价值首先是功能验证，其次才是潜在育种工具。PGC 介导编辑、内源等位基因替换、结构变异重建、靶点敲除或敲入，可以帮助研究者判断候选变异或基因是否真正影响目标表型（van de Lavoir et al., 2006；Whyte et al., 2015）。对于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spacing w:before="0" w:after="0" w:line="360" w:lineRule="auto"/>
        <w:ind w:firstLine="480"/>
        <w:jc w:val="both"/>
      </w:pPr>
      <w:r>
        <w:rPr>
          <w:rFonts w:ascii="Times New Roman" w:hAnsi="Times New Roman" w:eastAsia="宋体" w:cs="Times New Roman"/>
          <w:color w:val="000000"/>
          <w:sz w:val="24"/>
        </w:rP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spacing w:before="0" w:after="0" w:line="360" w:lineRule="auto"/>
        <w:ind w:firstLine="480"/>
        <w:jc w:val="both"/>
      </w:pPr>
      <w:r>
        <w:rPr>
          <w:rFonts w:ascii="Times New Roman" w:hAnsi="Times New Roman" w:eastAsia="宋体" w:cs="Times New Roman"/>
          <w:color w:val="000000"/>
          <w:sz w:val="24"/>
        </w:rPr>
        <w:t>就证据非对称性而言，ANP32A 是 gene/target-level A + variant-level B–C 的极端非对称情形：编辑层面证据强，但自然群体可育种变异证据弱（Idoko-Akoh et al., 2023）；TVB/NHE1 则代表非对称程度较轻的情形，靶点功能证据和自然变异证据部分重叠（Lee et al., 2017；Li et al., 2018）。就监管路径而言，ANP32A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spacing w:before="0" w:after="0" w:line="360" w:lineRule="auto"/>
        <w:ind w:firstLine="480"/>
        <w:jc w:val="both"/>
      </w:pPr>
      <w:r>
        <w:rPr>
          <w:rFonts w:ascii="Times New Roman" w:hAnsi="Times New Roman" w:eastAsia="宋体" w:cs="Times New Roman"/>
          <w:color w:val="000000"/>
          <w:sz w:val="24"/>
        </w:rP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spacing w:before="0" w:after="0" w:line="360" w:lineRule="auto"/>
        <w:ind w:firstLine="480"/>
        <w:jc w:val="both"/>
      </w:pPr>
      <w:r>
        <w:rPr>
          <w:rFonts w:ascii="Times New Roman" w:hAnsi="Times New Roman" w:eastAsia="宋体" w:cs="Times New Roman"/>
          <w:color w:val="000000"/>
          <w:sz w:val="24"/>
        </w:rP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spacing w:before="0" w:after="0" w:line="360" w:lineRule="auto"/>
        <w:ind w:firstLine="480"/>
        <w:jc w:val="both"/>
      </w:pPr>
      <w:r>
        <w:rPr>
          <w:rFonts w:ascii="Times New Roman" w:hAnsi="Times New Roman" w:eastAsia="宋体" w:cs="Times New Roman"/>
          <w:color w:val="000000"/>
          <w:sz w:val="24"/>
        </w:rPr>
        <w:t>基因编辑的 T 轴评估至少涉及三个独立维度。第一是监管路径。不同国家和地区对禽类基因编辑产品的监管态度差异很大，目标市场选择直接决定编辑应用的可行边界。由于不同国家和地区对禽类基因编辑产品的监管差异显著，编辑应用策略应优先评估目标市场（包括本地主流市场和出口目标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spacing w:before="240" w:after="120" w:line="312" w:lineRule="auto"/>
        <w:jc w:val="left"/>
      </w:pPr>
      <w:r>
        <w:rPr>
          <w:rFonts w:ascii="Times New Roman" w:hAnsi="Times New Roman" w:eastAsia="黑体" w:cs="Times New Roman"/>
          <w:b/>
          <w:color w:val="000000"/>
          <w:sz w:val="28"/>
        </w:rPr>
        <w:t xml:space="preserve">6.4 具体情景：代表性位点应该怎么用</w:t>
      </w:r>
    </w:p>
    <w:p>
      <w:pPr>
        <w:pStyle w:val="FirstParagraph"/>
        <w:spacing w:before="0" w:after="0" w:line="360" w:lineRule="auto"/>
        <w:ind w:firstLine="480"/>
        <w:jc w:val="both"/>
      </w:pPr>
      <w:r>
        <w:rPr>
          <w:rFonts w:ascii="Times New Roman" w:hAnsi="Times New Roman" w:eastAsia="宋体" w:cs="Times New Roman"/>
          <w:color w:val="000000"/>
          <w:sz w:val="24"/>
        </w:rPr>
        <w:t xml:space="preserve">将前文代表性位点放入育种决策框架，可以更清楚地看到不同证据等级对应的不同用途。</w:t>
      </w:r>
    </w:p>
    <w:p>
      <w:pPr>
        <w:pStyle w:val="BodyText"/>
        <w:spacing w:before="0" w:after="0" w:line="360" w:lineRule="auto"/>
        <w:ind w:firstLine="480"/>
        <w:jc w:val="both"/>
      </w:pPr>
      <w:r>
        <w:rPr>
          <w:rFonts w:ascii="Times New Roman" w:hAnsi="Times New Roman" w:eastAsia="宋体" w:cs="Times New Roman"/>
          <w:b/>
          <w:color w:val="000000"/>
          <w:sz w:val="24"/>
        </w:rPr>
        <w:t>SLCO1B3 EAV-HP 插入：variant-level A / T2 的成熟 MAS 应用。</w:t>
      </w:r>
      <w:r>
        <w:rPr>
          <w:rFonts w:ascii="Times New Roman" w:hAnsi="Times New Roman" w:eastAsia="宋体" w:cs="Times New Roman"/>
          <w:color w:val="000000"/>
          <w:sz w:val="24"/>
        </w:rPr>
        <w:br/>
      </w:r>
      <w:r>
        <w:rPr>
          <w:rFonts w:ascii="Times New Roman" w:hAnsi="Times New Roman" w:eastAsia="宋体" w:cs="Times New Roman"/>
          <w:color w:val="000000"/>
          <w:sz w:val="24"/>
        </w:rPr>
        <w:t>SLCO1B3 EAV-HP 插入是本文讨论中较成熟的 MAS 案例（Wang Z. et al., 2013）。其分型可通过常规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级位点应当参照的模板（Eriksson et al., 2008；Dorshorst et al., 2011；Wright et al., 2009）。</w:t>
      </w:r>
    </w:p>
    <w:p>
      <w:pPr>
        <w:pStyle w:val="BodyText"/>
        <w:spacing w:before="0" w:after="0" w:line="360" w:lineRule="auto"/>
        <w:ind w:firstLine="480"/>
        <w:jc w:val="both"/>
      </w:pPr>
      <w:r>
        <w:rPr>
          <w:rFonts w:ascii="Times New Roman" w:hAnsi="Times New Roman" w:eastAsia="宋体" w:cs="Times New Roman"/>
          <w:color w:val="000000"/>
          <w:sz w:val="24"/>
        </w:rPr>
        <w:t xml:space="preserve">与 SLCO1B3 这种已经达到 T2 的成熟应用案例不同，多数复杂经济性状的代表位点目前仍停留在 B+ 或 B 级。</w:t>
      </w:r>
    </w:p>
    <w:p>
      <w:pPr>
        <w:pStyle w:val="BodyText"/>
        <w:spacing w:before="0" w:after="0" w:line="360" w:lineRule="auto"/>
        <w:ind w:firstLine="480"/>
        <w:jc w:val="both"/>
      </w:pPr>
      <w:r>
        <w:rPr>
          <w:rFonts w:ascii="Times New Roman" w:hAnsi="Times New Roman" w:eastAsia="宋体" w:cs="Times New Roman"/>
          <w:b/>
          <w:color w:val="000000"/>
          <w:sz w:val="24"/>
        </w:rPr>
        <w:t>IGF2BP1 启动子缺失：variant-level B+ / T0 的验证优先位点。</w:t>
      </w:r>
      <w:r>
        <w:rPr>
          <w:rFonts w:ascii="Times New Roman" w:hAnsi="Times New Roman" w:eastAsia="宋体" w:cs="Times New Roman"/>
          <w:color w:val="000000"/>
          <w:sz w:val="24"/>
        </w:rPr>
        <w:br/>
      </w:r>
      <w:r>
        <w:rPr>
          <w:rFonts w:ascii="Times New Roman" w:hAnsi="Times New Roman" w:eastAsia="宋体" w:cs="Times New Roman"/>
          <w:color w:val="000000"/>
          <w:sz w:val="24"/>
        </w:rPr>
        <w:t>IGF2BP1 启动子缺失目前定位为 variant-level B+ / T0，不宜直接进入 MAS（Wang K. et al., 2021）。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spacing w:before="0" w:after="0" w:line="360" w:lineRule="auto"/>
        <w:ind w:firstLine="480"/>
        <w:jc w:val="both"/>
      </w:pPr>
      <w:r>
        <w:rPr>
          <w:rFonts w:ascii="Times New Roman" w:hAnsi="Times New Roman" w:eastAsia="宋体" w:cs="Times New Roman"/>
          <w:b/>
          <w:color w:val="000000"/>
          <w:sz w:val="24"/>
        </w:rPr>
        <w:t>rs734209466–IGFBP2/IGFBP5 调控链：variant-level B+ / T0 的高优先级调控候选。</w:t>
      </w:r>
      <w:r>
        <w:rPr>
          <w:rFonts w:ascii="Times New Roman" w:hAnsi="Times New Roman" w:eastAsia="宋体" w:cs="Times New Roman"/>
          <w:color w:val="000000"/>
          <w:sz w:val="24"/>
        </w:rPr>
        <w:br/>
      </w:r>
      <w:r>
        <w:rPr>
          <w:rFonts w:ascii="Times New Roman" w:hAnsi="Times New Roman" w:eastAsia="宋体" w:cs="Times New Roman"/>
          <w:color w:val="000000"/>
          <w:sz w:val="24"/>
        </w:rPr>
        <w:t>该调控链具有较完整的非编码调控机制证据，定位为 variant-level B+ / T0（Shen et al., 2024）。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spacing w:before="0" w:after="0" w:line="360" w:lineRule="auto"/>
        <w:ind w:firstLine="480"/>
        <w:jc w:val="both"/>
      </w:pPr>
      <w:r>
        <w:rPr>
          <w:rFonts w:ascii="Times New Roman" w:hAnsi="Times New Roman" w:eastAsia="宋体" w:cs="Times New Roman"/>
          <w:b/>
          <w:color w:val="000000"/>
          <w:sz w:val="24"/>
        </w:rPr>
        <w:t>PHIP 非编码变异：variant-level B / T0 的产蛋机制候选。</w:t>
      </w:r>
      <w:r>
        <w:rPr>
          <w:rFonts w:ascii="Times New Roman" w:hAnsi="Times New Roman" w:eastAsia="宋体" w:cs="Times New Roman"/>
          <w:color w:val="000000"/>
          <w:sz w:val="24"/>
        </w:rPr>
        <w:br/>
      </w:r>
      <w:r>
        <w:rPr>
          <w:rFonts w:ascii="Times New Roman" w:hAnsi="Times New Roman" w:eastAsia="宋体" w:cs="Times New Roman"/>
          <w:color w:val="000000"/>
          <w:sz w:val="24"/>
        </w:rPr>
        <w:t>PHIP 可以用于卵巢功能机制研究、目标群体验证和功能实验设计，但不宜写成产蛋数量标记（Wang D. et al., 2025）。PHIP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spacing w:before="0" w:after="0" w:line="360" w:lineRule="auto"/>
        <w:ind w:firstLine="480"/>
        <w:jc w:val="both"/>
      </w:pPr>
      <w:r>
        <w:rPr>
          <w:rFonts w:ascii="Times New Roman" w:hAnsi="Times New Roman" w:eastAsia="宋体" w:cs="Times New Roman"/>
          <w:color w:val="000000"/>
          <w:sz w:val="24"/>
        </w:rPr>
        <w:t xml:space="preserve">以上四个位点（SLCO1B3、IGF2BP1、IGFBP2/IGFBP5、PHIP）都属于 variant-level 评级，应用决策围绕变异本身展开。MHC-B 则代表另一种证据形态：单倍型层面证据强于单一变异。</w:t>
      </w:r>
    </w:p>
    <w:p>
      <w:pPr>
        <w:pStyle w:val="BodyText"/>
        <w:spacing w:before="0" w:after="0" w:line="360" w:lineRule="auto"/>
        <w:ind w:firstLine="480"/>
        <w:jc w:val="both"/>
      </w:pPr>
      <w:r>
        <w:rPr>
          <w:rFonts w:ascii="Times New Roman" w:hAnsi="Times New Roman" w:eastAsia="宋体" w:cs="Times New Roman"/>
          <w:b/>
          <w:color w:val="000000"/>
          <w:sz w:val="24"/>
        </w:rPr>
        <w:t>MHC-B 单倍型：haplotype/region-level B+ / T1 的特定疾病风险层。</w:t>
      </w:r>
      <w:r>
        <w:rPr>
          <w:rFonts w:ascii="Times New Roman" w:hAnsi="Times New Roman" w:eastAsia="宋体" w:cs="Times New Roman"/>
          <w:color w:val="000000"/>
          <w:sz w:val="24"/>
        </w:rPr>
        <w:br/>
      </w:r>
      <w:r>
        <w:rPr>
          <w:rFonts w:ascii="Times New Roman" w:hAnsi="Times New Roman" w:eastAsia="宋体" w:cs="Times New Roman"/>
          <w:color w:val="000000"/>
          <w:sz w:val="24"/>
        </w:rPr>
        <w:t>MHC-B 适合用于特定疾病背景下的风险评估和育种辅助决策，但不宜作为普适抗病标记（Briles and Briles, 1982；Kaufman et al., 1999）。haplotype-level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spacing w:before="0" w:after="0" w:line="360" w:lineRule="auto"/>
        <w:ind w:firstLine="480"/>
        <w:jc w:val="both"/>
      </w:pPr>
      <w:r>
        <w:rPr>
          <w:rFonts w:ascii="Times New Roman" w:hAnsi="Times New Roman" w:eastAsia="宋体" w:cs="Times New Roman"/>
          <w:color w:val="000000"/>
          <w:sz w:val="24"/>
        </w:rPr>
        <w:t xml:space="preserve">MHC-B 的复杂性来自单倍型的多基因构成。ANP32A 则展示另一种复杂性——同一位点在 gene/target-level 与 variant-level 之间给出截然不同的证据强度。</w:t>
      </w:r>
    </w:p>
    <w:p>
      <w:pPr>
        <w:pStyle w:val="BodyText"/>
        <w:spacing w:before="0" w:after="0" w:line="360" w:lineRule="auto"/>
        <w:ind w:firstLine="480"/>
        <w:jc w:val="both"/>
      </w:pPr>
      <w:r>
        <w:rPr>
          <w:rFonts w:ascii="Times New Roman" w:hAnsi="Times New Roman" w:eastAsia="宋体" w:cs="Times New Roman"/>
          <w:b/>
          <w:color w:val="000000"/>
          <w:sz w:val="24"/>
        </w:rPr>
        <w:t>ANP32A：gene/target-level A 与 variant-level B–C 并存的非对称证据。</w:t>
      </w:r>
      <w:r>
        <w:rPr>
          <w:rFonts w:ascii="Times New Roman" w:hAnsi="Times New Roman" w:eastAsia="宋体" w:cs="Times New Roman"/>
          <w:color w:val="000000"/>
          <w:sz w:val="24"/>
        </w:rPr>
        <w:br/>
      </w:r>
      <w:r>
        <w:rPr>
          <w:rFonts w:ascii="Times New Roman" w:hAnsi="Times New Roman" w:eastAsia="宋体" w:cs="Times New Roman"/>
          <w:color w:val="000000"/>
          <w:sz w:val="24"/>
        </w:rPr>
        <w:t>ANP32A 在禽流感宿主因子研究中具有强功能价值，可作为基因编辑抗病策略和病毒适配机制研究的核心靶点（Idoko-Akoh et al., 2023）；但不能被写成自然群体中已经可直接选择的抗病标记。其应用路线应从功能验证和生物安全评估出发，而不是从常规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spacing w:before="0" w:after="0" w:line="360" w:lineRule="auto"/>
        <w:ind w:firstLine="480"/>
        <w:jc w:val="both"/>
      </w:pPr>
      <w:r>
        <w:rPr>
          <w:rFonts w:ascii="Times New Roman" w:hAnsi="Times New Roman" w:eastAsia="宋体" w:cs="Times New Roman"/>
          <w:color w:val="000000"/>
          <w:sz w:val="24"/>
        </w:rPr>
        <w:t xml:space="preserve">本节六个位点对应五种典型证据组合：</w:t>
      </w:r>
      <w:r>
        <w:rPr>
          <w:rFonts w:ascii="Times New Roman" w:hAnsi="Times New Roman" w:eastAsia="宋体" w:cs="Times New Roman"/>
          <w:b/>
          <w:bCs/>
          <w:color w:val="000000"/>
          <w:sz w:val="24"/>
        </w:rPr>
        <w:t xml:space="preserve">variant-level A + T2</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的成熟应用（SLCO1B3）；</w:t>
      </w:r>
      <w:r>
        <w:rPr>
          <w:rFonts w:ascii="Times New Roman" w:hAnsi="Times New Roman" w:eastAsia="宋体" w:cs="Times New Roman"/>
          <w:b/>
          <w:bCs/>
          <w:color w:val="000000"/>
          <w:sz w:val="24"/>
        </w:rPr>
        <w:t xml:space="preserve">variant-level B+ + T0</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的验证优先对象（IGF2BP1 和 rs734209466–IGFBP2/IGFBP5，分别代表生长方向和脂肪沉积方向的不同应用决策）；</w:t>
      </w:r>
      <w:r>
        <w:rPr>
          <w:rFonts w:ascii="Times New Roman" w:hAnsi="Times New Roman" w:eastAsia="宋体" w:cs="Times New Roman"/>
          <w:b/>
          <w:bCs/>
          <w:color w:val="000000"/>
          <w:sz w:val="24"/>
        </w:rPr>
        <w:t xml:space="preserve">variant-level B + T0</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的机制候选（PHIP）；</w:t>
      </w:r>
      <w:r>
        <w:rPr>
          <w:rFonts w:ascii="Times New Roman" w:hAnsi="Times New Roman" w:eastAsia="宋体" w:cs="Times New Roman"/>
          <w:b/>
          <w:bCs/>
          <w:color w:val="000000"/>
          <w:sz w:val="24"/>
        </w:rPr>
        <w:t xml:space="preserve">haplotype-level B+ + T1</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的风险层管理（MHC-B）；以及</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gene/target-level A + variant-level B–C + T0–T1</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spacing w:before="0" w:after="0" w:line="360" w:lineRule="auto"/>
        <w:ind w:firstLine="480"/>
        <w:jc w:val="both"/>
      </w:pPr>
      <w:r>
        <w:rPr>
          <w:rFonts w:ascii="Times New Roman" w:hAnsi="Times New Roman" w:eastAsia="宋体" w:cs="Times New Roman"/>
          <w:color w:val="000000"/>
          <w:sz w:val="24"/>
        </w:rP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spacing w:before="0" w:after="0" w:line="360" w:lineRule="auto"/>
        <w:ind w:firstLine="480"/>
        <w:jc w:val="both"/>
      </w:pPr>
      <w:r>
        <w:rPr>
          <w:rFonts w:ascii="Times New Roman" w:hAnsi="Times New Roman" w:eastAsia="宋体" w:cs="Times New Roman"/>
          <w:color w:val="000000"/>
          <w:sz w:val="24"/>
        </w:rP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spacing w:before="240" w:after="120" w:line="312" w:lineRule="auto"/>
        <w:jc w:val="left"/>
      </w:pPr>
      <w:r>
        <w:rPr>
          <w:rFonts w:ascii="Times New Roman" w:hAnsi="Times New Roman" w:eastAsia="黑体" w:cs="Times New Roman"/>
          <w:b/>
          <w:color w:val="000000"/>
          <w:sz w:val="28"/>
        </w:rPr>
        <w:t xml:space="preserve">7 瓶颈、未来方向与结论</w:t>
      </w:r>
    </w:p>
    <w:p>
      <w:pPr>
        <w:pStyle w:val="BodyText"/>
        <w:spacing w:before="0" w:after="0" w:line="360" w:lineRule="auto"/>
        <w:ind w:firstLine="480"/>
        <w:jc w:val="both"/>
      </w:pPr>
      <w:r>
        <w:rPr>
          <w:rFonts w:ascii="Times New Roman" w:hAnsi="Times New Roman" w:eastAsia="宋体" w:cs="Times New Roman"/>
          <w:color w:val="000000"/>
          <w:sz w:val="24"/>
        </w:rPr>
        <w:t xml:space="preserve">本文的出发点是一个看似简单却常被混淆的区分：一个候选位点“有多强的证据”和“是否适合用于育种”，是两个不同问题。围绕这一区分，本文建立了证据轴（C/B/B+/A）与产业适用性轴（T0/T1/T2），并用它评估了家鸡四类性状的代表性位点。第 4 章得到的核心图景是：variant-level A 证据在家鸡中并不稀缺，却几乎全部落在主效可见表型上；真正承载产业价值的复杂经济性状，大多停留在 B/B+ 或 C/B。本章讨论这一格局背后的瓶颈、最可能改变它的方向，以及它对研究和育种实践的含义。</w:t>
      </w:r>
    </w:p>
    <w:p>
      <w:pPr>
        <w:pStyle w:val="Heading3"/>
        <w:spacing w:before="240" w:after="120" w:line="312" w:lineRule="auto"/>
        <w:jc w:val="left"/>
      </w:pPr>
      <w:r>
        <w:rPr>
          <w:rFonts w:ascii="Times New Roman" w:hAnsi="Times New Roman" w:eastAsia="黑体" w:cs="Times New Roman"/>
          <w:b/>
          <w:color w:val="000000"/>
          <w:sz w:val="28"/>
        </w:rPr>
        <w:t xml:space="preserve">7.1 证据格局背后的三类瓶颈</w:t>
      </w:r>
    </w:p>
    <w:p>
      <w:pPr>
        <w:pStyle w:val="BodyText"/>
        <w:spacing w:before="0" w:after="0" w:line="360" w:lineRule="auto"/>
        <w:ind w:firstLine="480"/>
        <w:jc w:val="both"/>
      </w:pPr>
      <w:r>
        <w:rPr>
          <w:rFonts w:ascii="Times New Roman" w:hAnsi="Times New Roman" w:eastAsia="宋体" w:cs="Times New Roman"/>
          <w:color w:val="000000"/>
          <w:sz w:val="24"/>
        </w:rPr>
        <w:t xml:space="preserve">家鸡复杂经济性状证据上限偏低，不是研究投入不足的简单结果，而是三类结构性瓶颈共同作用的产物。</w:t>
      </w:r>
    </w:p>
    <w:p>
      <w:pPr>
        <w:pStyle w:val="BodyText"/>
        <w:spacing w:before="0" w:after="0" w:line="360" w:lineRule="auto"/>
        <w:ind w:firstLine="480"/>
        <w:jc w:val="both"/>
      </w:pPr>
      <w:r>
        <w:rPr>
          <w:rFonts w:ascii="Times New Roman" w:hAnsi="Times New Roman" w:eastAsia="宋体" w:cs="Times New Roman"/>
          <w:color w:val="000000"/>
          <w:sz w:val="24"/>
        </w:rP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spacing w:before="0" w:after="0" w:line="360" w:lineRule="auto"/>
        <w:ind w:firstLine="480"/>
        <w:jc w:val="both"/>
      </w:pPr>
      <w:r>
        <w:rPr>
          <w:rFonts w:ascii="Times New Roman" w:hAnsi="Times New Roman" w:eastAsia="宋体" w:cs="Times New Roman"/>
          <w:color w:val="000000"/>
          <w:sz w:val="24"/>
        </w:rP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spacing w:before="0" w:after="0" w:line="360" w:lineRule="auto"/>
        <w:ind w:firstLine="480"/>
        <w:jc w:val="both"/>
      </w:pPr>
      <w:r>
        <w:rPr>
          <w:rFonts w:ascii="Times New Roman" w:hAnsi="Times New Roman" w:eastAsia="宋体" w:cs="Times New Roman"/>
          <w:color w:val="000000"/>
          <w:sz w:val="24"/>
        </w:rP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spacing w:before="240" w:after="120" w:line="312" w:lineRule="auto"/>
        <w:jc w:val="left"/>
      </w:pPr>
      <w:r>
        <w:rPr>
          <w:rFonts w:ascii="Times New Roman" w:hAnsi="Times New Roman" w:eastAsia="黑体" w:cs="Times New Roman"/>
          <w:b/>
          <w:color w:val="000000"/>
          <w:sz w:val="28"/>
        </w:rPr>
        <w:t xml:space="preserve">7.2 最可能改变证据分布的方向</w:t>
      </w:r>
    </w:p>
    <w:p>
      <w:pPr>
        <w:pStyle w:val="BodyText"/>
        <w:spacing w:before="0" w:after="0" w:line="360" w:lineRule="auto"/>
        <w:ind w:firstLine="480"/>
        <w:jc w:val="both"/>
      </w:pPr>
      <w:r>
        <w:rPr>
          <w:rFonts w:ascii="Times New Roman" w:hAnsi="Times New Roman" w:eastAsia="宋体" w:cs="Times New Roman"/>
          <w:color w:val="000000"/>
          <w:sz w:val="24"/>
        </w:rPr>
        <w:t xml:space="preserve">与上述瓶颈相对，未来若干进展有可能系统性地改变家鸡候选位点的证据分布。它们的共同特征是：改变的不是候选信号的数量，而是证据沿四个维度向上移动的能力。</w:t>
      </w:r>
    </w:p>
    <w:p>
      <w:pPr>
        <w:pStyle w:val="BodyText"/>
        <w:spacing w:before="0" w:after="0" w:line="360" w:lineRule="auto"/>
        <w:ind w:firstLine="480"/>
        <w:jc w:val="both"/>
      </w:pPr>
      <w:r>
        <w:rPr>
          <w:rFonts w:ascii="Times New Roman" w:hAnsi="Times New Roman" w:eastAsia="宋体" w:cs="Times New Roman"/>
          <w:color w:val="000000"/>
          <w:sz w:val="24"/>
        </w:rPr>
        <w:t xml:space="preserve">近期影响最直接的是泛基因组与结构变异图谱。第 2 章已指出，家鸡多个强效表型并非由最显著 SNP 解释，而是涉及结构变异、拷贝数变化或参考基因组之外的非参考序列（Rice et al., 2023）。随着长读长测序和图泛基因组的普及，系统性识别结构变异将使大批停留在 region-level 或 gene-level 的信号有机会推进到 variant-level，这是变异明确度维度最可能取得整体进展的方向。</w:t>
      </w:r>
    </w:p>
    <w:p>
      <w:pPr>
        <w:pStyle w:val="BodyText"/>
        <w:spacing w:before="0" w:after="0" w:line="360" w:lineRule="auto"/>
        <w:ind w:firstLine="480"/>
        <w:jc w:val="both"/>
      </w:pPr>
      <w:r>
        <w:rPr>
          <w:rFonts w:ascii="Times New Roman" w:hAnsi="Times New Roman" w:eastAsia="宋体" w:cs="Times New Roman"/>
          <w:color w:val="000000"/>
          <w:sz w:val="24"/>
        </w:rPr>
        <w:t xml:space="preserve">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w:t>
      </w:r>
    </w:p>
    <w:p>
      <w:pPr>
        <w:pStyle w:val="BodyText"/>
        <w:spacing w:before="0" w:after="0" w:line="360" w:lineRule="auto"/>
        <w:ind w:firstLine="480"/>
        <w:jc w:val="both"/>
      </w:pPr>
      <w:r>
        <w:rPr>
          <w:rFonts w:ascii="Times New Roman" w:hAnsi="Times New Roman" w:eastAsia="宋体" w:cs="Times New Roman"/>
          <w:color w:val="000000"/>
          <w:sz w:val="24"/>
        </w:rP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spacing w:before="0" w:after="0" w:line="360" w:lineRule="auto"/>
        <w:ind w:firstLine="480"/>
        <w:jc w:val="both"/>
      </w:pPr>
      <w:r>
        <w:rPr>
          <w:rFonts w:ascii="Times New Roman" w:hAnsi="Times New Roman" w:eastAsia="宋体" w:cs="Times New Roman"/>
          <w:color w:val="000000"/>
          <w:sz w:val="24"/>
        </w:rP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spacing w:before="240" w:after="120" w:line="312" w:lineRule="auto"/>
        <w:jc w:val="left"/>
      </w:pPr>
      <w:r>
        <w:rPr>
          <w:rFonts w:ascii="Times New Roman" w:hAnsi="Times New Roman" w:eastAsia="黑体" w:cs="Times New Roman"/>
          <w:b/>
          <w:color w:val="000000"/>
          <w:sz w:val="28"/>
        </w:rPr>
        <w:t xml:space="preserve">7.3 结论</w:t>
      </w:r>
    </w:p>
    <w:p>
      <w:pPr>
        <w:pStyle w:val="BodyText"/>
        <w:spacing w:before="0" w:after="0" w:line="360" w:lineRule="auto"/>
        <w:ind w:firstLine="480"/>
        <w:jc w:val="both"/>
      </w:pPr>
      <w:r>
        <w:rPr>
          <w:rFonts w:ascii="Times New Roman" w:hAnsi="Times New Roman" w:eastAsia="宋体" w:cs="Times New Roman"/>
          <w:color w:val="000000"/>
          <w:sz w:val="24"/>
        </w:rP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spacing w:before="0" w:after="0" w:line="360" w:lineRule="auto"/>
        <w:ind w:firstLine="480"/>
        <w:jc w:val="both"/>
      </w:pPr>
      <w:r>
        <w:rPr>
          <w:rFonts w:ascii="Times New Roman" w:hAnsi="Times New Roman" w:eastAsia="宋体" w:cs="Times New Roman"/>
          <w:color w:val="000000"/>
          <w:sz w:val="24"/>
        </w:rP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spacing w:before="0" w:after="0" w:line="360" w:lineRule="auto"/>
        <w:ind w:firstLine="480"/>
        <w:jc w:val="both"/>
      </w:pPr>
      <w:r>
        <w:rPr>
          <w:rFonts w:ascii="Times New Roman" w:hAnsi="Times New Roman" w:eastAsia="宋体" w:cs="Times New Roman"/>
          <w:color w:val="000000"/>
          <w:sz w:val="24"/>
        </w:rP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spacing w:before="240" w:after="120" w:line="312" w:lineRule="auto"/>
        <w:jc w:val="center"/>
      </w:pPr>
      <w:r>
        <w:rPr>
          <w:rFonts w:ascii="Times New Roman" w:hAnsi="Times New Roman" w:eastAsia="黑体" w:cs="Times New Roman"/>
          <w:b/>
          <w:color w:val="000000"/>
          <w:sz w:val="28"/>
        </w:rPr>
        <w:t>参考文献</w:t>
      </w:r>
    </w:p>
    <w:p>
      <w:pPr>
        <w:pStyle w:val="Heading2"/>
        <w:spacing w:before="240" w:after="120" w:line="312" w:lineRule="auto"/>
        <w:jc w:val="left"/>
      </w:pPr>
      <w:r>
        <w:rPr>
          <w:rFonts w:ascii="Times New Roman" w:hAnsi="Times New Roman" w:eastAsia="黑体" w:cs="Times New Roman"/>
          <w:b/>
          <w:color w:val="000000"/>
          <w:sz w:val="28"/>
        </w:rPr>
        <w:t>Animal QTLdb. Chicken QTLdb summary data by year and release. Release 58 (Dec. 29, 2025). https://www.animalgenome.org/cgi-bin/QTLdb/GG/summary?statu=&amp;summ=year. Accessed May 31, 2026.</w:t>
      </w:r>
    </w:p>
    <w:p>
      <w:pPr>
        <w:pStyle w:val="Heading2"/>
        <w:spacing w:before="240" w:after="120" w:line="312" w:lineRule="auto"/>
        <w:jc w:val="left"/>
      </w:pPr>
      <w:r>
        <w:rPr>
          <w:rFonts w:ascii="Times New Roman" w:hAnsi="Times New Roman" w:eastAsia="黑体" w:cs="Times New Roman"/>
          <w:b/>
          <w:color w:val="000000"/>
          <w:sz w:val="28"/>
        </w:rPr>
        <w:t>Briles, W. E., and Briles, R. W. 1982. Identification of haplotypes of the chicken major histocompatibility complex (B). Immunogenetics 15:449-459. https://doi.org/10.1007/BF00345904.</w:t>
      </w:r>
    </w:p>
    <w:p>
      <w:pPr>
        <w:pStyle w:val="Heading2"/>
        <w:spacing w:before="240" w:after="120" w:line="312" w:lineRule="auto"/>
        <w:jc w:val="left"/>
      </w:pPr>
      <w:r>
        <w:rPr>
          <w:rFonts w:ascii="Times New Roman" w:hAnsi="Times New Roman" w:eastAsia="黑体" w:cs="Times New Roman"/>
          <w:b/>
          <w:color w:val="000000"/>
          <w:sz w:val="28"/>
        </w:rPr>
        <w:t>Calenge, F., Kaiser, P., Vignal, A., and Beaumont, C. 2010. Genetic control of resistance to salmonellosis and to Salmonella carrier-state in fowl: a review. Genetics Selection Evolution 42:11. https://doi.org/10.1186/1297-9686-42-11.</w:t>
      </w:r>
    </w:p>
    <w:p>
      <w:pPr>
        <w:pStyle w:val="Heading2"/>
        <w:spacing w:before="240" w:after="120" w:line="312" w:lineRule="auto"/>
        <w:jc w:val="left"/>
      </w:pPr>
      <w:r>
        <w:rPr>
          <w:rFonts w:ascii="Times New Roman" w:hAnsi="Times New Roman" w:eastAsia="黑体" w:cs="Times New Roman"/>
          <w:b/>
          <w:color w:val="000000"/>
          <w:sz w:val="28"/>
        </w:rPr>
        <w:t>Dorshorst, B., Molin, A.-M., Rubin, C.-J., et al. 2011. A complex genomic rearrangement involving the endothelin 3 locus causes dermal hyperpigmentation in the chicken. PLoS Genetics 7:e1002412. https://doi.org/10.1371/journal.pgen.1002412.</w:t>
      </w:r>
    </w:p>
    <w:p>
      <w:pPr>
        <w:pStyle w:val="Heading2"/>
        <w:spacing w:before="240" w:after="120" w:line="312" w:lineRule="auto"/>
        <w:jc w:val="left"/>
      </w:pPr>
      <w:r>
        <w:rPr>
          <w:rFonts w:ascii="Times New Roman" w:hAnsi="Times New Roman" w:eastAsia="黑体" w:cs="Times New Roman"/>
          <w:b/>
          <w:color w:val="000000"/>
          <w:sz w:val="28"/>
        </w:rPr>
        <w:t>Elferink, M. G., Vallee, A. A., Jungerius, A. P., Crooijmans, R. P. M. A., and Groenen, M. A. M. 2008. Partial duplication of the PRLR and SPEF2 genes at the late feathering locus in chicken. BMC Genomics 9:391. https://doi.org/10.1186/1471-2164-9-391.</w:t>
      </w:r>
    </w:p>
    <w:p>
      <w:pPr>
        <w:pStyle w:val="Heading2"/>
        <w:spacing w:before="240" w:after="120" w:line="312" w:lineRule="auto"/>
        <w:jc w:val="left"/>
      </w:pPr>
      <w:r>
        <w:rPr>
          <w:rFonts w:ascii="Times New Roman" w:hAnsi="Times New Roman" w:eastAsia="黑体" w:cs="Times New Roman"/>
          <w:b/>
          <w:color w:val="000000"/>
          <w:sz w:val="28"/>
        </w:rPr>
        <w:t>Eriksson, J., Larson, G., Gunnarsson, U., et al. 2008. Identification of the yellow skin gene reveals a hybrid origin of the domestic chicken. PLoS Genetics 4:e1000010. https://doi.org/10.1371/journal.pgen.1000010.</w:t>
      </w:r>
    </w:p>
    <w:p>
      <w:pPr>
        <w:pStyle w:val="Heading2"/>
        <w:spacing w:before="240" w:after="120" w:line="312" w:lineRule="auto"/>
        <w:jc w:val="left"/>
      </w:pPr>
      <w:r>
        <w:rPr>
          <w:rFonts w:ascii="Times New Roman" w:hAnsi="Times New Roman" w:eastAsia="黑体" w:cs="Times New Roman"/>
          <w:b/>
          <w:color w:val="000000"/>
          <w:sz w:val="28"/>
        </w:rPr>
        <w:t>Fleiss, J. L. 1971. Measuring nominal scale agreement among many raters. Psychological Bulletin 76:378-382. https://doi.org/10.1037/h0031619.</w:t>
      </w:r>
    </w:p>
    <w:p>
      <w:pPr>
        <w:pStyle w:val="Heading2"/>
        <w:spacing w:before="240" w:after="120" w:line="312" w:lineRule="auto"/>
        <w:jc w:val="left"/>
      </w:pPr>
      <w:r>
        <w:rPr>
          <w:rFonts w:ascii="Times New Roman" w:hAnsi="Times New Roman" w:eastAsia="黑体" w:cs="Times New Roman"/>
          <w:b/>
          <w:color w:val="000000"/>
          <w:sz w:val="28"/>
        </w:rPr>
        <w:t>Fu, Y., Wu, C., Shen, M., Pan, J., Zhang, H., Sun, L., Liang, S., and Huang, X. 2023. Genome-wide association study of egg production traits in Shuanglian chickens using whole genome sequencing. Genes 14:2129. https://doi.org/10.3390/genes14122129.</w:t>
      </w:r>
    </w:p>
    <w:p>
      <w:pPr>
        <w:pStyle w:val="Heading2"/>
        <w:spacing w:before="240" w:after="120" w:line="312" w:lineRule="auto"/>
        <w:jc w:val="left"/>
      </w:pPr>
      <w:r>
        <w:rPr>
          <w:rFonts w:ascii="Times New Roman" w:hAnsi="Times New Roman" w:eastAsia="黑体" w:cs="Times New Roman"/>
          <w:b/>
          <w:color w:val="000000"/>
          <w:sz w:val="28"/>
        </w:rPr>
        <w:t>Gao, Y., Xu, G., Zeng, T., Tian, Y., Wu, P., Liu, Y., Zhao, Y., and Zhou, S. 2022. Genome-wide association study of egg-laying traits and egg quality in LingKun chickens. Frontiers in Veterinary Science 9:877739. https://doi.org/10.3389/fvets.2022.877739.</w:t>
      </w:r>
    </w:p>
    <w:p>
      <w:pPr>
        <w:pStyle w:val="Heading2"/>
        <w:spacing w:before="240" w:after="120" w:line="312" w:lineRule="auto"/>
        <w:jc w:val="left"/>
      </w:pPr>
      <w:r>
        <w:rPr>
          <w:rFonts w:ascii="Times New Roman" w:hAnsi="Times New Roman" w:eastAsia="黑体" w:cs="Times New Roman"/>
          <w:b/>
          <w:color w:val="000000"/>
          <w:sz w:val="28"/>
        </w:rPr>
        <w:t>Giambartolomei, C., Vukcevic, D., Schadt, E. E., et al. 2014. Bayesian test for colocalisation between pairs of genetic association studies using summary statistics. PLoS Genetics 10:e1004383. https://doi.org/10.1371/journal.pgen.1004383.</w:t>
      </w:r>
    </w:p>
    <w:p>
      <w:pPr>
        <w:pStyle w:val="Heading2"/>
        <w:spacing w:before="240" w:after="120" w:line="312" w:lineRule="auto"/>
        <w:jc w:val="left"/>
      </w:pPr>
      <w:r>
        <w:rPr>
          <w:rFonts w:ascii="Times New Roman" w:hAnsi="Times New Roman" w:eastAsia="黑体" w:cs="Times New Roman"/>
          <w:b/>
          <w:color w:val="000000"/>
          <w:sz w:val="28"/>
        </w:rPr>
        <w:t>Guyatt, G. H., Oxman, A. D., Vist, G. E., et al. 2008. GRADE: an emerging consensus on rating quality of evidence and strength of recommendations. BMJ 336:924-926. https://doi.org/10.1136/bmj.39489.470347.AD.</w:t>
      </w:r>
    </w:p>
    <w:p>
      <w:pPr>
        <w:pStyle w:val="Heading2"/>
        <w:spacing w:before="240" w:after="120" w:line="312" w:lineRule="auto"/>
        <w:jc w:val="left"/>
      </w:pPr>
      <w:r>
        <w:rPr>
          <w:rFonts w:ascii="Times New Roman" w:hAnsi="Times New Roman" w:eastAsia="黑体" w:cs="Times New Roman"/>
          <w:b/>
          <w:color w:val="000000"/>
          <w:sz w:val="28"/>
        </w:rPr>
        <w:t>Habimana, R., Ngeno, K., Okeno, T. O., Hirwa, C. d. A., Keambou Tiambo, C., and Yao, N. 2021. Genome-wide association study of growth performance and immune response to Newcastle disease virus of indigenous chicken in Rwanda. Frontiers in Genetics 12:723980. https://doi.org/10.3389/fgene.2021.723980.</w:t>
      </w:r>
    </w:p>
    <w:p>
      <w:pPr>
        <w:pStyle w:val="Heading2"/>
        <w:spacing w:before="240" w:after="120" w:line="312" w:lineRule="auto"/>
        <w:jc w:val="left"/>
      </w:pPr>
      <w:r>
        <w:rPr>
          <w:rFonts w:ascii="Times New Roman" w:hAnsi="Times New Roman" w:eastAsia="黑体" w:cs="Times New Roman"/>
          <w:b/>
          <w:color w:val="000000"/>
          <w:sz w:val="28"/>
        </w:rPr>
        <w:t>Hormozdiari, F., van de Bunt, M., Segre, A. V., et al. 2016. Colocalization of GWAS and eQTL signals detects target genes. American Journal of Human Genetics 99:1245-1260. https://doi.org/10.1016/j.ajhg.2016.10.003.</w:t>
      </w:r>
    </w:p>
    <w:p>
      <w:pPr>
        <w:pStyle w:val="Heading2"/>
        <w:spacing w:before="240" w:after="120" w:line="312" w:lineRule="auto"/>
        <w:jc w:val="left"/>
      </w:pPr>
      <w:r>
        <w:rPr>
          <w:rFonts w:ascii="Times New Roman" w:hAnsi="Times New Roman" w:eastAsia="黑体" w:cs="Times New Roman"/>
          <w:b/>
          <w:color w:val="000000"/>
          <w:sz w:val="28"/>
        </w:rPr>
        <w:t>Hu, Z.-L., Park, C. A., and Reecy, J. M. 2016. Developmental progress and current status of the Animal QTLdb. Nucleic Acids Research 44:D827-D833. https://doi.org/10.1093/nar/gkv1233.</w:t>
      </w:r>
    </w:p>
    <w:p>
      <w:pPr>
        <w:pStyle w:val="Heading2"/>
        <w:spacing w:before="240" w:after="120" w:line="312" w:lineRule="auto"/>
        <w:jc w:val="left"/>
      </w:pPr>
      <w:r>
        <w:rPr>
          <w:rFonts w:ascii="Times New Roman" w:hAnsi="Times New Roman" w:eastAsia="黑体" w:cs="Times New Roman"/>
          <w:b/>
          <w:color w:val="000000"/>
          <w:sz w:val="28"/>
        </w:rPr>
        <w:t>Idoko-Akoh, A., Goldhill, D. H., Sheppard, C. M., et al. 2023. Creating resistance to avian influenza infection through genome editing of the ANP32 gene family. Nature Communications 14:6136. https://doi.org/10.1038/s41467-023-41476-3.</w:t>
      </w:r>
    </w:p>
    <w:p>
      <w:pPr>
        <w:pStyle w:val="Heading2"/>
        <w:spacing w:before="240" w:after="120" w:line="312" w:lineRule="auto"/>
        <w:jc w:val="left"/>
      </w:pPr>
      <w:r>
        <w:rPr>
          <w:rFonts w:ascii="Times New Roman" w:hAnsi="Times New Roman" w:eastAsia="黑体" w:cs="Times New Roman"/>
          <w:b/>
          <w:color w:val="000000"/>
          <w:sz w:val="28"/>
        </w:rPr>
        <w:t>Imsland, F., Feng, C., Boije, H., et al. 2012. The Rose-comb mutation in chickens constitutes a structural rearrangement causing both altered comb morphology and defective sperm motility. PLoS Genetics 8:e1002775. https://doi.org/10.1371/journal.pgen.1002775.</w:t>
      </w:r>
    </w:p>
    <w:p>
      <w:pPr>
        <w:pStyle w:val="Heading2"/>
        <w:spacing w:before="240" w:after="120" w:line="312" w:lineRule="auto"/>
        <w:jc w:val="left"/>
      </w:pPr>
      <w:r>
        <w:rPr>
          <w:rFonts w:ascii="Times New Roman" w:hAnsi="Times New Roman" w:eastAsia="黑体" w:cs="Times New Roman"/>
          <w:b/>
          <w:color w:val="000000"/>
          <w:sz w:val="28"/>
        </w:rPr>
        <w:t>Inoue, F., and Ahituv, N. 2015. Decoding enhancers using massively parallel reporter assays. Genomics 106:159-164. https://doi.org/10.1016/j.ygeno.2015.06.005.</w:t>
      </w:r>
    </w:p>
    <w:p>
      <w:pPr>
        <w:pStyle w:val="Heading2"/>
        <w:spacing w:before="240" w:after="120" w:line="312" w:lineRule="auto"/>
        <w:jc w:val="left"/>
      </w:pPr>
      <w:r>
        <w:rPr>
          <w:rFonts w:ascii="Times New Roman" w:hAnsi="Times New Roman" w:eastAsia="黑体" w:cs="Times New Roman"/>
          <w:b/>
          <w:color w:val="000000"/>
          <w:sz w:val="28"/>
        </w:rPr>
        <w:t>Kambadur, R., Sharma, M., Smith, T. P. L., and Bass, J. J. 1997. Mutations in myostatin (GDF8) in double-muscled Belgian Blue and Piedmontese cattle. Genome Research 7:910-916. https://doi.org/10.1101/gr.7.9.910.</w:t>
      </w:r>
    </w:p>
    <w:p>
      <w:pPr>
        <w:pStyle w:val="Heading2"/>
        <w:spacing w:before="240" w:after="120" w:line="312" w:lineRule="auto"/>
        <w:jc w:val="left"/>
      </w:pPr>
      <w:r>
        <w:rPr>
          <w:rFonts w:ascii="Times New Roman" w:hAnsi="Times New Roman" w:eastAsia="黑体" w:cs="Times New Roman"/>
          <w:b/>
          <w:color w:val="000000"/>
          <w:sz w:val="28"/>
        </w:rPr>
        <w:t>Kampmann, M. 2018. CRISPRi and CRISPRa screens in mammalian cells for precision biology and medicine. ACS Chemical Biology 13:406-416. https://doi.org/10.1021/acschembio.7b00657.</w:t>
      </w:r>
    </w:p>
    <w:p>
      <w:pPr>
        <w:pStyle w:val="Heading2"/>
        <w:spacing w:before="240" w:after="120" w:line="312" w:lineRule="auto"/>
        <w:jc w:val="left"/>
      </w:pPr>
      <w:r>
        <w:rPr>
          <w:rFonts w:ascii="Times New Roman" w:hAnsi="Times New Roman" w:eastAsia="黑体" w:cs="Times New Roman"/>
          <w:b/>
          <w:color w:val="000000"/>
          <w:sz w:val="28"/>
        </w:rPr>
        <w:t>Kang, X., Lu, Y., Zhang, H., et al. 2024. Genome-wide association study identifies a novel candidate gene for egg production traits in chickens. Animal Genetics 55:480-483. https://doi.org/10.1111/age.13427.</w:t>
      </w:r>
    </w:p>
    <w:p>
      <w:pPr>
        <w:pStyle w:val="Heading2"/>
        <w:spacing w:before="240" w:after="120" w:line="312" w:lineRule="auto"/>
        <w:jc w:val="left"/>
      </w:pPr>
      <w:r>
        <w:rPr>
          <w:rFonts w:ascii="Times New Roman" w:hAnsi="Times New Roman" w:eastAsia="黑体" w:cs="Times New Roman"/>
          <w:b/>
          <w:color w:val="000000"/>
          <w:sz w:val="28"/>
        </w:rPr>
        <w:t>Kaufman, J., Milne, S., Göbel, T. W. F., et al. 1999. The chicken B locus is a minimal essential major histocompatibility complex. Nature 401:923-925. https://doi.org/10.1038/44856.</w:t>
      </w:r>
    </w:p>
    <w:p>
      <w:pPr>
        <w:pStyle w:val="Heading2"/>
        <w:spacing w:before="240" w:after="120" w:line="312" w:lineRule="auto"/>
        <w:jc w:val="left"/>
      </w:pPr>
      <w:r>
        <w:rPr>
          <w:rFonts w:ascii="Times New Roman" w:hAnsi="Times New Roman" w:eastAsia="黑体" w:cs="Times New Roman"/>
          <w:b/>
          <w:color w:val="000000"/>
          <w:sz w:val="28"/>
        </w:rPr>
        <w:t>Kerje, S., Lind, J., Schütz, K., Jensen, P., and Andersson, L. 2003. Melanocortin 1-receptor (MC1R) mutations are associated with plumage colour in chicken. Animal Genetics 34:241-248. https://doi.org/10.1046/j.1365-2052.2003.00991.x.</w:t>
      </w:r>
    </w:p>
    <w:p>
      <w:pPr>
        <w:pStyle w:val="Heading2"/>
        <w:spacing w:before="240" w:after="120" w:line="312" w:lineRule="auto"/>
        <w:jc w:val="left"/>
      </w:pPr>
      <w:r>
        <w:rPr>
          <w:rFonts w:ascii="Times New Roman" w:hAnsi="Times New Roman" w:eastAsia="黑体" w:cs="Times New Roman"/>
          <w:b/>
          <w:color w:val="000000"/>
          <w:sz w:val="28"/>
        </w:rPr>
        <w:t>Kerje, S., Sharma, P., Gunnarsson, U., et al. 2004. The Dominant white, Dun and Smoky color variants in chicken are associated with insertion/deletion polymorphisms in the PMEL17 gene. Genetics 168:1507-1518. https://doi.org/10.1534/genetics.104.027995.</w:t>
      </w:r>
    </w:p>
    <w:p>
      <w:pPr>
        <w:pStyle w:val="Heading2"/>
        <w:spacing w:before="240" w:after="120" w:line="312" w:lineRule="auto"/>
        <w:jc w:val="left"/>
      </w:pPr>
      <w:r>
        <w:rPr>
          <w:rFonts w:ascii="Times New Roman" w:hAnsi="Times New Roman" w:eastAsia="黑体" w:cs="Times New Roman"/>
          <w:b/>
          <w:color w:val="000000"/>
          <w:sz w:val="28"/>
        </w:rPr>
        <w:t>Kim, D. K., Hong, Y. H., Lillehoj, H. S., and Lee, S. H. 2010. Genetic effects analysis of myeloid leukemia factor 2 and T cell receptor-β on resistance to coccidiosis in chickens. Poultry Science 89:20-27. https://doi.org/10.3382/ps.2009-00351.</w:t>
      </w:r>
    </w:p>
    <w:p>
      <w:pPr>
        <w:pStyle w:val="Heading2"/>
        <w:spacing w:before="240" w:after="120" w:line="312" w:lineRule="auto"/>
        <w:jc w:val="left"/>
      </w:pPr>
      <w:r>
        <w:rPr>
          <w:rFonts w:ascii="Times New Roman" w:hAnsi="Times New Roman" w:eastAsia="黑体" w:cs="Times New Roman"/>
          <w:b/>
          <w:color w:val="000000"/>
          <w:sz w:val="28"/>
        </w:rPr>
        <w:t>Lee, H. J., Lee, K. Y., Jung, K. M., et al. 2017. Precise gene editing of chicken Na+/H+ exchange type 1 (chNHE1) confers resistance to avian leukosis virus subgroup J (ALV-J). Developmental and Comparative Immunology 77:340-349. https://doi.org/10.1016/j.dci.2017.09.006.</w:t>
      </w:r>
    </w:p>
    <w:p>
      <w:pPr>
        <w:pStyle w:val="Heading2"/>
        <w:spacing w:before="240" w:after="120" w:line="312" w:lineRule="auto"/>
        <w:jc w:val="left"/>
      </w:pPr>
      <w:r>
        <w:rPr>
          <w:rFonts w:ascii="Times New Roman" w:hAnsi="Times New Roman" w:eastAsia="黑体" w:cs="Times New Roman"/>
          <w:b/>
          <w:color w:val="000000"/>
          <w:sz w:val="28"/>
        </w:rPr>
        <w:t>Li, D., Chen, G., Zhang, X., et al. 2018. Naturally occurring frameshift mutations in the tvb receptor gene are responsible for decreased susceptibility of chicken to infection with avian leukosis virus subgroups B, D, and E. Journal of Virology 92:e01770-17. https://doi.org/10.1128/JVI.01770-17.</w:t>
      </w:r>
    </w:p>
    <w:p>
      <w:pPr>
        <w:pStyle w:val="Heading2"/>
        <w:spacing w:before="240" w:after="120" w:line="312" w:lineRule="auto"/>
        <w:jc w:val="left"/>
      </w:pPr>
      <w:r>
        <w:rPr>
          <w:rFonts w:ascii="Times New Roman" w:hAnsi="Times New Roman" w:eastAsia="黑体" w:cs="Times New Roman"/>
          <w:b/>
          <w:color w:val="000000"/>
          <w:sz w:val="28"/>
        </w:rPr>
        <w:t>Li, G., Chen, S., Duan, Z., Qu, L., Xu, G., and Yang, N. 2013. Comparison of protoporphyrin IX content and related gene expression in the tissues of chickens laying brown-shelled eggs. Poultry Science 92:3120-3124. https://doi.org/10.3382/ps.2013-03484.</w:t>
      </w:r>
    </w:p>
    <w:p>
      <w:pPr>
        <w:pStyle w:val="Heading2"/>
        <w:spacing w:before="240" w:after="120" w:line="312" w:lineRule="auto"/>
        <w:jc w:val="left"/>
      </w:pPr>
      <w:r>
        <w:rPr>
          <w:rFonts w:ascii="Times New Roman" w:hAnsi="Times New Roman" w:eastAsia="黑体" w:cs="Times New Roman"/>
          <w:b/>
          <w:color w:val="000000"/>
          <w:sz w:val="28"/>
        </w:rPr>
        <w:t>Li, J., Lee, M. O., Davis, B. W., et al. 2020. Mutations upstream of the TBX5 and PITX1 transcription factor genes are associated with feathered legs in the domestic chicken. Molecular Biology and Evolution 37:2477-2486. https://doi.org/10.1093/molbev/msaa093.</w:t>
      </w:r>
    </w:p>
    <w:p>
      <w:pPr>
        <w:pStyle w:val="Heading2"/>
        <w:spacing w:before="240" w:after="120" w:line="312" w:lineRule="auto"/>
        <w:jc w:val="left"/>
      </w:pPr>
      <w:r>
        <w:rPr>
          <w:rFonts w:ascii="Times New Roman" w:hAnsi="Times New Roman" w:eastAsia="黑体" w:cs="Times New Roman"/>
          <w:b/>
          <w:color w:val="000000"/>
          <w:sz w:val="28"/>
        </w:rPr>
        <w:t>Liu, W., Kaiser, M. G., and Lamont, S. J. 2003. Natural resistance-associated macrophage protein 1 gene polymorphisms and response to vaccine against or challenge with Salmonella enteritidis in young chicks. Poultry Science 82:259-266. https://doi.org/10.1093/ps/82.2.259.</w:t>
      </w:r>
    </w:p>
    <w:p>
      <w:pPr>
        <w:pStyle w:val="Heading2"/>
        <w:spacing w:before="240" w:after="120" w:line="312" w:lineRule="auto"/>
        <w:jc w:val="left"/>
      </w:pPr>
      <w:r>
        <w:rPr>
          <w:rFonts w:ascii="Times New Roman" w:hAnsi="Times New Roman" w:eastAsia="黑体" w:cs="Times New Roman"/>
          <w:b/>
          <w:color w:val="000000"/>
          <w:sz w:val="28"/>
        </w:rPr>
        <w:t>Liu, R., Luo, C., Wang, Z., et al. 2017. Assessment of the genomic prediction accuracy for feed efficiency traits in meat-type chickens. PLoS ONE 12:e0173620. https://doi.org/10.1371/journal.pone.0173620.</w:t>
      </w:r>
    </w:p>
    <w:p>
      <w:pPr>
        <w:pStyle w:val="Heading2"/>
        <w:spacing w:before="240" w:after="120" w:line="312" w:lineRule="auto"/>
        <w:jc w:val="left"/>
      </w:pPr>
      <w:r>
        <w:rPr>
          <w:rFonts w:ascii="Times New Roman" w:hAnsi="Times New Roman" w:eastAsia="黑体" w:cs="Times New Roman"/>
          <w:b/>
          <w:color w:val="000000"/>
          <w:sz w:val="28"/>
        </w:rPr>
        <w:t>Luo, C., Qu, H., Ma, J., et al. 2013. Genome-wide association study of antibody response to Newcastle disease virus in chicken. BMC Genetics 14:42. https://doi.org/10.1186/1471-2156-14-42.</w:t>
      </w:r>
    </w:p>
    <w:p>
      <w:pPr>
        <w:pStyle w:val="Heading2"/>
        <w:spacing w:before="240" w:after="120" w:line="312" w:lineRule="auto"/>
        <w:jc w:val="left"/>
      </w:pPr>
      <w:r>
        <w:rPr>
          <w:rFonts w:ascii="Times New Roman" w:hAnsi="Times New Roman" w:eastAsia="黑体" w:cs="Times New Roman"/>
          <w:b/>
          <w:color w:val="000000"/>
          <w:sz w:val="28"/>
        </w:rPr>
        <w:t>Luo, C., Qu, H., Ma, J., et al. 2014. A genome-wide association study identifies major loci affecting the immune response against infectious bronchitis virus in chicken. Infection, Genetics and Evolution 21:351-358. https://doi.org/10.1016/j.meegid.2013.12.004.</w:t>
      </w:r>
    </w:p>
    <w:p>
      <w:pPr>
        <w:pStyle w:val="Heading2"/>
        <w:spacing w:before="240" w:after="120" w:line="312" w:lineRule="auto"/>
        <w:jc w:val="left"/>
      </w:pPr>
      <w:r>
        <w:rPr>
          <w:rFonts w:ascii="Times New Roman" w:hAnsi="Times New Roman" w:eastAsia="黑体" w:cs="Times New Roman"/>
          <w:b/>
          <w:color w:val="000000"/>
          <w:sz w:val="28"/>
        </w:rPr>
        <w:t>MacLeod, I. M., Bowman, P. J., Vander Jagt, C. J., et al. 2016. Exploiting biological priors and sequence variants enhances QTL discovery and genomic prediction of complex traits. BMC Genomics 17:144. https://doi.org/10.1186/s12864-016-2443-6.</w:t>
      </w:r>
    </w:p>
    <w:p>
      <w:pPr>
        <w:pStyle w:val="Heading2"/>
        <w:spacing w:before="240" w:after="120" w:line="312" w:lineRule="auto"/>
        <w:jc w:val="left"/>
      </w:pPr>
      <w:r>
        <w:rPr>
          <w:rFonts w:ascii="Times New Roman" w:hAnsi="Times New Roman" w:eastAsia="黑体" w:cs="Times New Roman"/>
          <w:b/>
          <w:color w:val="000000"/>
          <w:sz w:val="28"/>
        </w:rPr>
        <w:t>McHugh, M. L. 2012. Interrater reliability: the kappa statistic. Biochemia Medica 22:276-282. https://doi.org/10.11613/BM.2012.031.</w:t>
      </w:r>
    </w:p>
    <w:p>
      <w:pPr>
        <w:pStyle w:val="Heading2"/>
        <w:spacing w:before="240" w:after="120" w:line="312" w:lineRule="auto"/>
        <w:jc w:val="left"/>
      </w:pPr>
      <w:r>
        <w:rPr>
          <w:rFonts w:ascii="Times New Roman" w:hAnsi="Times New Roman" w:eastAsia="黑体" w:cs="Times New Roman"/>
          <w:b/>
          <w:color w:val="000000"/>
          <w:sz w:val="28"/>
        </w:rPr>
        <w:t>Mebratie, W., Madsen, P., Hawken, R., Romé, H., Marois, D., Henshall, J., Bovenhuis, H., and Jensen, J. 2019. Genetic parameters for body weight and different definitions of residual feed intake in broiler chickens. Genetics Selection Evolution 51:53. https://doi.org/10.1186/s12711-019-0494-2.</w:t>
      </w:r>
    </w:p>
    <w:p>
      <w:pPr>
        <w:pStyle w:val="Heading2"/>
        <w:spacing w:before="240" w:after="120" w:line="312" w:lineRule="auto"/>
        <w:jc w:val="left"/>
      </w:pPr>
      <w:r>
        <w:rPr>
          <w:rFonts w:ascii="Times New Roman" w:hAnsi="Times New Roman" w:eastAsia="黑体" w:cs="Times New Roman"/>
          <w:b/>
          <w:color w:val="000000"/>
          <w:sz w:val="28"/>
        </w:rPr>
        <w:t>Ng, C. S., Wu, P., Foley, J., et al. 2012. The chicken frizzle feather is due to an α-keratin (KRT75) mutation that causes a defective rachis. PLoS Genetics 8:e1002748. https://doi.org/10.1371/journal.pgen.1002748.</w:t>
      </w:r>
    </w:p>
    <w:p>
      <w:pPr>
        <w:pStyle w:val="Heading2"/>
        <w:spacing w:before="240" w:after="120" w:line="312" w:lineRule="auto"/>
        <w:jc w:val="left"/>
      </w:pPr>
      <w:r>
        <w:rPr>
          <w:rFonts w:ascii="Times New Roman" w:hAnsi="Times New Roman" w:eastAsia="黑体" w:cs="Times New Roman"/>
          <w:b/>
          <w:color w:val="000000"/>
          <w:sz w:val="28"/>
        </w:rPr>
        <w:t>Rehm, H. L., Berg, J. S., Brooks, L. D., et al. 2015. ClinGen--the Clinical Genome Resource. New England Journal of Medicine 372:2235-2242. https://doi.org/10.1056/NEJMsr1406261.</w:t>
      </w:r>
    </w:p>
    <w:p>
      <w:pPr>
        <w:pStyle w:val="Heading2"/>
        <w:spacing w:before="240" w:after="120" w:line="312" w:lineRule="auto"/>
        <w:jc w:val="left"/>
      </w:pPr>
      <w:r>
        <w:rPr>
          <w:rFonts w:ascii="Times New Roman" w:hAnsi="Times New Roman" w:eastAsia="黑体" w:cs="Times New Roman"/>
          <w:b/>
          <w:color w:val="000000"/>
          <w:sz w:val="28"/>
        </w:rPr>
        <w:t>Rice, E. S., Alberdi, A., Alfieri, J., et al. 2023. A pangenome graph reference of 30 chicken genomes allows genotyping of large and complex structural variants. BMC Biology 21:267. https://doi.org/10.1186/s12915-023-01758-0.</w:t>
      </w:r>
    </w:p>
    <w:p>
      <w:pPr>
        <w:pStyle w:val="Heading2"/>
        <w:spacing w:before="240" w:after="120" w:line="312" w:lineRule="auto"/>
        <w:jc w:val="left"/>
      </w:pPr>
      <w:r>
        <w:rPr>
          <w:rFonts w:ascii="Times New Roman" w:hAnsi="Times New Roman" w:eastAsia="黑体" w:cs="Times New Roman"/>
          <w:b/>
          <w:color w:val="000000"/>
          <w:sz w:val="28"/>
        </w:rP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Heading2"/>
        <w:spacing w:before="240" w:after="120" w:line="312" w:lineRule="auto"/>
        <w:jc w:val="left"/>
      </w:pPr>
      <w:r>
        <w:rPr>
          <w:rFonts w:ascii="Times New Roman" w:hAnsi="Times New Roman" w:eastAsia="黑体" w:cs="Times New Roman"/>
          <w:b/>
          <w:color w:val="000000"/>
          <w:sz w:val="28"/>
        </w:rPr>
        <w:t>Rubin, C.-J., Zody, M. C., Eriksson, J., et al. 2010. Whole-genome resequencing reveals loci under selection during chicken domestication. Nature 464:587-591. https://doi.org/10.1038/nature08832.</w:t>
      </w:r>
    </w:p>
    <w:p>
      <w:pPr>
        <w:pStyle w:val="Heading2"/>
        <w:spacing w:before="240" w:after="120" w:line="312" w:lineRule="auto"/>
        <w:jc w:val="left"/>
      </w:pPr>
      <w:r>
        <w:rPr>
          <w:rFonts w:ascii="Times New Roman" w:hAnsi="Times New Roman" w:eastAsia="黑体" w:cs="Times New Roman"/>
          <w:b/>
          <w:color w:val="000000"/>
          <w:sz w:val="28"/>
        </w:rPr>
        <w:t>Samiullah, S., and Roberts, J. R. 2015. Eggshell color in brown-egg laying hens: a review. Poultry Science 94:2566-2575. https://doi.org/10.3382/ps/pev202.</w:t>
      </w:r>
    </w:p>
    <w:p>
      <w:pPr>
        <w:pStyle w:val="Heading2"/>
        <w:spacing w:before="240" w:after="120" w:line="312" w:lineRule="auto"/>
        <w:jc w:val="left"/>
      </w:pPr>
      <w:r>
        <w:rPr>
          <w:rFonts w:ascii="Times New Roman" w:hAnsi="Times New Roman" w:eastAsia="黑体" w:cs="Times New Roman"/>
          <w:b/>
          <w:color w:val="000000"/>
          <w:sz w:val="28"/>
        </w:rPr>
        <w:t>Shen, L., Bai, X., Zhao, L., et al. 2024. Integrative 3D genomics with multi-omics analysis and functional validation of genetic regulatory mechanisms of abdominal fat deposition in chickens. Nature Communications 15:9274. https://doi.org/10.1038/s41467-024-53692-6.</w:t>
      </w:r>
    </w:p>
    <w:p>
      <w:pPr>
        <w:pStyle w:val="Heading2"/>
        <w:spacing w:before="240" w:after="120" w:line="312" w:lineRule="auto"/>
        <w:jc w:val="left"/>
      </w:pPr>
      <w:r>
        <w:rPr>
          <w:rFonts w:ascii="Times New Roman" w:hAnsi="Times New Roman" w:eastAsia="黑体" w:cs="Times New Roman"/>
          <w:b/>
          <w:color w:val="000000"/>
          <w:sz w:val="28"/>
        </w:rPr>
        <w:t>Smith, J., Sadeyen, J.-R., Butter, C., Kaiser, P., and Burt, D. W. 2015. Analysis of the early immune response to infection by infectious bursal disease virus in chickens differing in their resistance to the disease. Journal of Virology 89:2469-2482. https://doi.org/10.1128/JVI.02828-14.</w:t>
      </w:r>
    </w:p>
    <w:p>
      <w:pPr>
        <w:pStyle w:val="Heading2"/>
        <w:spacing w:before="240" w:after="120" w:line="312" w:lineRule="auto"/>
        <w:jc w:val="left"/>
      </w:pPr>
      <w:r>
        <w:rPr>
          <w:rFonts w:ascii="Times New Roman" w:hAnsi="Times New Roman" w:eastAsia="黑体" w:cs="Times New Roman"/>
          <w:b/>
          <w:color w:val="000000"/>
          <w:sz w:val="28"/>
        </w:rP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Heading2"/>
        <w:spacing w:before="240" w:after="120" w:line="312" w:lineRule="auto"/>
        <w:jc w:val="left"/>
      </w:pPr>
      <w:r>
        <w:rPr>
          <w:rFonts w:ascii="Times New Roman" w:hAnsi="Times New Roman" w:eastAsia="黑体" w:cs="Times New Roman"/>
          <w:b/>
          <w:color w:val="000000"/>
          <w:sz w:val="28"/>
        </w:rPr>
        <w:t>Tohidi, R., Idris, I. B., Malar Panandam, J., and Hair Bejo, M. 2013. The effects of polymorphisms in 7 candidate genes on resistance to Salmonella Enteritidis in native chickens. Poultry Science 92:900-909. https://doi.org/10.3382/ps.2012-02797.</w:t>
      </w:r>
    </w:p>
    <w:p>
      <w:pPr>
        <w:pStyle w:val="Heading2"/>
        <w:spacing w:before="240" w:after="120" w:line="312" w:lineRule="auto"/>
        <w:jc w:val="left"/>
      </w:pPr>
      <w:r>
        <w:rPr>
          <w:rFonts w:ascii="Times New Roman" w:hAnsi="Times New Roman" w:eastAsia="黑体" w:cs="Times New Roman"/>
          <w:b/>
          <w:color w:val="000000"/>
          <w:sz w:val="28"/>
        </w:rPr>
        <w:t>van de Lavoir, M.-C., Diamond, J. H., Leighton, P. A., et al. 2006. Germline transmission of genetically modified primordial germ cells. Nature 441:766-769. https://doi.org/10.1038/nature04831.</w:t>
      </w:r>
    </w:p>
    <w:p>
      <w:pPr>
        <w:pStyle w:val="Heading2"/>
        <w:spacing w:before="240" w:after="120" w:line="312" w:lineRule="auto"/>
        <w:jc w:val="left"/>
      </w:pPr>
      <w:r>
        <w:rPr>
          <w:rFonts w:ascii="Times New Roman" w:hAnsi="Times New Roman" w:eastAsia="黑体" w:cs="Times New Roman"/>
          <w:b/>
          <w:color w:val="000000"/>
          <w:sz w:val="28"/>
        </w:rPr>
        <w:t>Wang, D., Zhu, Y., Dong, J., Zhi, Y., Wei, G., Kang, X., and Liu, X. 2025. Exploring the functional variations of key candidate genes affecting egg production by hypothalamic-pituitary-ovarian axis in chickens. Poultry Science 104:105027. https://doi.org/10.1016/j.psj.2025.105027.</w:t>
      </w:r>
    </w:p>
    <w:p>
      <w:pPr>
        <w:pStyle w:val="Heading2"/>
        <w:spacing w:before="240" w:after="120" w:line="312" w:lineRule="auto"/>
        <w:jc w:val="left"/>
      </w:pPr>
      <w:r>
        <w:rPr>
          <w:rFonts w:ascii="Times New Roman" w:hAnsi="Times New Roman" w:eastAsia="黑体" w:cs="Times New Roman"/>
          <w:b/>
          <w:color w:val="000000"/>
          <w:sz w:val="28"/>
        </w:rPr>
        <w:t>Wang, K., Hu, H., Tian, Y., et al. 2021. The chicken pan-genome reveals gene content variation and a promoter region deletion in IGF2BP1 affecting body size. Molecular Biology and Evolution 38:5066-5081. https://doi.org/10.1093/molbev/msab231.</w:t>
      </w:r>
    </w:p>
    <w:p>
      <w:pPr>
        <w:pStyle w:val="Heading2"/>
        <w:spacing w:before="240" w:after="120" w:line="312" w:lineRule="auto"/>
        <w:jc w:val="left"/>
      </w:pPr>
      <w:r>
        <w:rPr>
          <w:rFonts w:ascii="Times New Roman" w:hAnsi="Times New Roman" w:eastAsia="黑体" w:cs="Times New Roman"/>
          <w:b/>
          <w:color w:val="000000"/>
          <w:sz w:val="28"/>
        </w:rPr>
        <w:t>Wang, Y., Brahmakshatriya, V., Lupiani, B., et al. 2012. Associations of chicken Mx1 polymorphism with antiviral responses in avian influenza virus infected embryos and broilers. Poultry Science 91:3019-3024. https://doi.org/10.3382/ps.2012-02471.</w:t>
      </w:r>
    </w:p>
    <w:p>
      <w:pPr>
        <w:pStyle w:val="Heading2"/>
        <w:spacing w:before="240" w:after="120" w:line="312" w:lineRule="auto"/>
        <w:jc w:val="left"/>
      </w:pPr>
      <w:r>
        <w:rPr>
          <w:rFonts w:ascii="Times New Roman" w:hAnsi="Times New Roman" w:eastAsia="黑体" w:cs="Times New Roman"/>
          <w:b/>
          <w:color w:val="000000"/>
          <w:sz w:val="28"/>
        </w:rPr>
        <w:t>Wang, Y., Reid, A., Wilson, P. W., and Dunn, I. C. 2022. Identification of the core promoter and variants regulating chicken CCKAR expression. Genes 13:1083. https://doi.org/10.3390/genes13061083.</w:t>
      </w:r>
    </w:p>
    <w:p>
      <w:pPr>
        <w:pStyle w:val="Heading2"/>
        <w:spacing w:before="240" w:after="120" w:line="312" w:lineRule="auto"/>
        <w:jc w:val="left"/>
      </w:pPr>
      <w:r>
        <w:rPr>
          <w:rFonts w:ascii="Times New Roman" w:hAnsi="Times New Roman" w:eastAsia="黑体" w:cs="Times New Roman"/>
          <w:b/>
          <w:color w:val="000000"/>
          <w:sz w:val="28"/>
        </w:rPr>
        <w:t>Wang, Z., Qu, L., Yao, J., et al. 2013. An EAV-HP insertion in 5 flanking region of SLCO1B3 causes blue eggshell in the chicken. PLoS Genetics 9:e1003183. https://doi.org/10.1371/journal.pgen.1003183.</w:t>
      </w:r>
    </w:p>
    <w:p>
      <w:pPr>
        <w:pStyle w:val="Heading2"/>
        <w:spacing w:before="240" w:after="120" w:line="312" w:lineRule="auto"/>
        <w:jc w:val="left"/>
      </w:pPr>
      <w:r>
        <w:rPr>
          <w:rFonts w:ascii="Times New Roman" w:hAnsi="Times New Roman" w:eastAsia="黑体" w:cs="Times New Roman"/>
          <w:b/>
          <w:color w:val="000000"/>
          <w:sz w:val="28"/>
        </w:rPr>
        <w:t>Wang, Z., and Zhou, Z. 2021. Research note: Fine mapping of sequence variants associated with body weight of Lueyang black-boned chicken in the CCKAR gene. Poultry Science 100:101448. https://doi.org/10.1016/j.psj.2021.101448.</w:t>
      </w:r>
    </w:p>
    <w:p>
      <w:pPr>
        <w:pStyle w:val="Heading2"/>
        <w:spacing w:before="240" w:after="120" w:line="312" w:lineRule="auto"/>
        <w:jc w:val="left"/>
      </w:pPr>
      <w:r>
        <w:rPr>
          <w:rFonts w:ascii="Times New Roman" w:hAnsi="Times New Roman" w:eastAsia="黑体" w:cs="Times New Roman"/>
          <w:b/>
          <w:color w:val="000000"/>
          <w:sz w:val="28"/>
        </w:rPr>
        <w:t>Whyte, J., Glover, J. D., Woodcock, M., et al. 2015. FGF, insulin, and SMAD signaling cooperate for avian primordial germ cell self-renewal. Stem Cell Reports 5:1171-1182. https://doi.org/10.1016/j.stemcr.2015.10.008.</w:t>
      </w:r>
    </w:p>
    <w:p>
      <w:pPr>
        <w:pStyle w:val="Heading2"/>
        <w:spacing w:before="240" w:after="120" w:line="312" w:lineRule="auto"/>
        <w:jc w:val="left"/>
      </w:pPr>
      <w:r>
        <w:rPr>
          <w:rFonts w:ascii="Times New Roman" w:hAnsi="Times New Roman" w:eastAsia="黑体" w:cs="Times New Roman"/>
          <w:b/>
          <w:color w:val="000000"/>
          <w:sz w:val="28"/>
        </w:rPr>
        <w:t>Wolc, A. 2014. Understanding genomic selection in poultry breeding. World's Poultry Science Journal 70:309-314. https://doi.org/10.1017/S0043933914000324.</w:t>
      </w:r>
    </w:p>
    <w:p>
      <w:pPr>
        <w:pStyle w:val="Heading2"/>
        <w:spacing w:before="240" w:after="120" w:line="312" w:lineRule="auto"/>
        <w:jc w:val="left"/>
      </w:pPr>
      <w:r>
        <w:rPr>
          <w:rFonts w:ascii="Times New Roman" w:hAnsi="Times New Roman" w:eastAsia="黑体" w:cs="Times New Roman"/>
          <w:b/>
          <w:color w:val="000000"/>
          <w:sz w:val="28"/>
        </w:rPr>
        <w:t>Wolc, A., Kranis, A., Arango, J., et al. 2016. Implementation of genomic selection in the poultry industry. Animal Frontiers 6:23-31. https://doi.org/10.2527/af.2016-0004.</w:t>
      </w:r>
    </w:p>
    <w:p>
      <w:pPr>
        <w:pStyle w:val="Heading2"/>
        <w:spacing w:before="240" w:after="120" w:line="312" w:lineRule="auto"/>
        <w:jc w:val="left"/>
      </w:pPr>
      <w:r>
        <w:rPr>
          <w:rFonts w:ascii="Times New Roman" w:hAnsi="Times New Roman" w:eastAsia="黑体" w:cs="Times New Roman"/>
          <w:b/>
          <w:color w:val="000000"/>
          <w:sz w:val="28"/>
        </w:rPr>
        <w:t>Wright, D., Boije, H., Meadows, J. R. S., et al. 2009. Copy number variation in intron 1 of SOX5 causes the pea-comb phenotype in chickens. PLoS Genetics 5:e1000512. https://doi.org/10.1371/journal.pgen.1000512.</w:t>
      </w:r>
    </w:p>
    <w:p>
      <w:pPr>
        <w:pStyle w:val="Heading2"/>
        <w:spacing w:before="240" w:after="120" w:line="312" w:lineRule="auto"/>
        <w:jc w:val="left"/>
      </w:pPr>
      <w:r>
        <w:rPr>
          <w:rFonts w:ascii="Times New Roman" w:hAnsi="Times New Roman" w:eastAsia="黑体" w:cs="Times New Roman"/>
          <w:b/>
          <w:color w:val="000000"/>
          <w:sz w:val="28"/>
        </w:rPr>
        <w:t>Xu, H., Nie, Q., and Zhang, X. 2013. Overview of genomic insights into chicken growth traits based on genome-wide association study and microRNA regulation. Current Genomics 14:137-146. https://doi.org/10.2174/1389202911314020006.</w:t>
      </w:r>
    </w:p>
    <w:p>
      <w:pPr>
        <w:pStyle w:val="Heading2"/>
        <w:spacing w:before="240" w:after="120" w:line="312" w:lineRule="auto"/>
        <w:jc w:val="left"/>
      </w:pPr>
      <w:r>
        <w:rPr>
          <w:rFonts w:ascii="Times New Roman" w:hAnsi="Times New Roman" w:eastAsia="黑体" w:cs="Times New Roman"/>
          <w:b/>
          <w:color w:val="000000"/>
          <w:sz w:val="28"/>
        </w:rPr>
        <w:t>Yang, L., Xu, L., Wang, X., et al. 2021. Genome-wide association study and genomic prediction for growth traits in yellow-plumage chicken using genotyping-by-sequencing. Genetics Selection Evolution 53:82. https://doi.org/10.1186/s12711-021-00672-9.</w:t>
      </w:r>
    </w:p>
    <w:p>
      <w:pPr>
        <w:pStyle w:val="Heading2"/>
        <w:spacing w:before="240" w:after="120" w:line="312" w:lineRule="auto"/>
        <w:jc w:val="left"/>
      </w:pPr>
      <w:r>
        <w:rPr>
          <w:rFonts w:ascii="Times New Roman" w:hAnsi="Times New Roman" w:eastAsia="黑体" w:cs="Times New Roman"/>
          <w:b/>
          <w:color w:val="000000"/>
          <w:sz w:val="28"/>
        </w:rPr>
        <w:t>Zhang, M., Li, F., Sun, J.-W., et al. 2019. LncRNA IMFNCR promotes intramuscular adipocyte differentiation by sponging miR-128-3p and miR-27b-3p. Frontiers in Genetics 10:42. https://doi.org/10.3389/fgene.2019.00042.</w:t>
      </w:r>
    </w:p>
    <w:p>
      <w:pPr>
        <w:pStyle w:val="Heading2"/>
        <w:spacing w:before="240" w:after="120" w:line="312" w:lineRule="auto"/>
        <w:jc w:val="left"/>
      </w:pPr>
      <w:r>
        <w:rPr>
          <w:rFonts w:ascii="Times New Roman" w:hAnsi="Times New Roman" w:eastAsia="黑体" w:cs="Times New Roman"/>
          <w:b/>
          <w:color w:val="000000"/>
          <w:sz w:val="28"/>
        </w:rPr>
        <w:t>Zheng, J., Li, J., Zhang, X., et al. 2022. Identification of crucial genes and metabolites regulating the eggshell brownness in chicken. BMC Genomics 23:805. https://doi.org/10.1186/s12864-022-08987-7.</w:t>
      </w:r>
    </w:p>
    <w:p>
      <w:pPr>
        <w:pStyle w:val="Heading2"/>
        <w:spacing w:before="240" w:after="120" w:line="312" w:lineRule="auto"/>
        <w:jc w:val="left"/>
      </w:pPr>
      <w:r>
        <w:rPr>
          <w:rFonts w:ascii="Times New Roman" w:hAnsi="Times New Roman" w:eastAsia="黑体" w:cs="Times New Roman"/>
          <w:b/>
          <w:color w:val="000000"/>
          <w:sz w:val="28"/>
        </w:rPr>
        <w:t>Zhu, Z., Zhang, F., Hu, H., et al. 2016. Integration of summary data from GWAS and eQTL studies predicts complex trait gene targets. Nature Genetics 48:481-487. https://doi.org/10.1038/ng.3538.</w:t>
      </w:r>
    </w:p>
    <w:p>
      <w:pPr>
        <w:sectPr>
          <w:footerReference w:type="default" r:id="rId9"/>
          <w:pgSz w:w="11906" w:h="16838"/>
          <w:pgMar w:top="1440" w:bottom="1440" w:left="1587" w:right="1587" w:header="850" w:footer="850"/>
        </w:sectPr>
      </w:pPr>
    </w:p>
    <w:p>
      <w:pPr>
        <w:spacing w:before="120" w:after="80"/>
        <w:jc w:val="left"/>
      </w:pPr>
      <w:r>
        <w:rPr>
          <w:rFonts w:ascii="Times New Roman" w:hAnsi="Times New Roman" w:eastAsia="黑体" w:cs="Times New Roman"/>
          <w:b/>
          <w:color w:val="000000"/>
          <w:sz w:val="24"/>
        </w:rPr>
        <w:t>补充材料</w:t>
      </w:r>
    </w:p>
    <w:p>
      <w:pPr>
        <w:spacing w:before="120" w:after="80"/>
        <w:jc w:val="center"/>
      </w:pPr>
      <w:r>
        <w:rPr>
          <w:rFonts w:ascii="Times New Roman" w:hAnsi="Times New Roman" w:eastAsia="黑体" w:cs="Times New Roman"/>
          <w:b/>
          <w:color w:val="000000"/>
          <w:sz w:val="21"/>
        </w:rPr>
        <w:t>补充表 1 表 2–5 代表性位点的证据抽取与评级依据</w:t>
      </w:r>
    </w:p>
    <w:p>
      <w:pPr>
        <w:spacing w:line="276" w:lineRule="auto" w:before="80" w:after="0"/>
        <w:jc w:val="left"/>
      </w:pPr>
      <w:r>
        <w:rPr>
          <w:rFonts w:ascii="Times New Roman" w:hAnsi="Times New Roman" w:eastAsia="宋体" w:cs="Times New Roman"/>
          <w:color w:val="000000"/>
          <w:sz w:val="17"/>
        </w:rPr>
        <w:t>注：变异明确度、重复性、分子机制和功能验证均按本文第 3 章标准抽取；“低–中”或“中–高”表示证据强度依具体研究、群体或性状终点而变化。SLCO1B3 同时出现在表 3 和表 5，本表合并列示。</w:t>
      </w:r>
    </w:p>
    <w:tbl>
      <w:tblPr>
        <w:tblW w:type="pct" w:w="500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6"/>
        <w:gridCol w:w="1376"/>
        <w:gridCol w:w="1376"/>
        <w:gridCol w:w="1376"/>
        <w:gridCol w:w="1376"/>
        <w:gridCol w:w="1376"/>
        <w:gridCol w:w="1376"/>
        <w:gridCol w:w="1376"/>
        <w:gridCol w:w="1376"/>
        <w:gridCol w:w="1376"/>
        <w:gridCol w:w="1376"/>
      </w:tblGrid>
      <w:tr>
        <w:trPr>
          <w:tblHeader w:val="true"/>
        </w:trPr>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位点</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原始研究(引文)</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群体/样本</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表型</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变异明确度</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重复性</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分子机制</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功能验证</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评级</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T轴依据</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sz w:val="15"/>
              </w:rPr>
            </w:r>
            <w:r>
              <w:rPr>
                <w:rFonts w:ascii="Times New Roman" w:hAnsi="Times New Roman" w:eastAsia="宋体" w:cs="Times New Roman"/>
                <w:b/>
                <w:color w:val="000000"/>
                <w:sz w:val="15"/>
              </w:rPr>
              <w:t>主要缺口</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IGF2BP1 启动子缺失</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K. et al., 2021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泛基因组发现；Gushi×Anak F2 扩大群体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体型/生长</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高：启动子缺失明确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低–中：主要为单一扩大群体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中–高：表达和启动子活性支持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低：无内源编辑或等位替换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T0：目标商业群体未系统验证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内源编辑、等位基因导入和商业群体多性状评估不足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rs734209466–IGFBP2/IGFBP5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Shen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腹脂差异群体；脂前体细胞和多组学验证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腹脂沉积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高：候选变异和调控元件明确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中：多组学互证，跨群体不足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高：ASE、增强子、三维调控和靶基因表达链条较完整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中：细胞表型支持，缺内源编辑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T0：目标育种群体效应未验证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内源编辑、跨群体自然变异验证和目标群体效应不足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IMFNCR–PPARG 调控轴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Zhang et al., 2019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鸡脂肪细胞模型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肌内脂肪/肉质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低：未解析到自然变异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低：主要为单研究机制证据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中–高：lncRNA–miRNA–PPARG 轴支持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中：细胞分化实验，缺体内表型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gene/network-level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T0：机制候选，未进入群体验证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自然变异、群体关联和体内表型链条不足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CCKAR 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Z. and Zhou, 2021; Wang Y. et al., 2022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分歧选择/地方鸡精细定位和启动子调控研究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采食/生长</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中：候选区段和调控变异较清楚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中：有限群体和模型支持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中：采食和启动子调控线索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低–中：调控活性支持，缺体内因果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T0：尚未进入目标商业群体验证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因果变异、内源验证和跨商业群体一致性不足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MSTN</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Kambadur et al., 1997</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跨物种肌肉发育证据；家鸡内作为候选背景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肌肉发育</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低：家鸡强效自然变异不足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中：跨物种功能保守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高：肌肉生长负调控生物学清楚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中：跨物种强，家鸡内直接证据不足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T0：机制背景基因，不是成熟育种标记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家鸡自然群体内强效可育种等位变异证据不足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IGF1/IGF1R/GHR/MYOD 家族/FABP3/FABP4/LPL/CAPN1/CAST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Xu et al., 2013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多候选基因和多研究集合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生长/肌肉/脂肪/肉质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低–中：多为邻近基因或候选通路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低–中：证据随基因和群体变化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中：生物学通路合理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低：多数缺强扰动或体内证据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T0：适合作为功能背景或低权重先验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明确变异、独立重复和强功能验证多数不足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宿主—肠道微生物特征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Liu et al., 2017; Mebratie et al., 2019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饲料效率表型和相关中间表型研究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饲料效率</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低：不是明确遗传变异位点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低：环境和采样影响大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低–中：相关性和机制线索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低：缺可重复干预和宿主遗传控制验证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中间表型证据 C</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T0：仅作机制线索或管理指标</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因果方向、可重复干预、宿主遗传控制和目标群体验证不足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SLCO1B3 EAV-HP 插入（表 3/表 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Z. et al., 2013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多个蓝壳品种和共分离材料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蓝壳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高：约 4.2 kb EAV-HP 插入明确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高：多品种和共分离支持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高：壳腺特异表达与胆绿素沉积链条清楚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中：表达验证充分，缺内源编辑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T2：限蓝壳识别、品种特征管理和商品分级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不能外推到产蛋数、蛋壳强度或综合蛋品质</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PHIP 非编码变异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D. et al., 2025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单研究群体；卵巢/颗粒细胞相关证据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产蛋/卵巢功能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中：候选非编码变异明确度有限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低：跨群体重复不足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中：转录因子结合、表达和细胞功能线索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低：缺内源编辑和体内因果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T0：仅适合作为验证优先级候选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等位基因特异调控互证、三维调控、跨群体稳定性和内源验证不足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PRLR 附近区域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 Elferink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 GWAS/关联研究；K 位点结构变异背景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产蛋/抱窝性/生殖调控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低–中：区域和候选基因明确，因果变异未明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中：多研究中反复出现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中：生殖内分泌功能明确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低：缺直接扰动和体内因果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T0：适合精细定位和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与 PRLR/SPEF2 结构变异关系、具体因果变异和阶段特异功能不足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NCAPG-FAM184B 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多个产蛋相关 GWAS 或关联研究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产蛋相关性状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低–中：区段信号，未到具体变异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中：多研究/多性状出现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低–中：靶组织机制不足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低：缺功能扰动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T0：目标群体重点验证区段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因果变异、靶组织机制和目标群体效应不明确</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GGAZ 产蛋相关区域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Z 染色体产蛋相关 GWAS/关联研究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产蛋节律/性成熟/繁殖性能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低：区域较宽，具体变异不明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中：Z 染色体信号反复出现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低–中：剂量效应和生殖背景合理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T0：适合精细定位，不宜直接 MAS</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连锁结构、剂量效应、具体变异和功能验证不足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褐壳色相关候选信号</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 et al., 2013; Samiullah and Roberts, 2015; Zheng et al., 2022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褐壳鸡壳腺表达、色素和代谢相关研究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褐壳/原卟啉 IX 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低–中：多基因连续性状，主效变异不清</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低–中：候选基因随研究变化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中：色素合成、转运和沉积机制合理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低：缺强因果扰动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gene/region-level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T0–T1：可作壳色候选和目标群体验证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稳定单一主效变异、强功能验证和跨群体应用边界不足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SPP1/OC-17/OC-116/CALB1/CA2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候选集合；正文未绑定单一原始位点研究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壳腺表达、矿化和钙代谢候选研究集合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蛋壳强度/钙化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低：多数未解析到自然变异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低–中：部分表达或关联支持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中：矿化和钙代谢机制合理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低：缺强体内因果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T0：功能背景和低权重先验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明确自然变异、强功能验证和跨群体稳定性不足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OVAL/OVM/LYZ/TF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候选集合；正文未绑定单一原始位点研究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蛋白组成和内部蛋品质候选研究集合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蛋白品质/内部蛋品质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低：多为功能基因或表达候选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低：受周龄、储藏和环境影响大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中：蛋白组成和抗菌功能合理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低：缺等位变异和体内因果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T0：功能背景，不能直接作 MAS</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稳定表型记录、等位变异、目标组织分子效应和体内验证不足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繁殖内分泌相关基因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产蛋 GWAS/关联研究和生理候选基因集合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卵泡发育/排卵/内分泌调控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低：多数为候选基因层面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低–中：随基因和性状变化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中–高：生殖内分泌生物学清楚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低：缺变异层面功能验证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T0：候选背景或低权重先验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强效自然变异、跨群体重复和功能验证不足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ANP32A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Idoko-Akoh et al., 2023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基因编辑鸡；H9N2 感染挑战</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禽流感病毒复制/宿主因子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靶点高；自然变异低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高：编辑感染模型支持靶点功能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高：病毒聚合酶适配和宿主因子机制清楚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高：体内编辑和感染挑战支持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gene/target-level A + variant-level B–C</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T0–T1：高转化风险，需额外监管和福利约束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自然可育种等位变异、病原逃逸、ANP32 家族补偿、多性状影响和监管评估不足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TVB/NHE1 受体相关位点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Lee et al., 2017; Li et al., 2018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NHE1 编辑模型；TVB 自然移码突变材料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ALV 易感性/病毒入侵受体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中–高：受体和部分自然变异明确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中：限特定 ALV 亚群和模型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高：受体依赖机制清楚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中–高：编辑或自然突变支持，产业体内范围有限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gene/target-level B+–A + variant-level B–B+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T0–T1：需按 ALV 亚群和目标群体限定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跨群体自然变异效应、病毒亚群特异性、体内感染验证和产业边界不足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MHC-B 单倍型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Briles and Briles, 1982; Kaufman et al., 1999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MHC-B 单倍型和多种免疫/疾病背景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马立克氏病/免疫应答/疫苗反应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中：单倍型明确，单一变异不明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高：长期多研究积累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高：MHC 免疫功能明确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中：保护效应多依赖疾病和遗传背景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haplotype/region-level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T1：限特定疾病、疫苗和目标群体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单一因果变异、病原/疫苗背景依赖性和多性状权衡不足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马立克氏病非 MHC QTL/GWAS 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 QTL/GWAS/转录组研究；正文未绑定单一原始位点研究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马立克氏病挑战、病毒载量、肿瘤和免疫反应研究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马立克氏病抗性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低–中：受毒株、剂量和背景影响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中：免疫和肿瘤发生机制相关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低：多数缺功能验证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T0：候选验证和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病原株、感染剂量、评价终点和遗传背景异质性；因果变异不足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TLR4/TLR7/TLR15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Liu et al., 2003; Wang Y. et al., 2012;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候选基因关联、感染模型和免疫表达研究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先天免疫/病原识别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低–中：多为候选基因或多态性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低–中：研究间一致性有限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高：病原识别和炎症通路明确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低–中：部分感染或表达支持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T0：功能候选或低权重先验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明确自然变异、等位基因效应和体内抗病验证不足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IFITM3/MX1/OASL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Wang Y. et al., 2012;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抗病毒候选基因、感染模型和表达研究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抗病毒限制因子/干扰素通路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低–中：候选多态性证据不稳定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低–中：不同研究结论不完全一致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高：抗病毒通路功能明确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低–中：部分模型支持，缺稳定体内效应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T0：功能候选，不宜直接作标记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群体内可育种变异、稳定抗病效应和多性状影响不清楚</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SLC11A1/LYZ/IL 家族等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Liu et al., 2003; Tohidi et al., 2013;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沙门氏菌挑战、候选基因和免疫反应研究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沙门氏菌抗性/黏膜免疫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低–中：候选基因或多态性为主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低–中：模型和终点差异大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中–高：细菌清除、巨噬细胞和黏膜免疫机制合理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低–中：部分挑战或关联支持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T0：机制研究和风险评估候选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稳定等位基因效应、目标群体验证和干预验证不足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球虫病相关 QTL/细胞因子/肠道屏障候选基因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Kim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球虫感染模型和候选抗性终点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球虫病抗性/肠道病变/卵囊排出</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低–中：依赖感染模型和终点定义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中：免疫、屏障和炎症通路合理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低–中：部分挑战或候选基因支持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T0：候选验证对象</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表型终点异质性、明确变异、功能验证和生产性能综合评估不足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NDV/IBDV/IBV 相关候选区域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Luo et al., 2013; Luo et al., 2014; Smith et al., 2015; Habimana et al., 2021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抗体应答 GWAS、感染后免疫反应和挑战模型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新城疫/传染性法氏囊病/传染性支气管炎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低–中：病原株、疫苗和模型差异大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中：免疫反应和抗体应答机制相关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低：多数缺功能扰动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T0：病原特异验证和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明确变异、跨场景验证和统一表型终点不足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BCDO2 调控变异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Eriksson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黄皮表型相关品种和遗传材料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黄皮/类胡萝卜素沉积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高：调控变异和基因定位明确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高：表型边界清楚且效应大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高：组织特异表达和类胡萝卜素代谢链条清楚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中–高：自然变异和表达/代谢证据支持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T2：限肤色识别、品种特征管理和商品分级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不能外推到生长、肉质或地方适应综合能力</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EDN3 相关复杂结构变异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Dorshorst et al., 2011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纤维黑变品种和定位材料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纤维黑变/乌骨性状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高：复杂结构变异定位明确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高：主效可见表型稳定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高：EDN3 异常表达和多组织黑色素沉积链条清楚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中–高：自然结构变异和表达证据支持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T2：限纤维黑变和乌骨性状管理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对肉质、抗病性和药用价值等外推证据不足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SOX5 内含子重复序列扩增</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Wright et al., 2009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豌豆冠定位和品种材料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豌豆冠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高：内含子拷贝数变异明确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高：冠型主效表型清楚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中–高：发育调控机制合理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中：自然变异和表型证据支持，缺内源编辑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T2：限冠型和品种特征管理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商业生产性状权重有限，应用价值依场景而定</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玫瑰冠相关倒位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Imsland et al., 2012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玫瑰冠品种和繁殖表型材料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冠型/繁殖风险</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高：倒位结构变异明确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高：冠型效应清楚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中–高：形态改变和繁殖副作用均有机制线索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中：自然变异和表型支持，需更多多性状验证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T1–T2：冠型管理需同时考虑繁殖风险</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雄性繁殖力风险和群体应用目标需单独评估</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羽色相关位点（MC1R、ASIP、TYR/TYRP1、PMEL17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Kerje et al., 2003; Kerje et al., 2004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羽色品种/品系和色素通路候选研究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羽色/品种识别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中–高：部分变异与表型对应清楚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中–高：多个主效羽色位点有重复支持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高：色素通路明确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中：自然变异和表型支持为主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variant/gene-level B+–A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T1–T2：限羽色识别、保种和市场偏好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不能外推到生产性能、抗病性或适应性</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羽型和形态相关位点（KRT75、TBX5/PITX1 调控区、PRLR/SPEF2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Ng et al., 2012; Li et al., 2020; Elferink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卷羽、毛脚/胫羽和羽速相关品种材料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卷羽、毛脚/胫羽、羽速等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中–高：部分主效变异或候选区明确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中–高：可见表型重复较好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中–高：角蛋白、肢体和羽速调控机制合理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中：自然变异和表型证据为主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variant/region-level B+–A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T1–T2：限形态管理、保种和品种识别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多数应用限于形态管理和市场偏好，不代表综合生产价值</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TSHR G558R 等驯化相关变异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Rubin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家鸡驯化全基因组重测序/选择扫描</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驯化/繁殖季节性/光周期反应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高：候选变异明确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中–高：驯化扫描代表性强</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中：生殖内分泌背景合理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低：缺鸡内决定性体内因果验证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T0：商业生产；T1：驯化机制和地方品种保护</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编辑或等位替换重现表型、现代商业群体效应和适应性影响不足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热适应/高原适应/寒冷耐受选择扫描区域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多选择扫描研究；正文未绑定单一原始位点研究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地方鸡资源群体和环境关联/选择扫描研究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地方适应/环境响应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低：多数为宽区域或候选通路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低–中：受群体历史和环境混杂影响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中：热应激、低氧和代谢通路合理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低：缺共同环境和功能验证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region-level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T0：资源保护和候选验证线索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sz w:val="15"/>
              </w:rPr>
            </w:r>
            <w:r>
              <w:rPr>
                <w:rFonts w:ascii="Times New Roman" w:hAnsi="Times New Roman" w:eastAsia="宋体" w:cs="Times New Roman"/>
                <w:b w:val="0"/>
                <w:color w:val="000000"/>
                <w:sz w:val="15"/>
              </w:rPr>
              <w:t>共同环境表型、因果变异、功能验证和跨群体重复不足</w:t>
            </w:r>
          </w:p>
        </w:tc>
      </w:tr>
    </w:tbl>
    <w:sectPr>
      <w:pgSz w:w="16838" w:h="11906" w:orient="landscape"/>
      <w:pgMar w:top="850" w:bottom="850" w:left="850" w:right="850" w:header="850" w:footer="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000000"/>
        <w:sz w:val="21"/>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cs="Times New Roman"/>
      <w:b w:val="0"/>
      <w:color w:val="000000"/>
      <w:sz w:val="24"/>
    </w:rPr>
  </w:style>
  <w:style w:styleId="BodyText" w:type="paragraph">
    <w:name w:val="Body Text"/>
    <w:basedOn w:val="Normal"/>
    <w:link w:val="BodyTextChar"/>
    <w:qFormat/>
    <w:pPr>
      <w:spacing w:after="180" w:before="180"/>
    </w:pPr>
    <w:rPr>
      <w:rFonts w:ascii="Times New Roman" w:hAnsi="Times New Roman" w:eastAsia="宋体" w:cs="Times New Roman"/>
      <w:b w:val="0"/>
      <w:color w:val="000000"/>
      <w:sz w:val="24"/>
    </w:rPr>
  </w:style>
  <w:style w:customStyle="1" w:styleId="FirstParagraph" w:type="paragraph">
    <w:name w:val="First Paragraph"/>
    <w:basedOn w:val="BodyText"/>
    <w:next w:val="BodyText"/>
    <w:qFormat/>
    <w:rPr>
      <w:rFonts w:ascii="Times New Roman" w:hAnsi="Times New Roman" w:eastAsia="宋体" w:cs="Times New Roman"/>
      <w:b w:val="0"/>
      <w:color w:val="000000"/>
      <w:sz w:val="24"/>
    </w:rPr>
  </w:style>
  <w:style w:customStyle="1" w:styleId="Compact" w:type="paragraph">
    <w:name w:val="Compact"/>
    <w:basedOn w:val="BodyText"/>
    <w:qFormat/>
    <w:pPr>
      <w:spacing w:after="36" w:before="36"/>
    </w:pPr>
    <w:rPr>
      <w:rFonts w:ascii="Times New Roman" w:hAnsi="Times New Roman" w:eastAsia="宋体" w:cs="Times New Roman"/>
      <w:b w:val="0"/>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