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本文采用叙述综述（narrative review）形式。检索以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pPr>
      <w:r>
        <w:t xml:space="preserve">2.1 GWAS、QTL 和选择信号的证据边界</w:t>
      </w:r>
    </w:p>
    <w:p>
      <w:pPr>
        <w:pStyle w:val="FirstParagraph"/>
      </w:pPr>
      <w: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这一标准在具体案例中如何兑现，可以从 PHIP 非编码变异和 rs734209466–IGFBP2/IGFBP5 调控链看到。前者提示非编码变异可能通过转录因子结合和 PHIP 表达影响颗粒细胞相关功能（Wang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pPr>
      <w: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功能实验是候选位点证据升级的关键环节，但不同实验体系提供的证据强度并不相同。报告基因实验可以检验某段序列是否具有调控活性；MPRA 可高通量测试大量候选调控片段；过表达、敲低或细胞模型可以判断某个基因是否影响细胞表型；CRISPRa/i 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pPr>
      <w: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 xml:space="preserve">第 2 章讨论的是为什么候选信号不能直接等同于因果位点。本章进一步把这种判断转化为一个可操作的证据成熟度框架。这个框架的目的不是替代数量遗传评估，也不是建立已经被外部验证的正式指南，而是为家鸡复杂性状候选位点提供一种更清楚的讨论语言：一个信号目前是统计线索、机制候选、强验证对象，还是已经接近因果位点；它是否只具有生物学证据，还是已经具备进入具体育种场景的条件。</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 xml:space="preserve">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 xml:space="preserve">因此，本文采用“硬性门槛优先，总分辅助”的判断逻辑。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 xml:space="preserve">表 1 总结了 C、B、B+ 和 A 四级证据在四个维度上的典型表现。该表不是固定打分标准，而是用于提高判断透明度的操作性参照。实际评价时，应遵循“功能验证强度为 A 级硬门槛，其他维度可以增强证据链但不可替代硬门槛”的原则。</w:t>
      </w:r>
    </w:p>
    <w:p>
      <w:pPr>
        <w:pStyle w:val="BodyText"/>
      </w:pPr>
      <w:r>
        <w:rPr>
          <w:b/>
          <w:bCs/>
        </w:rPr>
        <w:t xml:space="preserve">表 1 家鸡候选位点 C、B、B+ 和 A 级证据的典型判定特征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r>
        <w:tc>
          <w:tcPr/>
          <w:p>
            <w:pPr>
              <w:pStyle w:val="Compact"/>
              <w:jc w:val="left"/>
            </w:pPr>
            <w:r>
              <w:t xml:space="preserve">典型用途</w:t>
            </w:r>
          </w:p>
        </w:tc>
        <w:tc>
          <w:tcPr/>
          <w:p>
            <w:pPr>
              <w:pStyle w:val="Compact"/>
              <w:jc w:val="left"/>
            </w:pPr>
            <w:r>
              <w:t xml:space="preserve">候选清单、假设生成、低权重功能先验、后续精细定位入口。</w:t>
            </w:r>
          </w:p>
        </w:tc>
        <w:tc>
          <w:tcPr/>
          <w:p>
            <w:pPr>
              <w:pStyle w:val="Compact"/>
              <w:jc w:val="left"/>
            </w:pPr>
            <w:r>
              <w:t xml:space="preserve">精细定位、跨群体验证、机制实验、GS 功能先验。</w:t>
            </w:r>
          </w:p>
        </w:tc>
        <w:tc>
          <w:tcPr/>
          <w:p>
            <w:pPr>
              <w:pStyle w:val="Compact"/>
              <w:jc w:val="left"/>
            </w:pPr>
            <w:r>
              <w:t xml:space="preserve">优先功能验证对象；不等同于应用成熟。</w:t>
            </w:r>
          </w:p>
        </w:tc>
        <w:tc>
          <w:tcPr/>
          <w:p>
            <w:pPr>
              <w:pStyle w:val="Compact"/>
              <w:jc w:val="left"/>
            </w:pPr>
            <w:r>
              <w:t xml:space="preserve">功能标记、主效位点管理或编辑靶点评估的候选前提；仍需 T 轴评估应用成熟度。</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 xml:space="preserve">A 级证据还需要进一步区分 variant-level A 和 gene/target-level A。二者都可以代表强功能证据，但解释对象和育种含义不同。</w:t>
      </w:r>
    </w:p>
    <w:p>
      <w:pPr>
        <w:pStyle w:val="BodyText"/>
      </w:pPr>
      <w:r>
        <w:t xml:space="preserve">variant-level A 指自然变异或单倍型层面的强证据。它要求候选变异或单倍型较明确，并且能够把变异、分子功能和表型后果连接起来。典型情况包括主效表型、寡基因表型或结构变异控制的可见性状。这类证据最接近功能标记或主效位点管理，因为它直接回答的是自然群体中哪个变异与表型形成有关。不过，即使是 variant-level A，也不等于无条件产业应用。是否应用仍取决于 T 轴：目标群体中是否存在该等位基因，效应是否稳定，是否影响其他性状，是否符合育种目标。</w:t>
      </w:r>
    </w:p>
    <w:p>
      <w:pPr>
        <w:pStyle w:val="BodyText"/>
      </w:pPr>
      <w:r>
        <w:t xml:space="preserve">gene/target-level A 指基因或靶点层面的强证据。它可以由编辑、敲除、敲入、体内模型或强扰动实验支持，说明某个基因或靶点对表型具有功能作用。抗病编辑研究中的宿主因子就是典型例子：编辑结果可以证明该靶点参与病毒复制或感染结局，但并不证明自然群体中存在可直接选择的功能等位变异，也不证明该靶点已经适合产业育种。对于 gene/target-level A，尤其需要在 T 轴中单独评估遗传背景、补偿通路、多性状影响、动物福利、病原逃逸、监管路径和产业接受度。</w:t>
      </w:r>
    </w:p>
    <w:p>
      <w:pPr>
        <w:pStyle w:val="BodyText"/>
      </w:pPr>
      <w:r>
        <w:t xml:space="preserve">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B+；这种“非对称证据”本身就是重要信息。它说明该靶点具有明确生物学功能，但尚不能证明自然群体中已有可直接利用的功能等位变异，也不能证明该靶点已经具备产业应用成熟度。</w:t>
      </w:r>
    </w:p>
    <w:p>
      <w:pPr>
        <w:pStyle w:val="BodyText"/>
      </w:pPr>
      <w:r>
        <w:t xml:space="preserve">这个区分可以避免两个方向的误读。第一，不能把 gene/target-level A 误写成自然变异层面的功能标记。第二，也不能因为某个自然变异尚未达到产业应用成熟度，就否定其生物学强证据。variant-level A 解决的是“自然变异是否具有强证据”，gene/target-level A 解决的是“基因或靶点是否具有强功能作用”，T 轴解决的是“是否适合具体育种应用”。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 xml:space="preserve">如果未来将该框架用于数据库标注、指南制定或正式证据评级，就需要进一步验证其一致性。较合理的做法是预先注册评分规则，选择覆盖主效表型、生长、产蛋、饲料效率、抗病和地方适应等不同类型的代表性位点，由多名独立评估者盲法评分，并报告评估者间一致性和分歧仲裁过程。只有经过这类验证后，框架才有可能从启发式判断工具进一步发展为较稳定的评价体系。</w:t>
      </w:r>
    </w:p>
    <w:p>
      <w:pPr>
        <w:pStyle w:val="BodyText"/>
      </w:pPr>
      <w:r>
        <w:t xml:space="preserve">在本文中，该框架的用途更克制：它帮助组织已有文献，避免把候选线索提前包装成因果位点，也避免把功能验证结果直接等同于育种应用。下一章将以这一框架为基础，比较不同性状中代表性候选位点的证据成熟度，并说明为什么当前家鸡中真正达到 variant-level A 的案例主要集中在主效、寡基因或结构变异控制的表型，而多数复杂经济性状仍处于机制候选或验证优先阶段。</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Elferink, M. G., Vallee, A. A., Jungerius, A. P., Crooijmans, R. P. M. A., and Groenen, M. A. M. 2008. Partial duplication of the PRLR and SPEF2 genes at the late feathering locus in chicken. BMC Genomics 9:391. https://doi.org/10.1186/1471-2164-9-391.</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Giambartolomei, C., Vukcevic, D., Schadt, E. E., et al. 2014. Bayesian test for colocalisation between pairs of genetic association studies using summary statistics. PLoS Genetics 10:e1004383. https://doi.org/10.1371/journal.pgen.1004383.</w:t>
      </w:r>
    </w:p>
    <w:p>
      <w:pPr>
        <w:pStyle w:val="BodyText"/>
      </w:pPr>
      <w:r>
        <w:t>Guyatt, G. H., Oxman, A. D., Vist, G. E., et al. 2008. GRADE: an emerging consensus on rating quality of evidence and strength of recommendations. BMJ 336:924-926. https://doi.org/10.1136/bmj.39489.470347.AD.</w:t>
      </w:r>
    </w:p>
    <w:p>
      <w:pPr>
        <w:pStyle w:val="BodyText"/>
      </w:pPr>
      <w:r>
        <w:t>Hormozdiari, F., van de Bunt, M., Segre, A. V., et al. 2016. Colocalization of GWAS and eQTL signals detects target genes. American Journal of Human Genetics 99:1245-1260. https://doi.org/10.1016/j.ajhg.2016.10.003.</w:t>
      </w:r>
    </w:p>
    <w:p>
      <w:pPr>
        <w:pStyle w:val="BodyText"/>
      </w:pPr>
      <w:r>
        <w:t>Hu, Z.-L., Park, C. A., and Reecy, J. M. 2016. Developmental progress and current status of the Animal QTLdb. Nucleic Acids Research 44:D827-D833. https://doi.org/10.1093/nar/gkv1233.</w:t>
      </w:r>
    </w:p>
    <w:p>
      <w:pPr>
        <w:pStyle w:val="BodyText"/>
      </w:pPr>
      <w:r>
        <w:t>Idoko-Akoh, A., Goldhill, D. H., Sheppard, C. M., et al. 2023. Creating resistance to avian influenza infection through genome editing of the ANP32 gene family. Nature Communications 14:6136. https://doi.org/10.1038/s41467-023-41476-3.</w:t>
      </w:r>
    </w:p>
    <w:p>
      <w:pPr>
        <w:pStyle w:val="BodyText"/>
      </w:pPr>
      <w:r>
        <w:t>Inoue, F., and Ahituv, N. 2015. Decoding enhancers using massively parallel reporter assays. Genomics 106:159-164. https://doi.org/10.1016/j.ygeno.2015.06.005.</w:t>
      </w:r>
    </w:p>
    <w:p>
      <w:pPr>
        <w:pStyle w:val="BodyText"/>
      </w:pPr>
      <w:r>
        <w:t>Kampmann, M. 2018. CRISPRi and CRISPRa screens in mammalian cells for precision biology and medicine. ACS Chemical Biology 13:406-416. https://doi.org/10.1021/acschembio.7b00657.</w:t>
      </w:r>
    </w:p>
    <w:p>
      <w:pPr>
        <w:pStyle w:val="BodyText"/>
      </w:pPr>
      <w:r>
        <w:t>Rehm, H. L., Berg, J. S., Brooks, L. D., et al. 2015. ClinGen--the Clinical Genome Resource. New England Journal of Medicine 372:2235-2242. https://doi.org/10.1056/NEJMsr1406261.</w:t>
      </w:r>
    </w:p>
    <w:p>
      <w:pPr>
        <w:pStyle w:val="BodyText"/>
      </w:pPr>
      <w:r>
        <w:t>Rice, E. S., Alberdi, A., Alfieri, J., et al. 2023. A pangenome graph reference of 30 chicken genomes allows genotyping of large and complex structural variants. BMC Biology 21:267. https://doi.org/10.1186/s12915-023-01758-0.</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Shen, L., Bai, X., Zhao, L., et al. 2024. Integrative 3D genomics with multi-omics analysis and functional validation of genetic regulatory mechanisms of abdominal fat deposition in chickens. Nature Communications 15:9274. https://doi.org/10.1038/s41467-024-53692-6.</w:t>
      </w:r>
    </w:p>
    <w:p>
      <w:pPr>
        <w:pStyle w:val="BodyText"/>
      </w:pPr>
      <w:r>
        <w:t>van de Lavoir, M.-C., Diamond, J. H., Leighton, P. A., et al. 2006. Germline transmission of genetically modified primordial germ cells. Nature 441:766-769. https://doi.org/10.1038/nature04831.</w:t>
      </w:r>
    </w:p>
    <w:p>
      <w:pPr>
        <w:pStyle w:val="BodyText"/>
      </w:pPr>
      <w:r>
        <w:t>Wang, D., Zhu, Y., Dong, J., Zhi, Y., Wei, G., Kang, X., and Liu, X. 2025. Exploring the functional variations of key candidate genes affecting egg production by hypothalamic-pituitary-ovarian axis in chickens. Poultry Science 104:105027. https://doi.org/10.1016/j.psj.2025.105027.</w:t>
      </w:r>
    </w:p>
    <w:p>
      <w:pPr>
        <w:pStyle w:val="BodyText"/>
      </w:pPr>
      <w:r>
        <w:t>Wang, Z., Qu, L., Yao, J., et al. 2013. An EAV-HP insertion in 5 flanking region of SLCO1B3 causes blue eggshell in the chicken. PLoS Genetics 9:e1003183. https://doi.org/10.1371/journal.pgen.1003183.</w:t>
      </w:r>
    </w:p>
    <w:p>
      <w:pPr>
        <w:pStyle w:val="BodyText"/>
      </w:pPr>
      <w:r>
        <w:t>Whyte, J., Glover, J. D., Woodcock, M., et al. 2015. FGF, insulin, and SMAD signaling cooperate for avian primordial germ cell self-renewal. Stem Cell Reports 5:1171-1182. https://doi.org/10.1016/j.stemcr.2015.10.008.</w:t>
      </w:r>
    </w:p>
    <w:p>
      <w:pPr>
        <w:pStyle w:val="BodyText"/>
      </w:pPr>
      <w:r>
        <w:t>Wright, D., Boije, H., Meadows, J. R. S., et al. 2009. Copy number variation in intron 1 of SOX5 causes the pea-comb phenotype in chickens. PLoS Genetics 5:e1000512. https://doi.org/10.1371/journal.pgen.1000512.</w:t>
      </w:r>
    </w:p>
    <w:p>
      <w:pPr>
        <w:pStyle w:val="BodyText"/>
      </w:pPr>
      <w:r>
        <w:t>Zhu, Z., Zhang, F., Hu, H., et al. 2016. Integration of summary data from GWAS and eQTL studies predicts complex trait gene targets. Nature Genetics 48:481-487. https://doi.org/10.1038/ng.3538.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