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rPr>
        <w:t>家鸡复杂性状候选位点的证据分级与育种转化：一个启发式框架</w:t>
      </w:r>
    </w:p>
    <w:bookmarkStart w:id="20" w:name="摘要"/>
    <w:p>
      <w:pPr>
        <w:pStyle w:val="Heading2"/>
        <w:spacing w:before="240" w:after="120" w:line="312" w:lineRule="auto"/>
        <w:jc w:val="center"/>
      </w:pPr>
      <w:r>
        <w:rPr>
          <w:rFonts w:ascii="Times New Roman" w:hAnsi="Times New Roman" w:eastAsia="黑体" w:cs="Times New Roman"/>
          <w:b/>
          <w:color w:val="000000"/>
        </w:rPr>
        <w:t xml:space="preserve">摘要</w:t>
      </w:r>
    </w:p>
    <w:p>
      <w:pPr>
        <w:pStyle w:val="FirstParagraph"/>
        <w:spacing w:before="0" w:after="0" w:line="360" w:lineRule="auto"/>
        <w:ind w:firstLine="480"/>
        <w:jc w:val="both"/>
      </w:pPr>
      <w:r>
        <w:rPr>
          <w:rFonts w:ascii="Times New Roman" w:hAnsi="Times New Roman" w:eastAsia="宋体" w:cs="Times New Roman"/>
          <w:color w:val="000000"/>
        </w:rPr>
        <w:t>家鸡复杂性状研究已通过 QTL、GWAS、选择扫描和多组学整合积累大量候选位点。但后关联阶段的核心问题已不再是发现更多信号，而是判断已有信号处在何种证据阶段。本文提出一个启发式证据成熟度与育种转化框架（a proposed heuristic framework），将证据划分为四阶：候选线索（C）、有重复或机制支持的候选（B）、高验证优先级（B+），以及具有完整“变异—分子功能—表型”链条和强功能验证的因果证据（A）。本文的方法学贡献在于将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评估矩阵。应用该框架评估本文纳入的代表性位点后显示：variant-level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rPr>
        <w:t xml:space="preserve">1 引言</w:t>
      </w:r>
    </w:p>
    <w:p>
      <w:pPr>
        <w:pStyle w:val="FirstParagraph"/>
        <w:spacing w:before="0" w:after="0" w:line="360" w:lineRule="auto"/>
        <w:ind w:firstLine="480"/>
        <w:jc w:val="both"/>
      </w:pPr>
      <w:r>
        <w:rPr>
          <w:rFonts w:ascii="Times New Roman" w:hAnsi="Times New Roman" w:eastAsia="宋体" w:cs="Times New Roman"/>
          <w:color w:val="000000"/>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基于本文纳入的代表性位点，variant-level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line="360" w:lineRule="auto" w:before="0" w:after="0"/>
        <w:ind w:firstLine="480"/>
        <w:jc w:val="both"/>
      </w:pPr>
      <w:r>
        <w:rPr>
          <w:rFonts w:ascii="Times New Roman" w:hAnsi="Times New Roman" w:eastAsia="宋体" w:cs="Times New Roman"/>
          <w:color w:val="000000"/>
        </w:rPr>
        <w:t>评级判定流程如下。第一，先定证据层级：根据变异解析程度将证据归入 region-level、gene-level、variant-level、haplotype-level 或 target-level，避免把区域信号、候选基因、自然变异和编辑靶点混为同一层级。</w:t>
      </w:r>
    </w:p>
    <w:p>
      <w:pPr>
        <w:pStyle w:val="BodyText"/>
        <w:spacing w:line="360" w:lineRule="auto" w:before="0" w:after="0"/>
        <w:ind w:firstLine="480"/>
        <w:jc w:val="both"/>
      </w:pPr>
      <w:r>
        <w:rPr>
          <w:rFonts w:ascii="Times New Roman" w:hAnsi="Times New Roman" w:eastAsia="宋体" w:cs="Times New Roman"/>
          <w:color w:val="000000"/>
        </w:rPr>
        <w:t>第二，先检查 A 级硬门槛：是否已有强功能验证，包括内源编辑、PGC 介导编辑、体内模型、救援实验、自然突变或等位基因导入等能够连接变异或靶点与表型后果的证据。若没有，最高只能评为 B+，不得评为 A；若有，再进入 A 级判定，并区分 variant-level A 与 gene/target-level A。</w:t>
      </w:r>
    </w:p>
    <w:p>
      <w:pPr>
        <w:pStyle w:val="BodyText"/>
        <w:spacing w:line="360" w:lineRule="auto" w:before="0" w:after="0"/>
        <w:ind w:firstLine="480"/>
        <w:jc w:val="both"/>
      </w:pPr>
      <w:r>
        <w:rPr>
          <w:rFonts w:ascii="Times New Roman" w:hAnsi="Times New Roman" w:eastAsia="宋体" w:cs="Times New Roman"/>
          <w:color w:val="000000"/>
        </w:rPr>
        <w:t>第三，在未达到 A 级门槛的前提下判定 B+：若明确候选变异、至少一种强机制互证（如共定位、等位基因特异表达、方向一致的调控证据）和中等功能证据三项中至少两项同时存在，且不同证据能够相互印证，可评为 B+；若证据只达到单项较强或多项之间不能形成互证，则保持 B。</w:t>
      </w:r>
    </w:p>
    <w:p>
      <w:pPr>
        <w:pStyle w:val="BodyText"/>
        <w:spacing w:line="360" w:lineRule="auto" w:before="0" w:after="0"/>
        <w:ind w:firstLine="480"/>
        <w:jc w:val="both"/>
      </w:pPr>
      <w:r>
        <w:rPr>
          <w:rFonts w:ascii="Times New Roman" w:hAnsi="Times New Roman" w:eastAsia="宋体" w:cs="Times New Roman"/>
          <w:color w:val="000000"/>
        </w:rPr>
        <w:t>第四，C 级用于单一 GWAS、单一差异表达、单一选择扫描、最近基因注释或候选基因合理性，但缺少独立重复、机制互证和功能验证的情形。C 级不是否定信号价值，而是提示其仍处于假设生成阶段。</w:t>
      </w:r>
    </w:p>
    <w:p>
      <w:pPr>
        <w:pStyle w:val="BodyText"/>
        <w:spacing w:line="360" w:lineRule="auto" w:before="0" w:after="0"/>
        <w:ind w:firstLine="480"/>
        <w:jc w:val="both"/>
      </w:pPr>
      <w:r>
        <w:rPr>
          <w:rFonts w:ascii="Times New Roman" w:hAnsi="Times New Roman" w:eastAsia="宋体" w:cs="Times New Roman"/>
          <w:color w:val="000000"/>
        </w:rPr>
        <w:t>第五，T 轴独立判定：B+ 不能自动对应 T1 或 T2；是否进入 T1/T2 必须单独评估目标群体效应、多性状影响、经济权重、福利风险和监管可行性。</w:t>
      </w:r>
    </w:p>
    <w:p>
      <w:pPr>
        <w:pStyle w:val="BodyText"/>
        <w:spacing w:line="360" w:lineRule="auto" w:before="0" w:after="0"/>
        <w:ind w:firstLine="480"/>
        <w:jc w:val="both"/>
      </w:pPr>
      <w:r>
        <w:rPr>
          <w:rFonts w:ascii="Times New Roman" w:hAnsi="Times New Roman" w:eastAsia="宋体" w:cs="Times New Roman"/>
          <w:color w:val="000000"/>
        </w:rPr>
        <w:t>这一流程还需遵守两个关键原则：两个中等证据不自动等于一个强证据；多个同类表达证据也不应简单堆叠为更高等级。只有当不同证据类型在同一候选变异、靶基因、目标组织和表型方向上形成互证时，才构成真正的证据升级。</w:t>
      </w:r>
    </w:p>
    <w:p>
      <w:pPr>
        <w:pStyle w:val="BodyText"/>
        <w:spacing w:before="120" w:after="80" w:line="288" w:lineRule="auto"/>
        <w:jc w:val="center"/>
      </w:pPr>
      <w:r>
        <w:rPr>
          <w:rFonts w:ascii="Times New Roman" w:hAnsi="Times New Roman" w:eastAsia="宋体" w:cs="Times New Roman"/>
          <w:b/>
          <w:color w:val="000000"/>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rPr>
        <w:t>表 1 家鸡候选位点证据等级（C/B/B+/A）在四个证据维度上的典型判定特征</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rPr>
        <w:t>本框架定位为启发式判断工具，而非经过信度验证的量表；其评级一致性的形式化验证（inter-rater reliability）属于后续工作，不影响其作为讨论性框架的适用性。未来若要将其发展为正式量表，可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rPr>
        <w:t>因此，本文提出的 C、B、B+、A 和 T0/T1/T2 框架，是用于结构化叙述综述的操作性判断工具，而不是正式指南或定量评分量表。它的价值在于提高讨论透明度，使读者能够看清一个候选位点的证据来自哪里、强到什么程度、缺哪一环、下一步应该验证什么。它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rPr>
        <w:t>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rPr>
        <w:t>在本文中，该框架的用途更克制：它帮助组织已有文献，避免把候选线索提前包装成因果位点，也避免把功能验证结果直接等同于育种应用。下一章将应用该框架比较不同性状的代表性候选位点，并指出 variant-level A 在本文评估案例中的具体分布。</w:t>
      </w:r>
    </w:p>
    <w:p>
      <w:pPr>
        <w:pStyle w:val="Heading2"/>
        <w:spacing w:before="240" w:after="120" w:line="312" w:lineRule="auto"/>
        <w:jc w:val="left"/>
      </w:pPr>
      <w:r>
        <w:rPr>
          <w:rFonts w:ascii="Times New Roman" w:hAnsi="Times New Roman" w:eastAsia="黑体" w:cs="Times New Roman"/>
          <w:b/>
          <w:color w:val="000000"/>
        </w:rPr>
        <w:t xml:space="preserve">4 代表性性状和候选位点的证据成熟度比较</w:t>
      </w:r>
    </w:p>
    <w:p>
      <w:pPr>
        <w:pStyle w:val="FirstParagraph"/>
      </w:pPr>
      <w:r>
        <w:rPr>
          <w:color w:val="000000"/>
        </w:rPr>
        <w:t>本章按第 3 章的证据成熟度框架重组代表性位点，正文只保留能够支撑分级差异的关键案例：A 级样板（SLCO1B3、BCDO2、EDN3、SOX5）、B+ 案例（IGF2BP1、rs734209466–IGFBP2/IGFBP5）、B 案例（PHIP）、抗病证据非对称案例（ANP32A、TVB/NHE1、MHC-B），以及两个教学性案例（MSTN、TSHR）。IGF1/GHR/CAPN1 等生长或肉质候选基因、蛋壳强度和内分泌候选基因、以及各类感染相关候选基因不再在正文逐一展开，而集中列入文末补充表 1。</w:t>
      </w:r>
    </w:p>
    <w:p>
      <w:pPr>
        <w:pStyle w:val="BodyText"/>
      </w:pPr>
      <w:r>
        <w:rPr>
          <w:color w:val="000000"/>
        </w:rPr>
        <w:t>这种取舍不是降低其研究价值，而是避免第 4 章变成候选基因清单。正文的任务是展示 C、B、B+、A 和 T0/T1/T2 如何区分不同证据状态；补充表则承担完整列示、证据抽取和评级依据复核功能。定量背景仍可概括为：肉鸡体重和生长性状常呈中高遗传力，产蛋数量和持续性多为低到中等遗传力，饲料效率或剩余采食量常为中等遗传力，GS 预测准确性则随群体规模、亲缘关系、标记密度和表型质量显著变化（Wolc, 2014；Wolc et al., 2016；Liu et al., 2017；Mebratie et al., 2019；Yang et al., 2021）。因此，本章比较的核心不是“报道了多少基因”，而是“证据链到达了哪个层级”。</w:t>
      </w:r>
    </w:p>
    <w:p>
      <w:pPr>
        <w:pStyle w:val="BodyText"/>
      </w:pPr>
      <w:r>
        <w:rPr>
          <w:color w:val="000000"/>
        </w:rPr>
        <w:t>为提高 C/B/B+/A 评级的可复核性，正文表 2–5 仅列关键案例；完整证据抽取、包括移入补充材料的候选集合，见文末补充表 1。</w:t>
      </w:r>
    </w:p>
    <w:p>
      <w:pPr>
        <w:pStyle w:val="Heading3"/>
      </w:pPr>
      <w:r>
        <w:rPr>
          <w:color w:val="000000"/>
        </w:rPr>
        <w:t>4.1 生长、胴体、脂肪沉积与饲料效率</w:t>
      </w:r>
    </w:p>
    <w:p>
      <w:pPr>
        <w:pStyle w:val="BodyText"/>
      </w:pPr>
      <w:r>
        <w:rPr>
          <w:color w:val="000000"/>
        </w:rPr>
        <w:t>生长、胴体组成、脂肪沉积和饲料效率属于典型多基因经济性状，表型受发育阶段、性别、营养、管理条件和多性状权衡共同影响。正文保留 IGF2BP1、rs734209466–IGFBP2/IGFBP5 和 MSTN 三个案例：前两者代表 B+ 型调控候选，后者用于说明 gene-level 功能背景不能自动升级为 chicken variant-level A。</w:t>
      </w:r>
    </w:p>
    <w:p>
      <w:pPr>
        <w:pStyle w:val="BodyText"/>
      </w:pPr>
      <w:r>
        <w:rPr>
          <w:color w:val="000000"/>
        </w:rPr>
        <w:t>IGF2BP1 启动子缺失是生长方向证据链较强的代表。该研究在鸡泛基因组中识别到参考基因组未充分代表的启动子缺失，并将该结构变异与 IGF2BP1 表达、启动子活性和体型差异相联系；在 Gushi×Anak F2 扩大群体中，L1 等位型与多个体型和胴体性状显著相关，部分表型解释率达到可报告水平（Wang K. et al., 2021）。其价值在于把结构变异、调控活性、表达变化和体型表型连接起来，明显强于普通 GWAS 邻近基因注释。但由于仍缺少内源编辑、等位基因导入和目标商业群体多性状评估，本文将其定位为 variant-level B+ / T0，而不是 A 或 T2。</w:t>
      </w:r>
    </w:p>
    <w:p>
      <w:pPr>
        <w:pStyle w:val="BodyText"/>
      </w:pPr>
      <w:r>
        <w:rPr>
          <w:color w:val="000000"/>
        </w:rPr>
        <w:t>rs734209466–IGFBP2/IGFBP5 调控链提供了脂肪沉积方向的 B+ 案例。该研究把非编码变异、增强子活性、三维调控、靶基因表达和脂前体细胞功能联系起来，使候选信号不再停留在“显著 SNP 附近有脂肪代谢基因”的层面（Shen et al., 2024）。不过，腹脂沉积具有明确目标依赖性：过高脂肪会降低胴体价值，极端降低脂肪也可能影响代谢稳态、肉品质和繁殖表现。因此，该位点更适合作为机制验证对象或 GS 功能先验，只有在完成内源编辑、跨群体验证和目标群体效应评估后，才可能进一步上调。</w:t>
      </w:r>
    </w:p>
    <w:p>
      <w:pPr>
        <w:pStyle w:val="BodyText"/>
      </w:pPr>
      <w:r>
        <w:rPr>
          <w:color w:val="000000"/>
        </w:rPr>
        <w:t>MSTN 适合作为 gene-level 与 variant-level 区分的教学性案例。MSTN 在哺乳动物肌肉发育中具有强功能证据，跨物种研究也支持其作为肌肉生长负调控因子的生物学重要性（Kambadur et al., 1997）。但是，在家鸡自然群体内，MSTN 相关信号并不等同于已经存在类似 Belgian Blue 牛那样的明确主效自然变异。因此，MSTN 在鸡内更适合定位为 gene-level B / T0 或机制背景基因；它能提高生物学合理性，但不能替代家鸡群体中的明确变异、等位基因效应和体内因果验证。</w:t>
      </w:r>
    </w:p>
    <w:p>
      <w:pPr>
        <w:pStyle w:val="BodyText"/>
      </w:pPr>
      <w:r>
        <w:rPr>
          <w:color w:val="000000"/>
        </w:rPr>
        <w:t>IGF1、IGF1R、GHR、MYOD/MYF 家族、FABP3、FABP4、PPARG、LPL、CAPN1、CAST、IMFNCR–PPARG、CCKAR、宿主—肠道微生物特征等不再在正文逐项展开；这些证据单元保留在补充表 1 中，作为 C–B 或 B 级候选背景。总体上，本节没有成熟 variant-level A 案例，最高证据主要停留在 B+，对应的育种工具也应以 GS、多性状选择指数和功能验证优先级排序为主。</w:t>
      </w:r>
    </w:p>
    <w:p>
      <w:pPr>
        <w:pStyle w:val="BodyText"/>
      </w:pPr>
      <w:r>
        <w:rPr>
          <w:color w:val="000000"/>
        </w:rPr>
        <w:t>表 2 生长、胴体、脂肪沉积与饲料效率关键案例的证据成熟度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IGF2BP1 启动子缺失</w:t>
            </w:r>
          </w:p>
        </w:tc>
        <w:tc>
          <w:tcPr>
            <w:tcW w:type="dxa" w:w="2163"/>
            <w:vAlign w:val="center"/>
          </w:tcPr>
          <w:p>
            <w:r>
              <w:rPr>
                <w:color w:val="000000"/>
              </w:rPr>
              <w:t>体型 / 生长</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泛基因组缺失变异、启动子活性、表达变化、体型关联</w:t>
            </w:r>
          </w:p>
        </w:tc>
        <w:tc>
          <w:tcPr>
            <w:tcW w:type="dxa" w:w="2163"/>
            <w:vAlign w:val="center"/>
          </w:tcPr>
          <w:p>
            <w:r>
              <w:rPr>
                <w:color w:val="000000"/>
              </w:rPr>
              <w:t>内源编辑或等位基因导入；目标商业群体多性状评估</w:t>
            </w:r>
          </w:p>
        </w:tc>
      </w:tr>
      <w:tr>
        <w:tc>
          <w:tcPr>
            <w:tcW w:type="dxa" w:w="2163"/>
            <w:vAlign w:val="center"/>
          </w:tcPr>
          <w:p>
            <w:r>
              <w:rPr>
                <w:color w:val="000000"/>
              </w:rPr>
              <w:t>rs734209466–IGFBP2/IGFBP5</w:t>
            </w:r>
          </w:p>
        </w:tc>
        <w:tc>
          <w:tcPr>
            <w:tcW w:type="dxa" w:w="2163"/>
            <w:vAlign w:val="center"/>
          </w:tcPr>
          <w:p>
            <w:r>
              <w:rPr>
                <w:color w:val="000000"/>
              </w:rPr>
              <w:t>腹脂沉积</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等位基因特异增强子、三维调控、靶基因表达及脂前体细胞表型</w:t>
            </w:r>
          </w:p>
        </w:tc>
        <w:tc>
          <w:tcPr>
            <w:tcW w:type="dxa" w:w="2163"/>
            <w:vAlign w:val="center"/>
          </w:tcPr>
          <w:p>
            <w:r>
              <w:rPr>
                <w:color w:val="000000"/>
              </w:rPr>
              <w:t>内源编辑、跨群体自然变异验证、目标群体效应</w:t>
            </w:r>
          </w:p>
        </w:tc>
      </w:tr>
      <w:tr>
        <w:tc>
          <w:tcPr>
            <w:tcW w:type="dxa" w:w="2163"/>
            <w:vAlign w:val="center"/>
          </w:tcPr>
          <w:p>
            <w:r>
              <w:rPr>
                <w:color w:val="000000"/>
              </w:rPr>
              <w:t>MSTN</w:t>
            </w:r>
          </w:p>
        </w:tc>
        <w:tc>
          <w:tcPr>
            <w:tcW w:type="dxa" w:w="2163"/>
            <w:vAlign w:val="center"/>
          </w:tcPr>
          <w:p>
            <w:r>
              <w:rPr>
                <w:color w:val="000000"/>
              </w:rPr>
              <w:t>肌肉发育</w:t>
            </w:r>
          </w:p>
        </w:tc>
        <w:tc>
          <w:tcPr>
            <w:tcW w:type="dxa" w:w="2163"/>
            <w:vAlign w:val="center"/>
          </w:tcPr>
          <w:p>
            <w:r>
              <w:rPr>
                <w:color w:val="000000"/>
              </w:rPr>
              <w:t>gene-level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跨物种功能保守性和肌肉发育生物学合理性</w:t>
            </w:r>
          </w:p>
        </w:tc>
        <w:tc>
          <w:tcPr>
            <w:tcW w:type="dxa" w:w="2163"/>
            <w:vAlign w:val="center"/>
          </w:tcPr>
          <w:p>
            <w:r>
              <w:rPr>
                <w:color w:val="000000"/>
              </w:rPr>
              <w:t>家鸡自然群体内强效可育种等位变异证据不足</w:t>
            </w:r>
          </w:p>
        </w:tc>
      </w:tr>
    </w:tbl>
    <w:p>
      <w:pPr>
        <w:pStyle w:val="Heading3"/>
      </w:pPr>
      <w:r>
        <w:rPr>
          <w:color w:val="000000"/>
        </w:rPr>
        <w:t>4.2 繁殖产蛋与蛋品质</w:t>
      </w:r>
    </w:p>
    <w:p>
      <w:pPr>
        <w:pStyle w:val="BodyText"/>
      </w:pPr>
      <w:r>
        <w:rPr>
          <w:color w:val="000000"/>
        </w:rPr>
        <w:t>繁殖产蛋与蛋品质包含开产日龄、产蛋数、产蛋持续性、抱窝性、壳色、壳强度、蛋白品质和储藏稳定性等多个表型层级。正文保留 SLCO1B3 和 PHIP 两个对照案例：前者是壳色主效表型的 A 级样板，后者是产蛋相关非编码变异的 B 级候选。PRLR、NCAPG-FAM184B、GGAZ、褐壳色、蛋壳强度、内部蛋品质和繁殖内分泌相关候选基因移入补充表 1。</w:t>
      </w:r>
    </w:p>
    <w:p>
      <w:pPr>
        <w:pStyle w:val="BodyText"/>
      </w:pPr>
      <w:r>
        <w:rPr>
          <w:color w:val="000000"/>
        </w:rPr>
        <w:t>蓝壳 SLCO1B3 是第 4 章最清楚的 variant-level A 样板之一。5′侧翼区约 4.2 kb EAV-HP 插入可导致 SLCO1B3 在壳腺中特异表达，并与胆绿素沉积和蓝壳形成相联系；原始研究显示该插入与蓝壳表型呈孟德尔式共分离，且纯合蓝壳个体的壳腺 SLCO1B3 表达约为杂合个体的 2–3 倍（Wang Z. et al., 2013）。该案例满足具体变异、组织特异表达和可见表型之间的清楚连接，因此可定位为 variant-level A / T2，但 T2 只限蓝壳识别、品种特征管理和商品分级，不能外推到产蛋数、蛋壳强度或综合蛋品质。</w:t>
      </w:r>
    </w:p>
    <w:p>
      <w:pPr>
        <w:pStyle w:val="BodyText"/>
      </w:pPr>
      <w:r>
        <w:rPr>
          <w:color w:val="000000"/>
        </w:rPr>
        <w:t>PHIP 非编码变异则代表产蛋方向的 B 级候选。该类研究尝试将非编码变异、转录因子结合、PHIP 表达变化和卵巢颗粒细胞相关功能联系起来，使候选信号较普通 GWAS 邻近基因注释更进一步（Wang D. et al., 2025）。但与 B+ 案例相比，PHIP 当前更偏向单一候选变异—表达—细胞功能路径，仍缺少等位基因特异调控互证、三维调控证据、跨群体一致性和内源验证。因此，本文将其定位为 variant-level B / T0；卵巢细胞功能证据可以提高优先级，但不能自动等同于产蛋性能的体内因果证据。</w:t>
      </w:r>
    </w:p>
    <w:p>
      <w:pPr>
        <w:pStyle w:val="BodyText"/>
      </w:pPr>
      <w:r>
        <w:rPr>
          <w:color w:val="000000"/>
        </w:rPr>
        <w:t>表 3 繁殖产蛋与蛋品质关键案例的证据成熟度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SLCO1B3 EAV-HP 插入</w:t>
            </w:r>
          </w:p>
        </w:tc>
        <w:tc>
          <w:tcPr>
            <w:tcW w:type="dxa" w:w="2163"/>
            <w:vAlign w:val="center"/>
          </w:tcPr>
          <w:p>
            <w:r>
              <w:rPr>
                <w:color w:val="000000"/>
              </w:rPr>
              <w:t>蓝壳</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T2（壳色管理场景）</w:t>
            </w:r>
          </w:p>
        </w:tc>
        <w:tc>
          <w:tcPr>
            <w:tcW w:type="dxa" w:w="2163"/>
            <w:vAlign w:val="center"/>
          </w:tcPr>
          <w:p>
            <w:r>
              <w:rPr>
                <w:color w:val="000000"/>
              </w:rPr>
              <w:t>具体插入变异、壳腺特异表达、胆绿素沉积和蓝壳表型联系清楚</w:t>
            </w:r>
          </w:p>
        </w:tc>
        <w:tc>
          <w:tcPr>
            <w:tcW w:type="dxa" w:w="2163"/>
            <w:vAlign w:val="center"/>
          </w:tcPr>
          <w:p>
            <w:r>
              <w:rPr>
                <w:color w:val="000000"/>
              </w:rPr>
              <w:t>不能外推到产蛋数、蛋壳强度或综合蛋品质</w:t>
            </w:r>
          </w:p>
        </w:tc>
      </w:tr>
      <w:tr>
        <w:tc>
          <w:tcPr>
            <w:tcW w:type="dxa" w:w="2163"/>
            <w:vAlign w:val="center"/>
          </w:tcPr>
          <w:p>
            <w:r>
              <w:rPr>
                <w:color w:val="000000"/>
              </w:rPr>
              <w:t>PHIP 非编码变异</w:t>
            </w:r>
          </w:p>
        </w:tc>
        <w:tc>
          <w:tcPr>
            <w:tcW w:type="dxa" w:w="2163"/>
            <w:vAlign w:val="center"/>
          </w:tcPr>
          <w:p>
            <w:r>
              <w:rPr>
                <w:color w:val="000000"/>
              </w:rPr>
              <w:t>产蛋 / 卵巢功能</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w:t>
            </w:r>
          </w:p>
        </w:tc>
        <w:tc>
          <w:tcPr>
            <w:tcW w:type="dxa" w:w="2163"/>
            <w:vAlign w:val="center"/>
          </w:tcPr>
          <w:p>
            <w:r>
              <w:rPr>
                <w:color w:val="000000"/>
              </w:rPr>
              <w:t>非编码变异、转录因子结合、PHIP 表达和颗粒细胞相关功能线索</w:t>
            </w:r>
          </w:p>
        </w:tc>
        <w:tc>
          <w:tcPr>
            <w:tcW w:type="dxa" w:w="2163"/>
            <w:vAlign w:val="center"/>
          </w:tcPr>
          <w:p>
            <w:r>
              <w:rPr>
                <w:color w:val="000000"/>
              </w:rPr>
              <w:t>等位基因特异互证、内源编辑、体内因果验证和跨群体稳定性不足</w:t>
            </w:r>
          </w:p>
        </w:tc>
      </w:tr>
    </w:tbl>
    <w:p>
      <w:pPr>
        <w:pStyle w:val="Heading3"/>
      </w:pPr>
      <w:r>
        <w:rPr>
          <w:color w:val="000000"/>
        </w:rPr>
        <w:t>4.3 抗病与免疫性状</w:t>
      </w:r>
    </w:p>
    <w:p>
      <w:pPr>
        <w:pStyle w:val="BodyText"/>
      </w:pPr>
      <w:r>
        <w:rPr>
          <w:color w:val="000000"/>
        </w:rPr>
        <w:t>抗病与免疫性状必须绑定具体病原、感染模型和表型终点。正文保留 MHC-B、ANP32A 和 TVB/NHE1 三个案例，因为它们能够展示抗病证据的非对称性：强证据常出现在 haplotype、gene 或 target 层面，而不是自然变异的 variant-level A。TLR、IFITM3、MX1、OASL、SLC11A1、IL 家族以及 NDV、IBDV、IBV、球虫病、沙门氏菌等候选集合保留在补充表 1。</w:t>
      </w:r>
    </w:p>
    <w:p>
      <w:pPr>
        <w:pStyle w:val="BodyText"/>
      </w:pPr>
      <w:r>
        <w:rPr>
          <w:color w:val="000000"/>
        </w:rPr>
        <w:t>MHC-B 是家鸡抗病遗传研究中最经典的免疫区域之一。不同 MHC-B 单倍型与马立克氏病、抗体反应、疫苗应答和多种免疫性状之间的关系已被长期讨论，且鸡 B 位点具有相对紧凑但功能集中的 MHC 结构（Briles and Briles, 1982；Kaufman et al., 1999）。它的优势是免疫功能明确、跨研究重复较多；局限是高度多态、强连锁和基因密集，效应常难以归因于单一因果变异。本文因此将其定位为 haplotype/region-level B+ / T1（限特定疾病和目标群体），而不是 variant-level A。</w:t>
      </w:r>
    </w:p>
    <w:p>
      <w:pPr>
        <w:pStyle w:val="BodyText"/>
      </w:pPr>
      <w:r>
        <w:rPr>
          <w:color w:val="000000"/>
        </w:rPr>
        <w:t>ANP32A 是禽流感宿主因子中功能证据最强的代表之一。编辑 ANP32A 可影响禽流感病毒聚合酶适配和复制；稳定编辑鸡在低剂量 H9N2 感染中多数直接接种个体未检出感染性病毒，高剂量感染中病毒排出面积也显著降低，但仍可见低水平突破感染（Idoko-Akoh et al., 2023）。这说明 ANP32A 可在 gene/target-level 达到 A / T0–T1（高转化风险），但自然群体中的 variant-level 证据仍应定位为 B–C / T0。两条证据轴不能合并为单一最高等级。</w:t>
      </w:r>
    </w:p>
    <w:p>
      <w:pPr>
        <w:pStyle w:val="BodyText"/>
      </w:pPr>
      <w:r>
        <w:rPr>
          <w:color w:val="000000"/>
        </w:rPr>
        <w:t>TVB/NHE1 受体相关研究提供了另一种非对称模式。NHE1 精准编辑可使细胞或鸡对 ALV-J 感染表现出抵抗，TVB 自然移码突变也可降低鸡对 ALV-B、ALV-D 和 ALV-E 的易感性（Lee et al., 2017；Li et al., 2018）。因此，TVB/NHE1 可定位为 gene/target-level B+–A / T0–T1，在特定 ALV 亚群和明确受体模型中接近 A；其 variant-level 证据则暂定为 B–B+ / T0，仍需跨群体自然变异效应、体内感染验证和产业边界限定。</w:t>
      </w:r>
    </w:p>
    <w:p>
      <w:pPr>
        <w:pStyle w:val="BodyText"/>
      </w:pPr>
      <w:r>
        <w:rPr>
          <w:color w:val="000000"/>
        </w:rPr>
        <w:t>表 4 抗病与免疫性状关键案例的证据成熟度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ANP32A</w:t>
            </w:r>
          </w:p>
        </w:tc>
        <w:tc>
          <w:tcPr>
            <w:tcW w:type="dxa" w:w="2163"/>
            <w:vAlign w:val="center"/>
          </w:tcPr>
          <w:p>
            <w:r>
              <w:rPr>
                <w:color w:val="000000"/>
              </w:rPr>
              <w:t>禽流感病毒复制 / 宿主因子</w:t>
            </w:r>
          </w:p>
        </w:tc>
        <w:tc>
          <w:tcPr>
            <w:tcW w:type="dxa" w:w="2163"/>
            <w:vAlign w:val="center"/>
          </w:tcPr>
          <w:p>
            <w:r>
              <w:rPr>
                <w:color w:val="000000"/>
              </w:rPr>
              <w:t>gene/target-level + variant-level</w:t>
            </w:r>
          </w:p>
        </w:tc>
        <w:tc>
          <w:tcPr>
            <w:tcW w:type="dxa" w:w="2163"/>
            <w:vAlign w:val="center"/>
          </w:tcPr>
          <w:p>
            <w:r>
              <w:rPr>
                <w:color w:val="000000"/>
              </w:rPr>
              <w:t>A（gene/target）+ B–C（variant）</w:t>
            </w:r>
          </w:p>
        </w:tc>
        <w:tc>
          <w:tcPr>
            <w:tcW w:type="dxa" w:w="2163"/>
            <w:vAlign w:val="center"/>
          </w:tcPr>
          <w:p>
            <w:r>
              <w:rPr>
                <w:color w:val="000000"/>
              </w:rPr>
              <w:t>T0–T1（高转化风险）</w:t>
            </w:r>
          </w:p>
        </w:tc>
        <w:tc>
          <w:tcPr>
            <w:tcW w:type="dxa" w:w="2163"/>
            <w:vAlign w:val="center"/>
          </w:tcPr>
          <w:p>
            <w:r>
              <w:rPr>
                <w:color w:val="000000"/>
              </w:rPr>
              <w:t>编辑或强扰动证明宿主因子影响病毒复制和感染结局</w:t>
            </w:r>
          </w:p>
        </w:tc>
        <w:tc>
          <w:tcPr>
            <w:tcW w:type="dxa" w:w="2163"/>
            <w:vAlign w:val="center"/>
          </w:tcPr>
          <w:p>
            <w:r>
              <w:rPr>
                <w:color w:val="000000"/>
              </w:rPr>
              <w:t>自然可育种等位变异、病原逃逸、功能补偿、多性状影响、监管和福利评估</w:t>
            </w:r>
          </w:p>
        </w:tc>
      </w:tr>
      <w:tr>
        <w:tc>
          <w:tcPr>
            <w:tcW w:type="dxa" w:w="2163"/>
            <w:vAlign w:val="center"/>
          </w:tcPr>
          <w:p>
            <w:r>
              <w:rPr>
                <w:color w:val="000000"/>
              </w:rPr>
              <w:t>TVB/NHE1 受体相关位点</w:t>
            </w:r>
          </w:p>
        </w:tc>
        <w:tc>
          <w:tcPr>
            <w:tcW w:type="dxa" w:w="2163"/>
            <w:vAlign w:val="center"/>
          </w:tcPr>
          <w:p>
            <w:r>
              <w:rPr>
                <w:color w:val="000000"/>
              </w:rPr>
              <w:t>ALV 易感性 / 病毒入侵受体</w:t>
            </w:r>
          </w:p>
        </w:tc>
        <w:tc>
          <w:tcPr>
            <w:tcW w:type="dxa" w:w="2163"/>
            <w:vAlign w:val="center"/>
          </w:tcPr>
          <w:p>
            <w:r>
              <w:rPr>
                <w:color w:val="000000"/>
              </w:rPr>
              <w:t>gene/target-level + variant-level</w:t>
            </w:r>
          </w:p>
        </w:tc>
        <w:tc>
          <w:tcPr>
            <w:tcW w:type="dxa" w:w="2163"/>
            <w:vAlign w:val="center"/>
          </w:tcPr>
          <w:p>
            <w:r>
              <w:rPr>
                <w:color w:val="000000"/>
              </w:rPr>
              <w:t>B+–A（gene/target）+ B–B+（variant）</w:t>
            </w:r>
          </w:p>
        </w:tc>
        <w:tc>
          <w:tcPr>
            <w:tcW w:type="dxa" w:w="2163"/>
            <w:vAlign w:val="center"/>
          </w:tcPr>
          <w:p>
            <w:r>
              <w:rPr>
                <w:color w:val="000000"/>
              </w:rPr>
              <w:t>T0–T1</w:t>
            </w:r>
          </w:p>
        </w:tc>
        <w:tc>
          <w:tcPr>
            <w:tcW w:type="dxa" w:w="2163"/>
            <w:vAlign w:val="center"/>
          </w:tcPr>
          <w:p>
            <w:r>
              <w:rPr>
                <w:color w:val="000000"/>
              </w:rPr>
              <w:t>NHE1 编辑和 TVB 自然移码突变等受体机制证据；特定 ALV 亚群中易感性改变较明确</w:t>
            </w:r>
          </w:p>
        </w:tc>
        <w:tc>
          <w:tcPr>
            <w:tcW w:type="dxa" w:w="2163"/>
            <w:vAlign w:val="center"/>
          </w:tcPr>
          <w:p>
            <w:r>
              <w:rPr>
                <w:color w:val="000000"/>
              </w:rPr>
              <w:t>跨群体自然变异效应、病毒亚群特异性、体内感染验证和产业边界</w:t>
            </w:r>
          </w:p>
        </w:tc>
      </w:tr>
      <w:tr>
        <w:tc>
          <w:tcPr>
            <w:tcW w:type="dxa" w:w="2163"/>
            <w:vAlign w:val="center"/>
          </w:tcPr>
          <w:p>
            <w:r>
              <w:rPr>
                <w:color w:val="000000"/>
              </w:rPr>
              <w:t>MHC-B 单倍型</w:t>
            </w:r>
          </w:p>
        </w:tc>
        <w:tc>
          <w:tcPr>
            <w:tcW w:type="dxa" w:w="2163"/>
            <w:vAlign w:val="center"/>
          </w:tcPr>
          <w:p>
            <w:r>
              <w:rPr>
                <w:color w:val="000000"/>
              </w:rPr>
              <w:t>马立克氏病 / 免疫应答 / 疫苗反应</w:t>
            </w:r>
          </w:p>
        </w:tc>
        <w:tc>
          <w:tcPr>
            <w:tcW w:type="dxa" w:w="2163"/>
            <w:vAlign w:val="center"/>
          </w:tcPr>
          <w:p>
            <w:r>
              <w:rPr>
                <w:color w:val="000000"/>
              </w:rPr>
              <w:t>haplotype/region-level</w:t>
            </w:r>
          </w:p>
        </w:tc>
        <w:tc>
          <w:tcPr>
            <w:tcW w:type="dxa" w:w="2163"/>
            <w:vAlign w:val="center"/>
          </w:tcPr>
          <w:p>
            <w:r>
              <w:rPr>
                <w:color w:val="000000"/>
              </w:rPr>
              <w:t>B+</w:t>
            </w:r>
          </w:p>
        </w:tc>
        <w:tc>
          <w:tcPr>
            <w:tcW w:type="dxa" w:w="2163"/>
            <w:vAlign w:val="center"/>
          </w:tcPr>
          <w:p>
            <w:r>
              <w:rPr>
                <w:color w:val="000000"/>
              </w:rPr>
              <w:t>T1（限特定疾病和群体）</w:t>
            </w:r>
          </w:p>
        </w:tc>
        <w:tc>
          <w:tcPr>
            <w:tcW w:type="dxa" w:w="2163"/>
            <w:vAlign w:val="center"/>
          </w:tcPr>
          <w:p>
            <w:r>
              <w:rPr>
                <w:color w:val="000000"/>
              </w:rPr>
              <w:t>免疫功能明确，跨研究和特定病原背景下重复较多</w:t>
            </w:r>
          </w:p>
        </w:tc>
        <w:tc>
          <w:tcPr>
            <w:tcW w:type="dxa" w:w="2163"/>
            <w:vAlign w:val="center"/>
          </w:tcPr>
          <w:p>
            <w:r>
              <w:rPr>
                <w:color w:val="000000"/>
              </w:rPr>
              <w:t>单一因果变异难以解析；单倍型效应具有病原、疫苗和遗传背景依赖性</w:t>
            </w:r>
          </w:p>
        </w:tc>
      </w:tr>
    </w:tbl>
    <w:p>
      <w:pPr>
        <w:pStyle w:val="Heading3"/>
      </w:pPr>
      <w:r>
        <w:rPr>
          <w:color w:val="000000"/>
        </w:rPr>
        <w:t>4.4 特色表型与地方适应</w:t>
      </w:r>
    </w:p>
    <w:p>
      <w:pPr>
        <w:pStyle w:val="BodyText"/>
      </w:pPr>
      <w:r>
        <w:rPr>
          <w:color w:val="000000"/>
        </w:rPr>
        <w:t>特色表型是家鸡 variant-level A 最集中的区域，但这些 A 级案例的 T2 通常限于品种识别、商品分级、保种、展览标准或特定市场管理场景。正文保留 BCDO2、EDN3、SOX5 和 TSHR：前三者与 SLCO1B3 共同构成 A 级样板，TSHR 则用于说明驯化扫描信号即使强，也不等同于现代商业育种中的 A 级因果位点。玫瑰冠、羽色、羽型、毛脚、羽速和地方适应选择扫描等候选集合保留在补充表 1。</w:t>
      </w:r>
    </w:p>
    <w:p>
      <w:pPr>
        <w:pStyle w:val="BodyText"/>
      </w:pPr>
      <w:r>
        <w:rPr>
          <w:color w:val="000000"/>
        </w:rPr>
        <w:t>黄肤 BCDO2 是较早形成清晰证据链的经典案例。该性状与 BCDO2 在皮肤中的组织特异性调控变异有关，影响类胡萝卜素代谢和皮肤色素沉积（Eriksson et al., 2008）。由于候选变异、组织特异表达、代谢功能和可见表型之间形成较完整链条，本文将其定位为 variant-level A / T2（肤色管理场景）。这一 T2 只能用于肤色识别、品种特征管理和相关商品性状分级，不能外推为生长、肉质或地方适应综合能力。</w:t>
      </w:r>
    </w:p>
    <w:p>
      <w:pPr>
        <w:pStyle w:val="BodyText"/>
      </w:pPr>
      <w:r>
        <w:rPr>
          <w:color w:val="000000"/>
        </w:rPr>
        <w:t>EDN3 纤维黑变和 SOX5 豌豆冠进一步说明，非编码或结构变异也可以达到 A 级。纤维黑变与 EDN3 相关复杂结构变异和异常表达有关，能够解释多组织黑色素沉积（Dorshorst et al., 2011）；豌豆冠与 SOX5 第 1 内含子重复序列扩增有关，显示非编码结构变异可通过发育调控产生清楚形态表型（Wright et al., 2009）。二者均可定位为 variant-level A / T2，但 T2 分别限于纤维黑变或冠型、品种特征管理场景，不能外推为肉质、抗病、药用价值或综合生产性能。</w:t>
      </w:r>
    </w:p>
    <w:p>
      <w:pPr>
        <w:pStyle w:val="BodyText"/>
      </w:pPr>
      <w:r>
        <w:rPr>
          <w:color w:val="000000"/>
        </w:rPr>
        <w:t>TSHR 是驯化相关位点中的教学性案例。TSHR G558R 等变异与家鸡驯化、繁殖季节性改变和光周期反应相关，被认为可能参与从野生祖先季节性繁殖到家鸡相对持续繁殖能力的转变（Rubin et al., 2010）。该位点具有群体遗传代表性和生殖内分泌背景，但鸡内仍缺少通过编辑或等位基因替换重现繁殖时序或光周期反应的决定性体内因果验证；其对现代商业产蛋性状或地方适应性状的效应也未在目标群体中稳定确认。因此，本文将其定位为 variant-level B+ / T0（商业生产）或 T1（驯化机制研究与地方品种保护）。</w:t>
      </w:r>
    </w:p>
    <w:p>
      <w:pPr>
        <w:pStyle w:val="BodyText"/>
      </w:pPr>
      <w:r>
        <w:rPr>
          <w:color w:val="000000"/>
        </w:rPr>
        <w:t>表 5 特色表型与地方适应关键案例的证据成熟度</w:t>
      </w:r>
    </w:p>
    <w:tbl>
      <w:tblPr>
        <w:tblW w:type="auto" w:w="0"/>
        <w:jc w:val="center"/>
        <w:tblLayout w:type="autofit"/>
        <w:tblLook w:firstColumn="1" w:firstRow="1" w:lastColumn="0" w:lastRow="0" w:noHBand="0" w:noVBand="1" w:val="04A0"/>
      </w:tblPr>
      <w:tblGrid>
        <w:gridCol w:w="2163"/>
        <w:gridCol w:w="2163"/>
        <w:gridCol w:w="2163"/>
        <w:gridCol w:w="2163"/>
        <w:gridCol w:w="2163"/>
        <w:gridCol w:w="2163"/>
        <w:gridCol w:w="2163"/>
      </w:tblGrid>
      <w:tr>
        <w:tc>
          <w:tcPr>
            <w:tcW w:type="dxa" w:w="2163"/>
            <w:vAlign w:val="center"/>
          </w:tcPr>
          <w:p>
            <w:r>
              <w:rPr>
                <w:b/>
                <w:color w:val="000000"/>
              </w:rPr>
              <w:t>位点或证据单元</w:t>
            </w:r>
          </w:p>
        </w:tc>
        <w:tc>
          <w:tcPr>
            <w:tcW w:type="dxa" w:w="2163"/>
            <w:vAlign w:val="center"/>
          </w:tcPr>
          <w:p>
            <w:r>
              <w:rPr>
                <w:b/>
                <w:color w:val="000000"/>
              </w:rPr>
              <w:t>性状方向</w:t>
            </w:r>
          </w:p>
        </w:tc>
        <w:tc>
          <w:tcPr>
            <w:tcW w:type="dxa" w:w="2163"/>
            <w:vAlign w:val="center"/>
          </w:tcPr>
          <w:p>
            <w:r>
              <w:rPr>
                <w:b/>
                <w:color w:val="000000"/>
              </w:rPr>
              <w:t>证据层级</w:t>
            </w:r>
          </w:p>
        </w:tc>
        <w:tc>
          <w:tcPr>
            <w:tcW w:type="dxa" w:w="2163"/>
            <w:vAlign w:val="center"/>
          </w:tcPr>
          <w:p>
            <w:r>
              <w:rPr>
                <w:b/>
                <w:color w:val="000000"/>
              </w:rPr>
              <w:t>证据等级</w:t>
            </w:r>
          </w:p>
        </w:tc>
        <w:tc>
          <w:tcPr>
            <w:tcW w:type="dxa" w:w="2163"/>
            <w:vAlign w:val="center"/>
          </w:tcPr>
          <w:p>
            <w:r>
              <w:rPr>
                <w:b/>
                <w:color w:val="000000"/>
              </w:rPr>
              <w:t>T 等级</w:t>
            </w:r>
          </w:p>
        </w:tc>
        <w:tc>
          <w:tcPr>
            <w:tcW w:type="dxa" w:w="2163"/>
            <w:vAlign w:val="center"/>
          </w:tcPr>
          <w:p>
            <w:r>
              <w:rPr>
                <w:b/>
                <w:color w:val="000000"/>
              </w:rPr>
              <w:t>关键证据</w:t>
            </w:r>
          </w:p>
        </w:tc>
        <w:tc>
          <w:tcPr>
            <w:tcW w:type="dxa" w:w="2163"/>
            <w:vAlign w:val="center"/>
          </w:tcPr>
          <w:p>
            <w:r>
              <w:rPr>
                <w:b/>
                <w:color w:val="000000"/>
              </w:rPr>
              <w:t>主要缺口</w:t>
            </w:r>
          </w:p>
        </w:tc>
      </w:tr>
      <w:tr>
        <w:tc>
          <w:tcPr>
            <w:tcW w:type="dxa" w:w="2163"/>
            <w:vAlign w:val="center"/>
          </w:tcPr>
          <w:p>
            <w:r>
              <w:rPr>
                <w:color w:val="000000"/>
              </w:rPr>
              <w:t>BCDO2 调控变异</w:t>
            </w:r>
          </w:p>
        </w:tc>
        <w:tc>
          <w:tcPr>
            <w:tcW w:type="dxa" w:w="2163"/>
            <w:vAlign w:val="center"/>
          </w:tcPr>
          <w:p>
            <w:r>
              <w:rPr>
                <w:color w:val="000000"/>
              </w:rPr>
              <w:t>黄肤 / 类胡萝卜素沉积</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T2（肤色管理场景）</w:t>
            </w:r>
          </w:p>
        </w:tc>
        <w:tc>
          <w:tcPr>
            <w:tcW w:type="dxa" w:w="2163"/>
            <w:vAlign w:val="center"/>
          </w:tcPr>
          <w:p>
            <w:r>
              <w:rPr>
                <w:color w:val="000000"/>
              </w:rPr>
              <w:t>组织特异性表达调控、类胡萝卜素代谢和黄肤表型联系清楚</w:t>
            </w:r>
          </w:p>
        </w:tc>
        <w:tc>
          <w:tcPr>
            <w:tcW w:type="dxa" w:w="2163"/>
            <w:vAlign w:val="center"/>
          </w:tcPr>
          <w:p>
            <w:r>
              <w:rPr>
                <w:color w:val="000000"/>
              </w:rPr>
              <w:t>不能外推到生长、肉质或地方适应综合能力</w:t>
            </w:r>
          </w:p>
        </w:tc>
      </w:tr>
      <w:tr>
        <w:tc>
          <w:tcPr>
            <w:tcW w:type="dxa" w:w="2163"/>
            <w:vAlign w:val="center"/>
          </w:tcPr>
          <w:p>
            <w:r>
              <w:rPr>
                <w:color w:val="000000"/>
              </w:rPr>
              <w:t>EDN3 相关复杂结构变异</w:t>
            </w:r>
          </w:p>
        </w:tc>
        <w:tc>
          <w:tcPr>
            <w:tcW w:type="dxa" w:w="2163"/>
            <w:vAlign w:val="center"/>
          </w:tcPr>
          <w:p>
            <w:r>
              <w:rPr>
                <w:color w:val="000000"/>
              </w:rPr>
              <w:t>纤维黑变 / 乌骨性状</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T2（纤维黑变管理场景）</w:t>
            </w:r>
          </w:p>
        </w:tc>
        <w:tc>
          <w:tcPr>
            <w:tcW w:type="dxa" w:w="2163"/>
            <w:vAlign w:val="center"/>
          </w:tcPr>
          <w:p>
            <w:r>
              <w:rPr>
                <w:color w:val="000000"/>
              </w:rPr>
              <w:t>结构变异、EDN3 异常表达和多组织黑色素沉积联系清楚</w:t>
            </w:r>
          </w:p>
        </w:tc>
        <w:tc>
          <w:tcPr>
            <w:tcW w:type="dxa" w:w="2163"/>
            <w:vAlign w:val="center"/>
          </w:tcPr>
          <w:p>
            <w:r>
              <w:rPr>
                <w:color w:val="000000"/>
              </w:rPr>
              <w:t>对肉质、抗病性、药用价值等外推证据不足</w:t>
            </w:r>
          </w:p>
        </w:tc>
      </w:tr>
      <w:tr>
        <w:tc>
          <w:tcPr>
            <w:tcW w:type="dxa" w:w="2163"/>
            <w:vAlign w:val="center"/>
          </w:tcPr>
          <w:p>
            <w:r>
              <w:rPr>
                <w:color w:val="000000"/>
              </w:rPr>
              <w:t>SOX5 内含子重复序列扩增</w:t>
            </w:r>
          </w:p>
        </w:tc>
        <w:tc>
          <w:tcPr>
            <w:tcW w:type="dxa" w:w="2163"/>
            <w:vAlign w:val="center"/>
          </w:tcPr>
          <w:p>
            <w:r>
              <w:rPr>
                <w:color w:val="000000"/>
              </w:rPr>
              <w:t>豌豆冠</w:t>
            </w:r>
          </w:p>
        </w:tc>
        <w:tc>
          <w:tcPr>
            <w:tcW w:type="dxa" w:w="2163"/>
            <w:vAlign w:val="center"/>
          </w:tcPr>
          <w:p>
            <w:r>
              <w:rPr>
                <w:color w:val="000000"/>
              </w:rPr>
              <w:t>variant-level</w:t>
            </w:r>
          </w:p>
        </w:tc>
        <w:tc>
          <w:tcPr>
            <w:tcW w:type="dxa" w:w="2163"/>
            <w:vAlign w:val="center"/>
          </w:tcPr>
          <w:p>
            <w:r>
              <w:rPr>
                <w:color w:val="000000"/>
              </w:rPr>
              <w:t>A</w:t>
            </w:r>
          </w:p>
        </w:tc>
        <w:tc>
          <w:tcPr>
            <w:tcW w:type="dxa" w:w="2163"/>
            <w:vAlign w:val="center"/>
          </w:tcPr>
          <w:p>
            <w:r>
              <w:rPr>
                <w:color w:val="000000"/>
              </w:rPr>
              <w:t>T2（冠型和品种特征管理场景）</w:t>
            </w:r>
          </w:p>
        </w:tc>
        <w:tc>
          <w:tcPr>
            <w:tcW w:type="dxa" w:w="2163"/>
            <w:vAlign w:val="center"/>
          </w:tcPr>
          <w:p>
            <w:r>
              <w:rPr>
                <w:color w:val="000000"/>
              </w:rPr>
              <w:t>非编码结构变异与冠型发育表型关系清楚</w:t>
            </w:r>
          </w:p>
        </w:tc>
        <w:tc>
          <w:tcPr>
            <w:tcW w:type="dxa" w:w="2163"/>
            <w:vAlign w:val="center"/>
          </w:tcPr>
          <w:p>
            <w:r>
              <w:rPr>
                <w:color w:val="000000"/>
              </w:rPr>
              <w:t>商业生产性状权重有限，应用价值依场景而定</w:t>
            </w:r>
          </w:p>
        </w:tc>
      </w:tr>
      <w:tr>
        <w:tc>
          <w:tcPr>
            <w:tcW w:type="dxa" w:w="2163"/>
            <w:vAlign w:val="center"/>
          </w:tcPr>
          <w:p>
            <w:r>
              <w:rPr>
                <w:color w:val="000000"/>
              </w:rPr>
              <w:t>TSHR G558R 等驯化相关变异</w:t>
            </w:r>
          </w:p>
        </w:tc>
        <w:tc>
          <w:tcPr>
            <w:tcW w:type="dxa" w:w="2163"/>
            <w:vAlign w:val="center"/>
          </w:tcPr>
          <w:p>
            <w:r>
              <w:rPr>
                <w:color w:val="000000"/>
              </w:rPr>
              <w:t>驯化 / 繁殖季节性 / 光周期反应</w:t>
            </w:r>
          </w:p>
        </w:tc>
        <w:tc>
          <w:tcPr>
            <w:tcW w:type="dxa" w:w="2163"/>
            <w:vAlign w:val="center"/>
          </w:tcPr>
          <w:p>
            <w:r>
              <w:rPr>
                <w:color w:val="000000"/>
              </w:rPr>
              <w:t>variant-level</w:t>
            </w:r>
          </w:p>
        </w:tc>
        <w:tc>
          <w:tcPr>
            <w:tcW w:type="dxa" w:w="2163"/>
            <w:vAlign w:val="center"/>
          </w:tcPr>
          <w:p>
            <w:r>
              <w:rPr>
                <w:color w:val="000000"/>
              </w:rPr>
              <w:t>B+</w:t>
            </w:r>
          </w:p>
        </w:tc>
        <w:tc>
          <w:tcPr>
            <w:tcW w:type="dxa" w:w="2163"/>
            <w:vAlign w:val="center"/>
          </w:tcPr>
          <w:p>
            <w:r>
              <w:rPr>
                <w:color w:val="000000"/>
              </w:rPr>
              <w:t>T0（商业生产）/ T1（驯化机制研究与地方品种保护）</w:t>
            </w:r>
          </w:p>
        </w:tc>
        <w:tc>
          <w:tcPr>
            <w:tcW w:type="dxa" w:w="2163"/>
            <w:vAlign w:val="center"/>
          </w:tcPr>
          <w:p>
            <w:r>
              <w:rPr>
                <w:color w:val="000000"/>
              </w:rPr>
              <w:t>驯化扫描、群体遗传信号和生殖内分泌功能背景</w:t>
            </w:r>
          </w:p>
        </w:tc>
        <w:tc>
          <w:tcPr>
            <w:tcW w:type="dxa" w:w="2163"/>
            <w:vAlign w:val="center"/>
          </w:tcPr>
          <w:p>
            <w:r>
              <w:rPr>
                <w:color w:val="000000"/>
              </w:rPr>
              <w:t>体内因果验证不足；现代商业群体中的产蛋或适应性效应仍需验证</w:t>
            </w:r>
          </w:p>
        </w:tc>
      </w:tr>
    </w:tbl>
    <w:p>
      <w:pPr>
        <w:pStyle w:val="Heading3"/>
      </w:pPr>
      <w:r>
        <w:rPr>
          <w:color w:val="000000"/>
        </w:rPr>
        <w:t>4.5 小结：复杂经济性状的现实证据上限</w:t>
      </w:r>
    </w:p>
    <w:p>
      <w:pPr>
        <w:pStyle w:val="BodyText"/>
      </w:pPr>
      <w:r>
        <w:rPr>
          <w:color w:val="000000"/>
        </w:rPr>
        <w:t>就本文评估的代表性案例而言，家鸡候选位点证据并不是均匀分布的。variant-level A 主要集中在 SLCO1B3、BCDO2、EDN3、SOX5 这类主效可见表型；生长、脂肪沉积、产蛋数量、饲料效率、肉质和复杂抗病性更常停留在 B+、B 或 C–B 阶段。抗病性状则呈现另一种非对称性：ANP32A、TVB/NHE1 和 MHC-B 的强证据更多位于 gene/target 或 haplotype 层面，而不是自然变异的 variant-level A。</w:t>
      </w:r>
    </w:p>
    <w:p>
      <w:pPr>
        <w:pStyle w:val="BodyText"/>
      </w:pPr>
      <w:r>
        <w:rPr>
          <w:color w:val="000000"/>
        </w:rPr>
        <w:t>表 6 第 4 章关键案例与补充候选集合的证据等级概览</w:t>
      </w:r>
    </w:p>
    <w:tbl>
      <w:tblPr>
        <w:tblW w:type="auto" w:w="0"/>
        <w:jc w:val="center"/>
        <w:tblLayout w:type="autofit"/>
        <w:tblLook w:firstColumn="1" w:firstRow="1" w:lastColumn="0" w:lastRow="0" w:noHBand="0" w:noVBand="1" w:val="04A0"/>
      </w:tblPr>
      <w:tblGrid>
        <w:gridCol w:w="3028"/>
        <w:gridCol w:w="3028"/>
        <w:gridCol w:w="3028"/>
        <w:gridCol w:w="3028"/>
        <w:gridCol w:w="3028"/>
      </w:tblGrid>
      <w:tr>
        <w:tc>
          <w:tcPr>
            <w:tcW w:type="dxa" w:w="3028"/>
            <w:vAlign w:val="center"/>
          </w:tcPr>
          <w:p>
            <w:r>
              <w:rPr>
                <w:b/>
                <w:color w:val="000000"/>
              </w:rPr>
              <w:t>证据组合</w:t>
            </w:r>
          </w:p>
        </w:tc>
        <w:tc>
          <w:tcPr>
            <w:tcW w:type="dxa" w:w="3028"/>
            <w:vAlign w:val="center"/>
          </w:tcPr>
          <w:p>
            <w:r>
              <w:rPr>
                <w:b/>
                <w:color w:val="000000"/>
              </w:rPr>
              <w:t>正文关键案例</w:t>
            </w:r>
          </w:p>
        </w:tc>
        <w:tc>
          <w:tcPr>
            <w:tcW w:type="dxa" w:w="3028"/>
            <w:vAlign w:val="center"/>
          </w:tcPr>
          <w:p>
            <w:r>
              <w:rPr>
                <w:b/>
                <w:color w:val="000000"/>
              </w:rPr>
              <w:t>当前最高代表等级</w:t>
            </w:r>
          </w:p>
        </w:tc>
        <w:tc>
          <w:tcPr>
            <w:tcW w:type="dxa" w:w="3028"/>
            <w:vAlign w:val="center"/>
          </w:tcPr>
          <w:p>
            <w:r>
              <w:rPr>
                <w:b/>
                <w:color w:val="000000"/>
              </w:rPr>
              <w:t>主要 T 轴场景</w:t>
            </w:r>
          </w:p>
        </w:tc>
        <w:tc>
          <w:tcPr>
            <w:tcW w:type="dxa" w:w="3028"/>
            <w:vAlign w:val="center"/>
          </w:tcPr>
          <w:p>
            <w:r>
              <w:rPr>
                <w:b/>
                <w:color w:val="000000"/>
              </w:rPr>
              <w:t>核心判断</w:t>
            </w:r>
          </w:p>
        </w:tc>
      </w:tr>
      <w:tr>
        <w:tc>
          <w:tcPr>
            <w:tcW w:type="dxa" w:w="3028"/>
            <w:vAlign w:val="center"/>
          </w:tcPr>
          <w:p>
            <w:r>
              <w:rPr>
                <w:color w:val="000000"/>
              </w:rPr>
              <w:t>主效可见表型</w:t>
            </w:r>
          </w:p>
        </w:tc>
        <w:tc>
          <w:tcPr>
            <w:tcW w:type="dxa" w:w="3028"/>
            <w:vAlign w:val="center"/>
          </w:tcPr>
          <w:p>
            <w:r>
              <w:rPr>
                <w:color w:val="000000"/>
              </w:rPr>
              <w:t>SLCO1B3、BCDO2、EDN3、SOX5</w:t>
            </w:r>
          </w:p>
        </w:tc>
        <w:tc>
          <w:tcPr>
            <w:tcW w:type="dxa" w:w="3028"/>
            <w:vAlign w:val="center"/>
          </w:tcPr>
          <w:p>
            <w:r>
              <w:rPr>
                <w:color w:val="000000"/>
              </w:rPr>
              <w:t>variant-level A</w:t>
            </w:r>
          </w:p>
        </w:tc>
        <w:tc>
          <w:tcPr>
            <w:tcW w:type="dxa" w:w="3028"/>
            <w:vAlign w:val="center"/>
          </w:tcPr>
          <w:p>
            <w:r>
              <w:rPr>
                <w:color w:val="000000"/>
              </w:rPr>
              <w:t>T2（限壳色、肤色、纤维黑变、冠型或品种特征管理）</w:t>
            </w:r>
          </w:p>
        </w:tc>
        <w:tc>
          <w:tcPr>
            <w:tcW w:type="dxa" w:w="3028"/>
            <w:vAlign w:val="center"/>
          </w:tcPr>
          <w:p>
            <w:r>
              <w:rPr>
                <w:color w:val="000000"/>
              </w:rPr>
              <w:t>A 级证据最清楚，但应用边界窄，不能外推到综合经济性状</w:t>
            </w:r>
          </w:p>
        </w:tc>
      </w:tr>
      <w:tr>
        <w:tc>
          <w:tcPr>
            <w:tcW w:type="dxa" w:w="3028"/>
            <w:vAlign w:val="center"/>
          </w:tcPr>
          <w:p>
            <w:r>
              <w:rPr>
                <w:color w:val="000000"/>
              </w:rPr>
              <w:t>复杂经济性状 B+</w:t>
            </w:r>
          </w:p>
        </w:tc>
        <w:tc>
          <w:tcPr>
            <w:tcW w:type="dxa" w:w="3028"/>
            <w:vAlign w:val="center"/>
          </w:tcPr>
          <w:p>
            <w:r>
              <w:rPr>
                <w:color w:val="000000"/>
              </w:rPr>
              <w:t>IGF2BP1、rs734209466–IGFBP2/IGFBP5</w:t>
            </w:r>
          </w:p>
        </w:tc>
        <w:tc>
          <w:tcPr>
            <w:tcW w:type="dxa" w:w="3028"/>
            <w:vAlign w:val="center"/>
          </w:tcPr>
          <w:p>
            <w:r>
              <w:rPr>
                <w:color w:val="000000"/>
              </w:rPr>
              <w:t>variant-level B+</w:t>
            </w:r>
          </w:p>
        </w:tc>
        <w:tc>
          <w:tcPr>
            <w:tcW w:type="dxa" w:w="3028"/>
            <w:vAlign w:val="center"/>
          </w:tcPr>
          <w:p>
            <w:r>
              <w:rPr>
                <w:color w:val="000000"/>
              </w:rPr>
              <w:t>T0</w:t>
            </w:r>
          </w:p>
        </w:tc>
        <w:tc>
          <w:tcPr>
            <w:tcW w:type="dxa" w:w="3028"/>
            <w:vAlign w:val="center"/>
          </w:tcPr>
          <w:p>
            <w:r>
              <w:rPr>
                <w:color w:val="000000"/>
              </w:rPr>
              <w:t>适合功能验证优先级排序和 GS 功能先验，不宜直接作为成熟 MAS 标记</w:t>
            </w:r>
          </w:p>
        </w:tc>
      </w:tr>
      <w:tr>
        <w:tc>
          <w:tcPr>
            <w:tcW w:type="dxa" w:w="3028"/>
            <w:vAlign w:val="center"/>
          </w:tcPr>
          <w:p>
            <w:r>
              <w:rPr>
                <w:color w:val="000000"/>
              </w:rPr>
              <w:t>复杂经济性状 B</w:t>
            </w:r>
          </w:p>
        </w:tc>
        <w:tc>
          <w:tcPr>
            <w:tcW w:type="dxa" w:w="3028"/>
            <w:vAlign w:val="center"/>
          </w:tcPr>
          <w:p>
            <w:r>
              <w:rPr>
                <w:color w:val="000000"/>
              </w:rPr>
              <w:t>PHIP</w:t>
            </w:r>
          </w:p>
        </w:tc>
        <w:tc>
          <w:tcPr>
            <w:tcW w:type="dxa" w:w="3028"/>
            <w:vAlign w:val="center"/>
          </w:tcPr>
          <w:p>
            <w:r>
              <w:rPr>
                <w:color w:val="000000"/>
              </w:rPr>
              <w:t>variant-level B</w:t>
            </w:r>
          </w:p>
        </w:tc>
        <w:tc>
          <w:tcPr>
            <w:tcW w:type="dxa" w:w="3028"/>
            <w:vAlign w:val="center"/>
          </w:tcPr>
          <w:p>
            <w:r>
              <w:rPr>
                <w:color w:val="000000"/>
              </w:rPr>
              <w:t>T0</w:t>
            </w:r>
          </w:p>
        </w:tc>
        <w:tc>
          <w:tcPr>
            <w:tcW w:type="dxa" w:w="3028"/>
            <w:vAlign w:val="center"/>
          </w:tcPr>
          <w:p>
            <w:r>
              <w:rPr>
                <w:color w:val="000000"/>
              </w:rPr>
              <w:t>机制线索提高优先级，但缺少足够互证和体内因果验证</w:t>
            </w:r>
          </w:p>
        </w:tc>
      </w:tr>
      <w:tr>
        <w:tc>
          <w:tcPr>
            <w:tcW w:type="dxa" w:w="3028"/>
            <w:vAlign w:val="center"/>
          </w:tcPr>
          <w:p>
            <w:r>
              <w:rPr>
                <w:color w:val="000000"/>
              </w:rPr>
              <w:t>抗病非对称证据</w:t>
            </w:r>
          </w:p>
        </w:tc>
        <w:tc>
          <w:tcPr>
            <w:tcW w:type="dxa" w:w="3028"/>
            <w:vAlign w:val="center"/>
          </w:tcPr>
          <w:p>
            <w:r>
              <w:rPr>
                <w:color w:val="000000"/>
              </w:rPr>
              <w:t>ANP32A、TVB/NHE1、MHC-B</w:t>
            </w:r>
          </w:p>
        </w:tc>
        <w:tc>
          <w:tcPr>
            <w:tcW w:type="dxa" w:w="3028"/>
            <w:vAlign w:val="center"/>
          </w:tcPr>
          <w:p>
            <w:r>
              <w:rPr>
                <w:color w:val="000000"/>
              </w:rPr>
              <w:t>gene/target-level A 或 B+–A；haplotype/region-level B+</w:t>
            </w:r>
          </w:p>
        </w:tc>
        <w:tc>
          <w:tcPr>
            <w:tcW w:type="dxa" w:w="3028"/>
            <w:vAlign w:val="center"/>
          </w:tcPr>
          <w:p>
            <w:r>
              <w:rPr>
                <w:color w:val="000000"/>
              </w:rPr>
              <w:t>T0–T1</w:t>
            </w:r>
          </w:p>
        </w:tc>
        <w:tc>
          <w:tcPr>
            <w:tcW w:type="dxa" w:w="3028"/>
            <w:vAlign w:val="center"/>
          </w:tcPr>
          <w:p>
            <w:r>
              <w:rPr>
                <w:color w:val="000000"/>
              </w:rPr>
              <w:t>强靶点证据不等于可直接选择的自然变异；T 轴需纳入病原、福利、监管和产业风险</w:t>
            </w:r>
          </w:p>
        </w:tc>
      </w:tr>
      <w:tr>
        <w:tc>
          <w:tcPr>
            <w:tcW w:type="dxa" w:w="3028"/>
            <w:vAlign w:val="center"/>
          </w:tcPr>
          <w:p>
            <w:r>
              <w:rPr>
                <w:color w:val="000000"/>
              </w:rPr>
              <w:t>教学性边界案例</w:t>
            </w:r>
          </w:p>
        </w:tc>
        <w:tc>
          <w:tcPr>
            <w:tcW w:type="dxa" w:w="3028"/>
            <w:vAlign w:val="center"/>
          </w:tcPr>
          <w:p>
            <w:r>
              <w:rPr>
                <w:color w:val="000000"/>
              </w:rPr>
              <w:t>MSTN、TSHR</w:t>
            </w:r>
          </w:p>
        </w:tc>
        <w:tc>
          <w:tcPr>
            <w:tcW w:type="dxa" w:w="3028"/>
            <w:vAlign w:val="center"/>
          </w:tcPr>
          <w:p>
            <w:r>
              <w:rPr>
                <w:color w:val="000000"/>
              </w:rPr>
              <w:t>gene-level B 或 variant-level B+</w:t>
            </w:r>
          </w:p>
        </w:tc>
        <w:tc>
          <w:tcPr>
            <w:tcW w:type="dxa" w:w="3028"/>
            <w:vAlign w:val="center"/>
          </w:tcPr>
          <w:p>
            <w:r>
              <w:rPr>
                <w:color w:val="000000"/>
              </w:rPr>
              <w:t>T0–T1</w:t>
            </w:r>
          </w:p>
        </w:tc>
        <w:tc>
          <w:tcPr>
            <w:tcW w:type="dxa" w:w="3028"/>
            <w:vAlign w:val="center"/>
          </w:tcPr>
          <w:p>
            <w:r>
              <w:rPr>
                <w:color w:val="000000"/>
              </w:rPr>
              <w:t>强生物学功能或驯化扫描信号不能替代家鸡群体内的因果变异验证</w:t>
            </w:r>
          </w:p>
        </w:tc>
      </w:tr>
      <w:tr>
        <w:tc>
          <w:tcPr>
            <w:tcW w:type="dxa" w:w="3028"/>
            <w:vAlign w:val="center"/>
          </w:tcPr>
          <w:p>
            <w:r>
              <w:rPr>
                <w:color w:val="000000"/>
              </w:rPr>
              <w:t>移入补充表的候选集合</w:t>
            </w:r>
          </w:p>
        </w:tc>
        <w:tc>
          <w:tcPr>
            <w:tcW w:type="dxa" w:w="3028"/>
            <w:vAlign w:val="center"/>
          </w:tcPr>
          <w:p>
            <w:r>
              <w:rPr>
                <w:color w:val="000000"/>
              </w:rPr>
              <w:t>生长/肉质候选基因、蛋壳强度基因、内分泌基因、感染相关候选基因等</w:t>
            </w:r>
          </w:p>
        </w:tc>
        <w:tc>
          <w:tcPr>
            <w:tcW w:type="dxa" w:w="3028"/>
            <w:vAlign w:val="center"/>
          </w:tcPr>
          <w:p>
            <w:r>
              <w:rPr>
                <w:color w:val="000000"/>
              </w:rPr>
              <w:t>C–B 为主</w:t>
            </w:r>
          </w:p>
        </w:tc>
        <w:tc>
          <w:tcPr>
            <w:tcW w:type="dxa" w:w="3028"/>
            <w:vAlign w:val="center"/>
          </w:tcPr>
          <w:p>
            <w:r>
              <w:rPr>
                <w:color w:val="000000"/>
              </w:rPr>
              <w:t>T0</w:t>
            </w:r>
          </w:p>
        </w:tc>
        <w:tc>
          <w:tcPr>
            <w:tcW w:type="dxa" w:w="3028"/>
            <w:vAlign w:val="center"/>
          </w:tcPr>
          <w:p>
            <w:r>
              <w:rPr>
                <w:color w:val="000000"/>
              </w:rPr>
              <w:t>作为候选背景和后续验证对象，不在正文承担框架论证主线</w:t>
            </w:r>
          </w:p>
        </w:tc>
      </w:tr>
    </w:tbl>
    <w:p>
      <w:pPr>
        <w:pStyle w:val="BodyText"/>
      </w:pPr>
      <w:r>
        <w:rPr>
          <w:color w:val="000000"/>
        </w:rPr>
        <w:t>这个概览给出三个判断。第一，证据等级受性状遗传结构和表型质量约束：主效可见表型更容易形成“变异—分子功能—表型”链条，而饲料效率、产蛋持续性、肉质、复杂抗病性和地方适应通常需要高质量纵向表型、跨群体验证和功能实验共同支撑。第二，T 轴必须绑定具体应用场景；壳色、肤色、冠型等 T2 不能外推为生产性能 T2，抗病靶点的强功能证据也不能跳过病原逃逸、补偿通路、动物福利和监管评估。第三，多个 C 或 B 级候选基因堆叠不能替代一个明确的 A 级证据链。</w:t>
      </w:r>
    </w:p>
    <w:p>
      <w:pPr>
        <w:pStyle w:val="BodyText"/>
      </w:pPr>
      <w:r>
        <w:rPr>
          <w:color w:val="000000"/>
        </w:rPr>
        <w:t>因此，本章的核心结论不是“哪些基因最重要”，而是“不同性状中候选位点通常能达到什么证据上限”。复杂经济性状的长期改良仍应以 GS 和多性状选择指数为主；B+ 位点主要用于排序和优先验证；B 和 C–B 位点更适合作为精细定位、功能实验和 GS 功能先验候选集合。下一章将进一步讨论功能验证如何推动候选位点从 B 或 B+ 向 A 级升级，第 6 章则将在这一证据分布基础上讨论 MAS、GS 和基因编辑的分工。</w:t>
      </w:r>
    </w:p>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rPr>
        <w:t>第 4 章评估的代表性案例显示，家鸡中并不缺少强证据位点，但真正达到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rPr>
        <w:t xml:space="preserve">表 7 候选位点从 B/B+ 升级到 A 的典型路径</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gene/target-level A</w:t>
            </w:r>
          </w:p>
        </w:tc>
      </w:tr>
    </w:tbl>
    <w:p>
      <w:pPr>
        <w:pStyle w:val="BodyText"/>
        <w:spacing w:before="120" w:after="80" w:line="288" w:lineRule="auto"/>
        <w:jc w:val="center"/>
      </w:pPr>
      <w:r>
        <w:rPr>
          <w:rFonts w:ascii="Times New Roman" w:hAnsi="Times New Roman" w:eastAsia="宋体" w:cs="Times New Roman"/>
          <w:b/>
          <w:color w:val="000000"/>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rPr>
        <w:t>1. 候选构建</w:t>
      </w:r>
      <w:r>
        <w:rPr>
          <w:rFonts w:ascii="Times New Roman" w:hAnsi="Times New Roman" w:eastAsia="黑体" w:cs="Times New Roman"/>
          <w:b/>
          <w:color w:val="000000"/>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rPr>
        <w:t>2. 优先排序</w:t>
      </w:r>
      <w:r>
        <w:rPr>
          <w:rFonts w:ascii="Times New Roman" w:hAnsi="Times New Roman" w:eastAsia="黑体" w:cs="Times New Roman"/>
          <w:b/>
          <w:color w:val="000000"/>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rPr>
        <w:t>3. 机制确认</w:t>
      </w:r>
      <w:r>
        <w:rPr>
          <w:rFonts w:ascii="Times New Roman" w:hAnsi="Times New Roman" w:eastAsia="黑体" w:cs="Times New Roman"/>
          <w:b/>
          <w:color w:val="000000"/>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rPr>
        <w:t>4. 因果定性</w:t>
      </w:r>
      <w:r>
        <w:rPr>
          <w:rFonts w:ascii="Times New Roman" w:hAnsi="Times New Roman" w:eastAsia="黑体" w:cs="Times New Roman"/>
          <w:b/>
          <w:color w:val="000000"/>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rPr>
        <w:t xml:space="preserve">表 8 候选位点证据等级与育种工具匹配矩阵</w:t>
      </w:r>
    </w:p>
    <w:tbl>
      <w:tblPr>
        <w:tblW w:type="pct" w:w="5000"/>
        <w:tblLayout w:type="autofit"/>
        <w:tblLook w:firstRow="1" w:lastRow="0" w:firstColumn="0" w:lastColumn="0" w:noHBand="0" w:noVBand="0" w:val="002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rPr>
        <w:t xml:space="preserve">表 8 中工具选择呈现一个隐含规律：</w:t>
      </w:r>
      <w:r>
        <w:rPr>
          <w:rFonts w:ascii="Times New Roman" w:hAnsi="Times New Roman" w:eastAsia="宋体" w:cs="Times New Roman"/>
          <w:b/>
          <w:bCs/>
          <w:color w:val="000000"/>
        </w:rPr>
        <w:t xml:space="preserve">variant-level A + T2</w:t>
      </w:r>
      <w:r>
        <w:rPr>
          <w:rFonts w:ascii="Times New Roman" w:hAnsi="Times New Roman" w:eastAsia="宋体" w:cs="Times New Roman"/>
          <w:b/>
          <w:color w:val="000000"/>
        </w:rPr>
        <w:t xml:space="preserve"> </w:t>
      </w:r>
      <w:r>
        <w:rPr>
          <w:rFonts w:ascii="Times New Roman" w:hAnsi="Times New Roman" w:eastAsia="宋体" w:cs="Times New Roman"/>
          <w:b/>
          <w:color w:val="000000"/>
        </w:rPr>
        <w:t xml:space="preserve">时，因果变异明确，可使用 MAS 作单点选择；</w:t>
      </w:r>
      <w:r>
        <w:rPr>
          <w:rFonts w:ascii="Times New Roman" w:hAnsi="Times New Roman" w:eastAsia="宋体" w:cs="Times New Roman"/>
          <w:b/>
          <w:bCs/>
          <w:color w:val="000000"/>
        </w:rPr>
        <w:t xml:space="preserve">variant-level B+ + T2</w:t>
      </w:r>
      <w:r>
        <w:rPr>
          <w:rFonts w:ascii="Times New Roman" w:hAnsi="Times New Roman" w:eastAsia="宋体" w:cs="Times New Roman"/>
          <w:b/>
          <w:color w:val="000000"/>
        </w:rPr>
        <w:t xml:space="preserve"> </w:t>
      </w:r>
      <w:r>
        <w:rPr>
          <w:rFonts w:ascii="Times New Roman" w:hAnsi="Times New Roman" w:eastAsia="宋体" w:cs="Times New Roman"/>
          <w:b/>
          <w:color w:val="000000"/>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rPr>
        <w:t>SLCO1B3 EAV-HP 插入：variant-level A / T2 的成熟 MAS 应用。</w:t>
      </w:r>
      <w:r>
        <w:rPr>
          <w:rFonts w:ascii="Times New Roman" w:hAnsi="Times New Roman" w:eastAsia="宋体" w:cs="Times New Roman"/>
          <w:color w:val="000000"/>
        </w:rPr>
        <w:br/>
      </w:r>
      <w:r>
        <w:rPr>
          <w:rFonts w:ascii="Times New Roman" w:hAnsi="Times New Roman" w:eastAsia="宋体" w:cs="Times New Roman"/>
          <w:color w:val="000000"/>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rPr>
        <w:t>IGF2BP1 启动子缺失：variant-level B+ / T0 的验证优先位点。</w:t>
      </w:r>
      <w:r>
        <w:rPr>
          <w:rFonts w:ascii="Times New Roman" w:hAnsi="Times New Roman" w:eastAsia="宋体" w:cs="Times New Roman"/>
          <w:color w:val="000000"/>
        </w:rPr>
        <w:br/>
      </w:r>
      <w:r>
        <w:rPr>
          <w:rFonts w:ascii="Times New Roman" w:hAnsi="Times New Roman" w:eastAsia="宋体" w:cs="Times New Roman"/>
          <w:color w:val="000000"/>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rPr>
        <w:t>rs734209466–IGFBP2/IGFBP5 调控链：variant-level B+ / T0 的高优先级调控候选。</w:t>
      </w:r>
      <w:r>
        <w:rPr>
          <w:rFonts w:ascii="Times New Roman" w:hAnsi="Times New Roman" w:eastAsia="宋体" w:cs="Times New Roman"/>
          <w:color w:val="000000"/>
        </w:rPr>
        <w:br/>
      </w:r>
      <w:r>
        <w:rPr>
          <w:rFonts w:ascii="Times New Roman" w:hAnsi="Times New Roman" w:eastAsia="宋体" w:cs="Times New Roman"/>
          <w:color w:val="000000"/>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rPr>
        <w:t>PHIP 非编码变异：variant-level B / T0 的产蛋机制候选。</w:t>
      </w:r>
      <w:r>
        <w:rPr>
          <w:rFonts w:ascii="Times New Roman" w:hAnsi="Times New Roman" w:eastAsia="宋体" w:cs="Times New Roman"/>
          <w:color w:val="000000"/>
        </w:rPr>
        <w:br/>
      </w:r>
      <w:r>
        <w:rPr>
          <w:rFonts w:ascii="Times New Roman" w:hAnsi="Times New Roman" w:eastAsia="宋体" w:cs="Times New Roman"/>
          <w:color w:val="000000"/>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rPr>
        <w:t>MHC-B 单倍型：haplotype/region-level B+ / T1 的特定疾病风险层。</w:t>
      </w:r>
      <w:r>
        <w:rPr>
          <w:rFonts w:ascii="Times New Roman" w:hAnsi="Times New Roman" w:eastAsia="宋体" w:cs="Times New Roman"/>
          <w:color w:val="000000"/>
        </w:rPr>
        <w:br/>
      </w:r>
      <w:r>
        <w:rPr>
          <w:rFonts w:ascii="Times New Roman" w:hAnsi="Times New Roman" w:eastAsia="宋体" w:cs="Times New Roman"/>
          <w:color w:val="000000"/>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rPr>
        <w:t>ANP32A：gene/target-level A 与 variant-level B–C 并存的非对称证据。</w:t>
      </w:r>
      <w:r>
        <w:rPr>
          <w:rFonts w:ascii="Times New Roman" w:hAnsi="Times New Roman" w:eastAsia="宋体" w:cs="Times New Roman"/>
          <w:color w:val="000000"/>
        </w:rPr>
        <w:br/>
      </w:r>
      <w:r>
        <w:rPr>
          <w:rFonts w:ascii="Times New Roman" w:hAnsi="Times New Roman" w:eastAsia="宋体" w:cs="Times New Roman"/>
          <w:color w:val="000000"/>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rPr>
        <w:t xml:space="preserve">本节六个位点对应五种典型证据组合：</w:t>
      </w:r>
      <w:r>
        <w:rPr>
          <w:rFonts w:ascii="Times New Roman" w:hAnsi="Times New Roman" w:eastAsia="宋体" w:cs="Times New Roman"/>
          <w:b/>
          <w:bCs/>
          <w:color w:val="000000"/>
        </w:rPr>
        <w:t xml:space="preserve">variant-level A + T2</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的成熟应用（SLCO1B3）；</w:t>
      </w:r>
      <w:r>
        <w:rPr>
          <w:rFonts w:ascii="Times New Roman" w:hAnsi="Times New Roman" w:eastAsia="宋体" w:cs="Times New Roman"/>
          <w:b/>
          <w:bCs/>
          <w:color w:val="000000"/>
        </w:rPr>
        <w:t xml:space="preserve">variant-level B+ + T0</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的验证优先对象（IGF2BP1 和 rs734209466–IGFBP2/IGFBP5，分别代表生长方向和脂肪沉积方向的不同应用决策）；</w:t>
      </w:r>
      <w:r>
        <w:rPr>
          <w:rFonts w:ascii="Times New Roman" w:hAnsi="Times New Roman" w:eastAsia="宋体" w:cs="Times New Roman"/>
          <w:b/>
          <w:bCs/>
          <w:color w:val="000000"/>
        </w:rPr>
        <w:t xml:space="preserve">variant-level B + T0</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的机制候选（PHIP）；</w:t>
      </w:r>
      <w:r>
        <w:rPr>
          <w:rFonts w:ascii="Times New Roman" w:hAnsi="Times New Roman" w:eastAsia="宋体" w:cs="Times New Roman"/>
          <w:b/>
          <w:bCs/>
          <w:color w:val="000000"/>
        </w:rPr>
        <w:t xml:space="preserve">haplotype-level B+ + T1</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的风险层管理（MHC-B）；以及</w:t>
      </w:r>
      <w:r>
        <w:rPr>
          <w:rFonts w:ascii="Times New Roman" w:hAnsi="Times New Roman" w:eastAsia="宋体" w:cs="Times New Roman"/>
          <w:color w:val="000000"/>
        </w:rPr>
        <w:t xml:space="preserve"> </w:t>
      </w:r>
      <w:r>
        <w:rPr>
          <w:rFonts w:ascii="Times New Roman" w:hAnsi="Times New Roman" w:eastAsia="宋体" w:cs="Times New Roman"/>
          <w:b/>
          <w:bCs/>
          <w:color w:val="000000"/>
        </w:rPr>
        <w:t xml:space="preserve">gene/target-level A + variant-level B–C + T0–T1</w:t>
      </w:r>
      <w:r>
        <w:rPr>
          <w:rFonts w:ascii="Times New Roman" w:hAnsi="Times New Roman" w:eastAsia="宋体" w:cs="Times New Roman"/>
          <w:color w:val="000000"/>
        </w:rPr>
        <w:t xml:space="preserve"> </w:t>
      </w:r>
      <w:r>
        <w:rPr>
          <w:rFonts w:ascii="Times New Roman" w:hAnsi="Times New Roman" w:eastAsia="宋体" w:cs="Times New Roman"/>
          <w:color w:val="000000"/>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rPr>
        <w:t>本章建立的工具匹配规则基于本文评估案例呈现的当前证据格局。下一章将讨论这一格局目前面临的方法学和群体性瓶颈，以及未来最可能改变本文所讨论的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rPr>
        <w:t>本文的出发点是一个看似简单却常被混淆的区分：一个候选位点“有多强的证据”和“是否适合用于育种”，是两个不同问题。围绕这一区分，本文建立了证据轴（C/B/B+/A）与产业适用性轴（T0/T1/T2），并用它评估了家鸡四类性状的代表性位点。基于本文纳入的代表性位点，第 4 章得到的核心图景是：variant-level A 证据在本文评估案例中并不稀缺，却几乎全部落在主效可见表型上；真正承载产业价值的复杂经济性状，大多停留在 B/B+ 或 C/B。本章讨论本文评估案例呈现的这一格局背后的瓶颈、最可能改变它的方向，以及它对研究和育种实践的含义。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rPr>
        <w:t>就本文评估的复杂经济性状案例而言，证据上限偏低不是研究投入不足的简单结果，而是三类结构性瓶颈共同作用的产物。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rPr>
        <w:t>与上述瓶颈相对，未来若干进展有可能系统性地改变本文所讨论的家鸡候选位点证据分布。它们的共同特征是：改变的不是候选信号的数量，而是证据沿四个维度向上移动的能力。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rPr>
        <w:t xml:space="preserve">7.3 结论</w:t>
      </w:r>
    </w:p>
    <w:p>
      <w:pPr>
        <w:pStyle w:val="BodyText"/>
        <w:spacing w:before="0" w:after="0" w:line="360" w:lineRule="auto"/>
        <w:ind w:firstLine="480"/>
        <w:jc w:val="both"/>
      </w:pPr>
      <w:r>
        <w:rPr>
          <w:rFonts w:ascii="Times New Roman" w:hAnsi="Times New Roman" w:eastAsia="宋体" w:cs="Times New Roman"/>
          <w:color w:val="000000"/>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rPr>
        <w:t>参考文献</w:t>
      </w:r>
    </w:p>
    <w:p>
      <w:pPr>
        <w:pStyle w:val="Heading2"/>
        <w:spacing w:before="240" w:after="120" w:line="312" w:lineRule="auto"/>
        <w:jc w:val="left"/>
      </w:pPr>
      <w:r>
        <w:rPr>
          <w:rFonts w:ascii="Times New Roman" w:hAnsi="Times New Roman" w:eastAsia="黑体" w:cs="Times New Roman"/>
          <w:b/>
          <w:color w:val="000000"/>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rPr>
        <w:t>Zhu, Z., Zhang, F., Hu, H., et al. 2016. Integration of summary data from GWAS and eQTL studies predicts complex trait gene targets. Nature Genetics 48:481-487. https://doi.org/10.1038/ng.3538.</w:t>
      </w:r>
    </w:p>
    <w:p>
      <w:pPr>
        <w:sectPr>
          <w:footerReference w:type="default" r:id="rId9"/>
          <w:pgSz w:w="11906" w:h="16838"/>
          <w:pgMar w:top="1440" w:bottom="1440" w:left="1587" w:right="1587" w:header="850" w:footer="850"/>
        </w:sectPr>
      </w:pPr>
    </w:p>
    <w:p>
      <w:pPr>
        <w:spacing w:before="120" w:after="80"/>
        <w:jc w:val="left"/>
      </w:pPr>
      <w:r>
        <w:rPr>
          <w:rFonts w:ascii="Times New Roman" w:hAnsi="Times New Roman" w:eastAsia="黑体" w:cs="Times New Roman"/>
          <w:b/>
          <w:color w:val="000000"/>
        </w:rPr>
        <w:t>补充材料</w:t>
      </w:r>
    </w:p>
    <w:p>
      <w:pPr>
        <w:spacing w:before="120" w:after="80"/>
        <w:jc w:val="center"/>
      </w:pPr>
      <w:r>
        <w:rPr>
          <w:color w:val="000000"/>
        </w:rPr>
        <w:t>补充表 1 第 4 章候选位点证据抽取与评级依据（含正文关键案例和移入补充表的候选集合）</w:t>
      </w:r>
    </w:p>
    <w:p>
      <w:pPr>
        <w:spacing w:line="276" w:lineRule="auto" w:before="80" w:after="0"/>
        <w:jc w:val="left"/>
      </w:pPr>
      <w:r>
        <w:rPr>
          <w:color w:val="000000"/>
        </w:rPr>
        <w:t>注：变异明确度、重复性、分子机制和功能验证均按本文第 3 章标准抽取；“低–中”或“中–高”表示证据强度依具体研究、群体或性状终点而变化。正文压缩后未逐项展开的候选基因或候选区域，均在本表中保留评级依据。</w:t>
      </w:r>
    </w:p>
    <w:tbl>
      <w:tblPr>
        <w:tblW w:type="pct" w:w="5000"/>
        <w:tblLayout w:type="autofit"/>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76"/>
        <w:gridCol w:w="1376"/>
        <w:gridCol w:w="1376"/>
        <w:gridCol w:w="1376"/>
        <w:gridCol w:w="1376"/>
        <w:gridCol w:w="1376"/>
        <w:gridCol w:w="1376"/>
        <w:gridCol w:w="1376"/>
        <w:gridCol w:w="1376"/>
        <w:gridCol w:w="1376"/>
        <w:gridCol w:w="1376"/>
      </w:tblGrid>
      <w:tr>
        <w:trPr>
          <w:tblHeader w:val="true"/>
        </w:trPr>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位点</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原始研究(引文)</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群体/样本</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表型</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变异明确度</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重复性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分子机制</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功能验证</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评级</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T轴依据</w:t>
            </w:r>
          </w:p>
        </w:tc>
        <w:tc>
          <w:tcPr>
            <w:tcW w:type="dxa" w:w="1376"/>
            <w:vAlign w:val="center"/>
            <w:tcMar>
              <w:top w:w="60" w:type="dxa"/>
              <w:start w:w="60" w:type="dxa"/>
              <w:bottom w:w="60" w:type="dxa"/>
              <w:end w:w="60" w:type="dxa"/>
            </w:tcMar>
            <w:shd w:fill="D9D9D9"/>
          </w:tcPr>
          <w:p>
            <w:pPr>
              <w:keepLines w:val="0"/>
              <w:spacing w:line="240" w:lineRule="auto" w:before="0" w:after="0"/>
              <w:jc w:val="center"/>
            </w:pPr>
            <w:r>
              <w:rPr>
                <w:rFonts w:ascii="Times New Roman" w:hAnsi="Times New Roman" w:eastAsia="宋体" w:cs="Times New Roman"/>
                <w:b/>
                <w:color w:val="000000"/>
              </w:rPr>
            </w:r>
            <w:r>
              <w:rPr>
                <w:rFonts w:ascii="Times New Roman" w:hAnsi="Times New Roman" w:eastAsia="宋体" w:cs="Times New Roman"/>
                <w:b/>
                <w:color w:val="000000"/>
              </w:rPr>
              <w:t>主要缺口</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IGF2BP1 启动子缺失</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K.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泛基因组发现；Gushi×Anak F2 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体型/生长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高：启动子缺失明确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低–中：主要为单一扩大群体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中–高：表达和启动子活性支持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低：无内源编辑或等位替换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T0：目标商业群体未系统验证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内源编辑、等位基因导入和商业群体多性状评估不足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rs734209466–IGFBP2/IGFBP5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Shen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腹脂差异群体；脂前体细胞和多组学验证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腹脂沉积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高：候选变异和调控元件明确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中：多组学互证，跨群体不足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高：ASE、增强子、三维调控和靶基因表达链条较完整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中：细胞表型支持，缺内源编辑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T0：目标育种群体效应未验证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内源编辑、跨群体自然变异验证和目标群体效应不足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IMFNCR–PPARG 调控轴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Zhang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鸡脂肪细胞模型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肌内脂肪/肉质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低：主要为单研究机制证据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中–高：lncRNA–miRNA–PPARG 轴支持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中：细胞分化实验，缺体内表型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gene/network-level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T0：机制候选，未进入群体验证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自然变异、群体关联和体内表型链条不足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CCKAR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Z. and Zhou, 2021; Wang Y.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分歧选择/地方鸡精细定位和启动子调控研究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采食/生长</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中：候选区段和调控变异较清楚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中：有限群体和模型支持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中：采食和启动子调控线索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低–中：调控活性支持，缺体内因果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T0：尚未进入目标商业群体验证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因果变异、内源验证和跨商业群体一致性不足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MSTN</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Kambadur et al., 1997</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跨物种肌肉发育证据；家鸡内作为候选背景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肌肉发育</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低：家鸡强效自然变异不足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中：跨物种功能保守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高：肌肉生长负调控生物学清楚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中：跨物种强，家鸡内直接证据不足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T0：机制背景基因，不是成熟育种标记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家鸡自然群体内强效可育种等位变异证据不足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IGF1/IGF1R/GHR/MYOD 家族/FABP3/FABP4/LPL/CAPN1/CAST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Xu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多候选基因和多研究集合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生长/肌肉/脂肪/肉质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低–中：多为邻近基因或候选通路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低–中：证据随基因和群体变化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中：生物学通路合理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低：多数缺强扰动或体内证据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T0：适合作为功能背景或低权重先验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明确变异、独立重复和强功能验证多数不足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宿主—肠道微生物特征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2017; Mebratie et al., 2019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饲料效率表型和相关中间表型研究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饲料效率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低：不是明确遗传变异位点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低：环境和采样影响大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低–中：相关性和机制线索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低：缺可重复干预和宿主遗传控制验证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中间表型证据 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T0：仅作机制线索或管理指标</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因果方向、可重复干预、宿主遗传控制和目标群体验证不足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SLCO1B3 EAV-HP 插入（表 3/表 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Z. et al., 2013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多个蓝壳品种和共分离材料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蓝壳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高：约 4.2 kb EAV-HP 插入明确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高：多品种和共分离支持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高：壳腺特异表达与胆绿素沉积链条清楚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中：表达验证充分，缺内源编辑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T2：限蓝壳识别、品种特征管理和商品分级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不能外推到产蛋数、蛋壳强度或综合蛋品质</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PHIP 非编码变异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D. et al., 2025</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单研究群体；卵巢/颗粒细胞相关证据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产蛋/卵巢功能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中：候选非编码变异明确度有限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低：跨群体重复不足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中：转录因子结合、表达和细胞功能线索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低：缺内源编辑和体内因果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T0：仅适合作为验证优先级候选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等位基因特异调控互证、三维调控、跨群体稳定性和内源验证不足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PRLR 附近区域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 GWAS/关联研究；K 位点结构变异背景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产蛋/抱窝性/生殖调控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低–中：区域和候选基因明确，因果变异未明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中：多研究中反复出现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中：生殖内分泌功能明确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低：缺直接扰动和体内因果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T0：适合精细定位和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与 PRLR/SPEF2 结构变异关系、具体因果变异和阶段特异功能不足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NCAPG-FAM184B 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多个产蛋相关 GWAS 或关联研究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产蛋相关性状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低–中：区段信号，未到具体变异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中：多研究/多性状出现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低–中：靶组织机制不足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T0：目标群体重点验证区段</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因果变异、靶组织机制和目标群体效应不明确</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GGAZ 产蛋相关区域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Z 染色体产蛋相关 GWAS/关联研究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产蛋节律/性成熟/繁殖性能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低：区域较宽，具体变异不明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中：Z 染色体信号反复出现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低–中：剂量效应和生殖背景合理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T0：适合精细定位，不宜直接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连锁结构、剂量效应、具体变异和功能验证不足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褐壳色相关候选信号</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 et al., 2013; Samiullah and Roberts, 2015; Zheng et al., 2022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褐壳鸡壳腺表达、色素和代谢相关研究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褐壳/原卟啉 IX 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低–中：多基因连续性状，主效变异不清</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低–中：候选基因随研究变化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中：色素合成、转运和沉积机制合理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低：缺强因果扰动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T0–T1：可作壳色候选和目标群体验证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稳定单一主效变异、强功能验证和跨群体应用边界不足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SPP1/OC-17/OC-116/CALB1/CA2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壳腺表达、矿化和钙代谢候选研究集合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蛋壳强度/钙化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低：多数未解析到自然变异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低–中：部分表达或关联支持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中：矿化和钙代谢机制合理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低：缺强体内因果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T0：功能背景和低权重先验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明确自然变异、强功能验证和跨群体稳定性不足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OVAL/OVM/LYZ/TF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候选集合；正文未绑定单一原始位点研究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蛋白组成和内部蛋品质候选研究集合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蛋白品质/内部蛋品质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低：多为功能基因或表达候选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低：受周龄、储藏和环境影响大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中：蛋白组成和抗菌功能合理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低：缺等位变异和体内因果</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T0：功能背景，不能直接作 MAS</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稳定表型记录、等位变异、目标组织分子效应和体内验证不足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繁殖内分泌相关基因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Gao et al., 2022; Fu et al., 2023; Kang et al., 2024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产蛋 GWAS/关联研究和生理候选基因集合</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卵泡发育/排卵/内分泌调控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低：多数为候选基因层面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低–中：随基因和性状变化</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中–高：生殖内分泌生物学清楚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低：缺变异层面功能验证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T0：候选背景或低权重先验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强效自然变异、跨群体重复和功能验证不足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ANP32A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Idoko-Akoh et al., 2023</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基因编辑鸡；H9N2 感染挑战</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禽流感病毒复制/宿主因子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靶点高；自然变异低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高：编辑感染模型支持靶点功能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高：病毒聚合酶适配和宿主因子机制清楚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高：体内编辑和感染挑战支持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gene/target-level A + variant-level B–C</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T0–T1：高转化风险，需额外监管和福利约束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自然可育种等位变异、病原逃逸、ANP32 家族补偿、多性状影响和监管评估不足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TVB/NHE1 受体相关位点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Lee et al., 2017; Li et al., 2018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NHE1 编辑模型；TVB 自然移码突变材料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ALV 易感性/病毒入侵受体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中–高：受体和部分自然变异明确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中：限特定 ALV 亚群和模型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高：受体依赖机制清楚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中–高：编辑或自然突变支持，产业体内范围有限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gene/target-level B+–A + variant-level B–B+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T0–T1：需按 ALV 亚群和目标群体限定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跨群体自然变异效应、病毒亚群特异性、体内感染验证和产业边界不足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MHC-B 单倍型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Briles and Briles, 1982; Kaufman et al., 1999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MHC-B 单倍型和多种免疫/疾病背景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马立克氏病/免疫应答/疫苗反应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中：单倍型明确，单一变异不明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高：长期多研究积累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高：MHC 免疫功能明确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中：保护效应多依赖疾病和遗传背景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haplotype/region-level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T1：限特定疾病、疫苗和目标群体</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单一因果变异、病原/疫苗背景依赖性和多性状权衡不足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马立克氏病非 MHC QTL/GWAS 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 QTL/GWAS/转录组研究；正文未绑定单一原始位点研究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马立克氏病挑战、病毒载量、肿瘤和免疫反应研究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马立克氏病抗性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低–中：受毒株、剂量和背景影响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中：免疫和肿瘤发生机制相关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病原株、感染剂量、评价终点和遗传背景异质性；因果变异不足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TLR4/TLR7/TLR15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2003; 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候选基因关联、感染模型和免疫表达研究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先天免疫/病原识别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低–中：多为候选基因或多态性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低–中：研究间一致性有限</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高：病原识别和炎症通路明确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低–中：部分感染或表达支持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T0：功能候选或低权重先验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明确自然变异、等位基因效应和体内抗病验证不足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IFITM3/MX1/OASL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Wang Y. et al., 2012;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抗病毒候选基因、感染模型和表达研究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抗病毒限制因子/干扰素通路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低–中：候选多态性证据不稳定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低–中：不同研究结论不完全一致</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高：抗病毒通路功能明确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低–中：部分模型支持，缺稳定体内效应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T0：功能候选，不宜直接作标记</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群体内可育种变异、稳定抗病效应和多性状影响不清楚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SLC11A1/LYZ/IL 家族等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Liu et al., 2003; Tohidi et al., 2013; Calenge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沙门氏菌挑战、候选基因和免疫反应研究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沙门氏菌抗性/黏膜免疫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低–中：候选基因或多态性为主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低–中：模型和终点差异大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中–高：细菌清除、巨噬细胞和黏膜免疫机制合理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低–中：部分挑战或关联支持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T0：机制研究和风险评估候选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稳定等位基因效应、目标群体验证和干预验证不足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球虫病相关 QTL/细胞因子/肠道屏障候选基因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Kim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球虫感染模型和候选抗性终点</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球虫病抗性/肠道病变/卵囊排出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低–中：依赖感染模型和终点定义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中：免疫、屏障和炎症通路合理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低–中：部分挑战或候选基因支持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T0：候选验证对象</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表型终点异质性、明确变异、功能验证和生产性能综合评估不足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NDV/IBDV/IBV 相关候选区域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Luo et al., 2013; Luo et al., 2014; Smith et al., 2015; Habimana et al., 2021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抗体应答 GWAS、感染后免疫反应和挑战模型</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新城疫/传染性法氏囊病/传染性支气管炎</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低–中：多为区域或候选基因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低–中：病原株、疫苗和模型差异大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中：免疫反应和抗体应答机制相关</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低：多数缺功能扰动</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region/gene-level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T0：病原特异验证和 GS 先验</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明确变异、跨场景验证和统一表型终点不足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BCDO2 调控变异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Eriksson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黄皮表型相关品种和遗传材料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黄皮/类胡萝卜素沉积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高：调控变异和基因定位明确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高：表型边界清楚且效应大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高：组织特异表达和类胡萝卜素代谢链条清楚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中–高：自然变异和表达/代谢证据支持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T2：限肤色识别、品种特征管理和商品分级</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不能外推到生长、肉质或地方适应综合能力</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EDN3 相关复杂结构变异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Dorshorst et al., 2011</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纤维黑变品种和定位材料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纤维黑变/乌骨性状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高：复杂结构变异定位明确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高：主效可见表型稳定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高：EDN3 异常表达和多组织黑色素沉积链条清楚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中–高：自然结构变异和表达证据支持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T2：限纤维黑变和乌骨性状管理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对肉质、抗病性和药用价值等外推证据不足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SOX5 内含子重复序列扩增</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Wright et al., 2009</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豌豆冠定位和品种材料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豌豆冠</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高：内含子拷贝数变异明确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高：冠型主效表型清楚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中–高：发育调控机制合理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中：自然变异和表型证据支持，缺内源编辑</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T2：限冠型和品种特征管理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商业生产性状权重有限，应用价值依场景而定</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玫瑰冠相关倒位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Imsland et al., 2012</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玫瑰冠品种和繁殖表型材料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冠型/繁殖风险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高：倒位结构变异明确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高：冠型效应清楚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中–高：形态改变和繁殖副作用均有机制线索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中：自然变异和表型支持，需更多多性状验证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T1–T2：冠型管理需同时考虑繁殖风险</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雄性繁殖力风险和群体应用目标需单独评估</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羽色相关位点（MC1R、ASIP、TYR/TYRP1、PMEL17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Kerje et al., 2003; Kerje et al., 2004</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羽色品种/品系和色素通路候选研究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羽色/品种识别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中–高：部分变异与表型对应清楚</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中–高：多个主效羽色位点有重复支持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高：色素通路明确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中：自然变异和表型支持为主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variant/gene-level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T1–T2：限羽色识别、保种和市场偏好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不能外推到生产性能、抗病性或适应性</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羽型和形态相关位点（KRT75、TBX5/PITX1 调控区、PRLR/SPEF2 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Ng et al., 2012; Li et al., 2020; Elferink et al., 2008</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卷羽、毛脚/胫羽和羽速相关品种材料</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卷羽、毛脚/胫羽、羽速等</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中–高：部分主效变异或候选区明确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中–高：可见表型重复较好</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中–高：角蛋白、肢体和羽速调控机制合理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中：自然变异和表型证据为主</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variant/region-level B+–A</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T1–T2：限形态管理、保种和品种识别</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多数应用限于形态管理和市场偏好，不代表综合生产价值</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TSHR G558R 等驯化相关变异</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Rubin et al., 2010</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家鸡驯化全基因组重测序/选择扫描</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驯化/繁殖季节性/光周期反应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高：候选变异明确</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中–高：驯化扫描代表性强</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中：生殖内分泌背景合理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低：缺鸡内决定性体内因果验证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variant-level 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T0：商业生产；T1：驯化机制和地方品种保护</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编辑或等位替换重现表型、现代商业群体效应和适应性影响不足</w:t>
            </w:r>
          </w:p>
        </w:tc>
      </w:tr>
      <w:tr>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热适应/高原适应/寒冷耐受选择扫描区域</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多选择扫描研究；正文未绑定单一原始位点研究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地方鸡资源群体和环境关联/选择扫描研究</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地方适应/环境响应</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低：多数为宽区域或候选通路</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低–中：受群体历史和环境混杂影响</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中：热应激、低氧和代谢通路合理</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低：缺共同环境和功能验证</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region-level C–B</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T0：资源保护和候选验证线索</w:t>
            </w:r>
          </w:p>
        </w:tc>
        <w:tc>
          <w:tcPr>
            <w:tcW w:type="dxa" w:w="1376"/>
            <w:vAlign w:val="center"/>
            <w:tcMar>
              <w:top w:w="60" w:type="dxa"/>
              <w:start w:w="60" w:type="dxa"/>
              <w:bottom w:w="60" w:type="dxa"/>
              <w:end w:w="60" w:type="dxa"/>
            </w:tcMar>
            <w:shd w:fill="FFFFFF"/>
          </w:tcPr>
          <w:p>
            <w:pPr>
              <w:keepLines w:val="0"/>
              <w:spacing w:line="240" w:lineRule="auto" w:before="0" w:after="0"/>
              <w:jc w:val="left"/>
            </w:pPr>
            <w:r>
              <w:rPr>
                <w:rFonts w:ascii="Times New Roman" w:hAnsi="Times New Roman" w:eastAsia="宋体" w:cs="Times New Roman"/>
                <w:b w:val="0"/>
                <w:color w:val="000000"/>
              </w:rPr>
            </w:r>
            <w:r>
              <w:rPr>
                <w:rFonts w:ascii="Times New Roman" w:hAnsi="Times New Roman" w:eastAsia="宋体" w:cs="Times New Roman"/>
                <w:b w:val="0"/>
                <w:color w:val="000000"/>
              </w:rPr>
              <w:t>共同环境表型、因果变异、功能验证和跨群体重复不足</w:t>
            </w:r>
          </w:p>
        </w:tc>
      </w:tr>
    </w:tbl>
    <w:sectPr>
      <w:pgSz w:w="16838" w:h="11906" w:orient="landscape"/>
      <w:pgMar w:top="850" w:bottom="850" w:left="850" w:right="850"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