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sz w:val="32"/>
        </w:rPr>
        <w:t xml:space="preserve">家鸡复杂性状候选位点的证据分级与育种转化</w:t>
      </w:r>
    </w:p>
    <w:bookmarkStart w:id="20" w:name="摘要"/>
    <w:p>
      <w:pPr>
        <w:pStyle w:val="Heading2"/>
        <w:spacing w:before="240" w:after="120" w:line="312" w:lineRule="auto"/>
        <w:jc w:val="center"/>
      </w:pPr>
      <w:r>
        <w:rPr>
          <w:rFonts w:ascii="Times New Roman" w:hAnsi="Times New Roman" w:eastAsia="黑体" w:cs="Times New Roman"/>
          <w:b/>
          <w:color w:val="000000"/>
          <w:sz w:val="28"/>
        </w:rPr>
        <w:t xml:space="preserve">摘要</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评估矩阵。应用该框架评估本文纳入的代表性位点后显示：variant-level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sz w:val="24"/>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sz w:val="28"/>
        </w:rPr>
        <w:t xml:space="preserve">1 引言</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sz w:val="24"/>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sz w:val="24"/>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sz w:val="24"/>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sz w:val="24"/>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sz w:val="24"/>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sz w:val="24"/>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sz w:val="24"/>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基于本文纳入的代表性位点，variant-level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sz w:val="28"/>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sz w:val="24"/>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sz w:val="28"/>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sz w:val="24"/>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sz w:val="24"/>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sz w:val="24"/>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sz w:val="24"/>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sz w:val="24"/>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sz w:val="28"/>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sz w:val="24"/>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sz w:val="24"/>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sz w:val="24"/>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sz w:val="24"/>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sz w:val="24"/>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sz w:val="24"/>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sz w:val="28"/>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sz w:val="24"/>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sz w:val="24"/>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sz w:val="24"/>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sz w:val="24"/>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sz w:val="24"/>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sz w:val="28"/>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sz w:val="24"/>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sz w:val="24"/>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sz w:val="28"/>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sz w:val="24"/>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sz w:val="24"/>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sz w:val="24"/>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sz w:val="24"/>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sz w:val="24"/>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sz w:val="24"/>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sz w:val="28"/>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sz w:val="24"/>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sz w:val="24"/>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sz w:val="24"/>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sz w:val="24"/>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sz w:val="24"/>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line="360" w:lineRule="auto" w:before="0" w:after="0"/>
        <w:ind w:firstLine="480"/>
        <w:jc w:val="both"/>
      </w:pPr>
      <w:r>
        <w:rPr>
          <w:rFonts w:ascii="Times New Roman" w:hAnsi="Times New Roman" w:eastAsia="宋体" w:cs="Times New Roman"/>
          <w:color w:val="000000"/>
          <w:sz w:val="24"/>
        </w:rPr>
        <w:t>评级判定流程如下。第一，先定证据层级：根据变异解析程度将证据归入 region-level、gene-level、variant-level、haplotype-level 或 target-level，避免把区域信号、候选基因、自然变异和编辑靶点混为同一层级。</w:t>
      </w:r>
    </w:p>
    <w:p>
      <w:pPr>
        <w:pStyle w:val="BodyText"/>
        <w:spacing w:line="360" w:lineRule="auto" w:before="0" w:after="0"/>
        <w:ind w:firstLine="480"/>
        <w:jc w:val="both"/>
      </w:pPr>
      <w:r>
        <w:rPr>
          <w:rFonts w:ascii="Times New Roman" w:hAnsi="Times New Roman" w:eastAsia="宋体" w:cs="Times New Roman"/>
          <w:color w:val="000000"/>
          <w:sz w:val="24"/>
        </w:rPr>
        <w:t>第二，先检查 A 级硬门槛：是否已有强功能验证，包括内源编辑、PGC 介导编辑、体内模型、救援实验、自然突变或等位基因导入等能够连接变异或靶点与表型后果的证据。若没有，最高只能评为 B+，不得评为 A；若有，再进入 A 级判定，并区分 variant-level A 与 gene/target-level A。</w:t>
      </w:r>
    </w:p>
    <w:p>
      <w:pPr>
        <w:pStyle w:val="BodyText"/>
        <w:spacing w:line="360" w:lineRule="auto" w:before="0" w:after="0"/>
        <w:ind w:firstLine="480"/>
        <w:jc w:val="both"/>
      </w:pPr>
      <w:r>
        <w:rPr>
          <w:rFonts w:ascii="Times New Roman" w:hAnsi="Times New Roman" w:eastAsia="宋体" w:cs="Times New Roman"/>
          <w:color w:val="000000"/>
          <w:sz w:val="24"/>
        </w:rPr>
        <w:t>第三，在未达到 A 级门槛的前提下判定 B+：若明确候选变异、至少一种强机制互证（如共定位、等位基因特异表达、方向一致的调控证据）和中等功能证据三项中至少两项同时存在，且不同证据能够相互印证，可评为 B+；若证据只达到单项较强或多项之间不能形成互证，则保持 B。</w:t>
      </w:r>
    </w:p>
    <w:p>
      <w:pPr>
        <w:pStyle w:val="BodyText"/>
        <w:spacing w:line="360" w:lineRule="auto" w:before="0" w:after="0"/>
        <w:ind w:firstLine="480"/>
        <w:jc w:val="both"/>
      </w:pPr>
      <w:r>
        <w:rPr>
          <w:rFonts w:ascii="Times New Roman" w:hAnsi="Times New Roman" w:eastAsia="宋体" w:cs="Times New Roman"/>
          <w:color w:val="000000"/>
          <w:sz w:val="24"/>
        </w:rPr>
        <w:t>第四，C 级用于单一 GWAS、单一差异表达、单一选择扫描、最近基因注释或候选基因合理性，但缺少独立重复、机制互证和功能验证的情形。C 级不是否定信号价值，而是提示其仍处于假设生成阶段。</w:t>
      </w:r>
    </w:p>
    <w:p>
      <w:pPr>
        <w:pStyle w:val="BodyText"/>
        <w:spacing w:line="360" w:lineRule="auto" w:before="0" w:after="0"/>
        <w:ind w:firstLine="480"/>
        <w:jc w:val="both"/>
      </w:pPr>
      <w:r>
        <w:rPr>
          <w:rFonts w:ascii="Times New Roman" w:hAnsi="Times New Roman" w:eastAsia="宋体" w:cs="Times New Roman"/>
          <w:color w:val="000000"/>
          <w:sz w:val="24"/>
        </w:rPr>
        <w:t>第五，T 轴独立判定：B+ 不能自动对应 T1 或 T2；是否进入 T1/T2 必须单独评估目标群体效应、多性状影响、经济权重、福利风险和监管可行性。</w:t>
      </w:r>
    </w:p>
    <w:p>
      <w:pPr>
        <w:pStyle w:val="BodyText"/>
        <w:spacing w:line="360" w:lineRule="auto" w:before="0" w:after="0"/>
        <w:ind w:firstLine="480"/>
        <w:jc w:val="both"/>
      </w:pPr>
      <w:r>
        <w:rPr>
          <w:rFonts w:ascii="Times New Roman" w:hAnsi="Times New Roman" w:eastAsia="宋体" w:cs="Times New Roman"/>
          <w:color w:val="000000"/>
          <w:sz w:val="24"/>
        </w:rPr>
        <w:t>这一流程还需遵守两个关键原则：两个中等证据不自动等于一个强证据；多个同类表达证据也不应简单堆叠为更高等级。只有当不同证据类型在同一候选变异、靶基因、目标组织和表型方向上形成互证时，才构成真正的证据升级。</w:t>
      </w:r>
    </w:p>
    <w:p>
      <w:pPr>
        <w:pStyle w:val="BodyText"/>
        <w:spacing w:before="120" w:after="80" w:line="288" w:lineRule="auto"/>
        <w:jc w:val="center"/>
      </w:pPr>
      <w:r>
        <w:rPr>
          <w:rFonts w:ascii="Times New Roman" w:hAnsi="Times New Roman" w:eastAsia="宋体" w:cs="Times New Roman"/>
          <w:b/>
          <w:color w:val="000000"/>
          <w:sz w:val="21"/>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sz w:val="21"/>
        </w:rPr>
        <w:t>表 1 家鸡候选位点证据等级（C/B/B+/A）在四个证据维度上的典型判定特征</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sz w:val="28"/>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sz w:val="24"/>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sz w:val="24"/>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sz w:val="24"/>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sz w:val="24"/>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sz w:val="24"/>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sz w:val="24"/>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sz w:val="28"/>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sz w:val="24"/>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sz w:val="28"/>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sz w:val="24"/>
        </w:rP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sz w:val="24"/>
        </w:rP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sz w:val="24"/>
        </w:rP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sz w:val="24"/>
        </w:rPr>
        <w:t>在本文中，该框架的用途更克制：它帮助组织已有文献，避免把候选线索提前包装成因果位点，也避免把功能验证结果直接等同于育种应用。下一章将应用该框架比较不同性状的代表性候选位点，并指出 variant-level A 在本文评估案例中的具体分布。</w:t>
      </w:r>
    </w:p>
    <w:p>
      <w:pPr>
        <w:pStyle w:val="Heading2"/>
        <w:spacing w:before="240" w:after="120" w:line="312" w:lineRule="auto"/>
        <w:jc w:val="left"/>
      </w:pPr>
      <w:r>
        <w:rPr>
          <w:rFonts w:ascii="Times New Roman" w:hAnsi="Times New Roman" w:eastAsia="黑体" w:cs="Times New Roman"/>
          <w:b/>
          <w:color w:val="000000"/>
          <w:sz w:val="28"/>
        </w:rPr>
        <w:t xml:space="preserve">4 代表性性状和候选位点的证据成熟度比较</w:t>
      </w:r>
    </w:p>
    <w:p>
      <w:pPr>
        <w:pStyle w:val="FirstParagraph"/>
        <w:spacing w:before="0" w:after="0" w:line="360" w:lineRule="auto"/>
        <w:ind w:firstLine="480"/>
        <w:jc w:val="both"/>
      </w:pPr>
      <w:r>
        <w:rPr>
          <w:rFonts w:ascii="Times New Roman" w:hAnsi="Times New Roman" w:eastAsia="宋体" w:cs="Times New Roman"/>
          <w:color w:val="000000"/>
          <w:sz w:val="24"/>
        </w:rP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spacing w:before="0" w:after="0" w:line="360" w:lineRule="auto"/>
        <w:ind w:firstLine="480"/>
        <w:jc w:val="both"/>
      </w:pPr>
      <w:r>
        <w:rPr>
          <w:rFonts w:ascii="Times New Roman" w:hAnsi="Times New Roman" w:eastAsia="宋体" w:cs="Times New Roman"/>
          <w:color w:val="000000"/>
          <w:sz w:val="24"/>
        </w:rPr>
        <w:t>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本文评估案例中的一个现实边界：基于本文纳入的代表性位点，variant-level A 证据主要集中在主效、寡基因或结构变异控制的可见表型，而多数复杂经济性状更常处于 B/B+ 或 C/B 阶段。</w:t>
      </w:r>
    </w:p>
    <w:p>
      <w:pPr>
        <w:pStyle w:val="BodyText"/>
        <w:spacing w:line="360" w:lineRule="auto" w:before="0" w:after="0"/>
        <w:ind w:firstLine="480"/>
        <w:jc w:val="both"/>
      </w:pPr>
      <w:r>
        <w:rPr>
          <w:rFonts w:ascii="Times New Roman" w:hAnsi="Times New Roman" w:eastAsia="宋体" w:cs="Times New Roman"/>
          <w:color w:val="000000"/>
          <w:sz w:val="24"/>
        </w:rPr>
        <w:t>为提高 C/B/B+/A 评级的可复核性，本文将表 2–5 的代表性位点按原始研究、群体/样本、变异明确度、重复性、分子机制和功能验证拆分为证据抽取表，见文末补充表 1。</w:t>
      </w:r>
    </w:p>
    <w:p>
      <w:pPr>
        <w:pStyle w:val="BodyText"/>
        <w:spacing w:before="0" w:after="0" w:line="360" w:lineRule="auto"/>
        <w:ind w:firstLine="480"/>
        <w:jc w:val="both"/>
      </w:pPr>
      <w:r>
        <w:rPr>
          <w:rFonts w:ascii="Times New Roman" w:hAnsi="Times New Roman" w:eastAsia="宋体" w:cs="Times New Roman"/>
          <w:color w:val="000000"/>
          <w:sz w:val="24"/>
        </w:rP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spacing w:before="240" w:after="120" w:line="312" w:lineRule="auto"/>
        <w:jc w:val="left"/>
      </w:pPr>
      <w:r>
        <w:rPr>
          <w:rFonts w:ascii="Times New Roman" w:hAnsi="Times New Roman" w:eastAsia="黑体" w:cs="Times New Roman"/>
          <w:b/>
          <w:color w:val="000000"/>
          <w:sz w:val="28"/>
        </w:rPr>
        <w:t xml:space="preserve">4.1 生长、胴体、脂肪沉积与饲料效率</w:t>
      </w:r>
    </w:p>
    <w:p>
      <w:pPr>
        <w:pStyle w:val="FirstParagraph"/>
        <w:spacing w:before="0" w:after="0" w:line="360" w:lineRule="auto"/>
        <w:ind w:firstLine="480"/>
        <w:jc w:val="both"/>
      </w:pPr>
      <w:r>
        <w:rPr>
          <w:rFonts w:ascii="Times New Roman" w:hAnsi="Times New Roman" w:eastAsia="宋体" w:cs="Times New Roman"/>
          <w:color w:val="000000"/>
          <w:sz w:val="24"/>
        </w:rP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spacing w:before="0" w:after="0" w:line="360" w:lineRule="auto"/>
        <w:ind w:firstLine="480"/>
        <w:jc w:val="both"/>
      </w:pPr>
      <w:r>
        <w:rPr>
          <w:rFonts w:ascii="Times New Roman" w:hAnsi="Times New Roman" w:eastAsia="宋体" w:cs="Times New Roman"/>
          <w:color w:val="000000"/>
          <w:sz w:val="24"/>
        </w:rP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spacing w:before="0" w:after="0" w:line="360" w:lineRule="auto"/>
        <w:ind w:firstLine="480"/>
        <w:jc w:val="both"/>
      </w:pPr>
      <w:r>
        <w:rPr>
          <w:rFonts w:ascii="Times New Roman" w:hAnsi="Times New Roman" w:eastAsia="宋体" w:cs="Times New Roman"/>
          <w:color w:val="000000"/>
          <w:sz w:val="24"/>
        </w:rP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spacing w:before="0" w:after="0" w:line="360" w:lineRule="auto"/>
        <w:ind w:firstLine="480"/>
        <w:jc w:val="both"/>
      </w:pPr>
      <w:r>
        <w:rPr>
          <w:rFonts w:ascii="Times New Roman" w:hAnsi="Times New Roman" w:eastAsia="宋体" w:cs="Times New Roman"/>
          <w:color w:val="000000"/>
          <w:sz w:val="24"/>
        </w:rP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spacing w:before="0" w:after="0" w:line="360" w:lineRule="auto"/>
        <w:ind w:firstLine="480"/>
        <w:jc w:val="both"/>
      </w:pPr>
      <w:r>
        <w:rPr>
          <w:rFonts w:ascii="Times New Roman" w:hAnsi="Times New Roman" w:eastAsia="宋体" w:cs="Times New Roman"/>
          <w:color w:val="000000"/>
          <w:sz w:val="24"/>
        </w:rP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spacing w:before="0" w:after="0" w:line="360" w:lineRule="auto"/>
        <w:ind w:firstLine="480"/>
        <w:jc w:val="both"/>
      </w:pPr>
      <w:r>
        <w:rPr>
          <w:rFonts w:ascii="Times New Roman" w:hAnsi="Times New Roman" w:eastAsia="宋体" w:cs="Times New Roman"/>
          <w:color w:val="000000"/>
          <w:sz w:val="24"/>
        </w:rP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spacing w:before="0" w:after="0" w:line="360" w:lineRule="auto"/>
        <w:ind w:firstLine="480"/>
        <w:jc w:val="both"/>
      </w:pPr>
      <w:r>
        <w:rPr>
          <w:rFonts w:ascii="Times New Roman" w:hAnsi="Times New Roman" w:eastAsia="宋体" w:cs="Times New Roman"/>
          <w:color w:val="000000"/>
          <w:sz w:val="24"/>
        </w:rP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spacing w:before="0" w:after="0" w:line="360" w:lineRule="auto"/>
        <w:ind w:firstLine="480"/>
        <w:jc w:val="both"/>
      </w:pPr>
      <w:r>
        <w:rPr>
          <w:rFonts w:ascii="Times New Roman" w:hAnsi="Times New Roman" w:eastAsia="宋体" w:cs="Times New Roman"/>
          <w:color w:val="000000"/>
          <w:sz w:val="24"/>
        </w:rP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spacing w:before="0" w:after="0" w:line="360" w:lineRule="auto"/>
        <w:ind w:firstLine="480"/>
        <w:jc w:val="both"/>
      </w:pPr>
      <w:r>
        <w:rPr>
          <w:rFonts w:ascii="Times New Roman" w:hAnsi="Times New Roman" w:eastAsia="宋体" w:cs="Times New Roman"/>
          <w:color w:val="000000"/>
          <w:sz w:val="24"/>
        </w:rP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spacing w:before="0" w:after="0" w:line="360" w:lineRule="auto"/>
        <w:ind w:firstLine="480"/>
        <w:jc w:val="both"/>
      </w:pPr>
      <w:r>
        <w:rPr>
          <w:rFonts w:ascii="Times New Roman" w:hAnsi="Times New Roman" w:eastAsia="宋体" w:cs="Times New Roman"/>
          <w:color w:val="000000"/>
          <w:sz w:val="24"/>
        </w:rP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spacing w:before="0" w:after="0" w:line="360" w:lineRule="auto"/>
        <w:ind w:firstLine="480"/>
        <w:jc w:val="both"/>
      </w:pPr>
      <w:r>
        <w:rPr>
          <w:rFonts w:ascii="Times New Roman" w:hAnsi="Times New Roman" w:eastAsia="宋体" w:cs="Times New Roman"/>
          <w:color w:val="000000"/>
          <w:sz w:val="24"/>
        </w:rP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中间表型证据 C / T0</w:t>
      </w:r>
      <w:r>
        <w:rPr>
          <w:rFonts w:ascii="Times New Roman" w:hAnsi="Times New Roman" w:eastAsia="宋体" w:cs="Times New Roman"/>
          <w:color w:val="000000"/>
          <w:sz w:val="24"/>
        </w:rP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spacing w:before="120" w:after="80" w:line="288" w:lineRule="auto"/>
        <w:jc w:val="center"/>
      </w:pPr>
      <w:r>
        <w:rPr>
          <w:rFonts w:ascii="Times New Roman" w:hAnsi="Times New Roman" w:eastAsia="宋体" w:cs="Times New Roman"/>
          <w:b/>
          <w:bCs/>
          <w:color w:val="000000"/>
          <w:sz w:val="21"/>
        </w:rPr>
        <w:t xml:space="preserve">表 2 生长、胴体、脂肪沉积与饲料效率代表性候选位点的证据成熟度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体型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泛基因组缺失变异、启动子活性、表达变化、体型关联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内源编辑或等位基因导入；目标商业群体多性状评估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腹脂沉积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等位基因特异增强子、三维调控、IGFBP2/IGFBP5 表达及脂前体细胞表型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内源编辑、跨群体自然变异验证、目标群体效应</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IMFNCR–PPARG 调控轴</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肌内脂肪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gene/network-level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 RNA、脂肪细胞分化和 PPARG 调控关系</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明确自然变异、群体关联、体内表型</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CCKAR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采食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精细定位或分歧群体候选信号，可能涉及采食和能量摄入调控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因果变异、内源功能验证、跨商业群体一致性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MSTN</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肌肉发育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跨物种功能保守性和肌肉发育生物学合理性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家鸡自然群体内强效可育种等位变异证据不足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IGF1 / IGF1R / GHR / MYOD 家族 / FABP3 / FABP4 / LPL / CAPN1 / CAST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 / 肌肉 / 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通路相关、邻近 GWAS 峰、部分表达或机制证据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多数缺明确变异、独立重复或强功能验证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宿主—肠道微生物特征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中间表型证据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微生物组成与饲料效率或采食相关表型关联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因果方向、可重复干预、宿主遗传控制和目标群体验证</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spacing w:before="240" w:after="120" w:line="312" w:lineRule="auto"/>
        <w:jc w:val="left"/>
      </w:pPr>
      <w:r>
        <w:rPr>
          <w:rFonts w:ascii="Times New Roman" w:hAnsi="Times New Roman" w:eastAsia="黑体" w:cs="Times New Roman"/>
          <w:b/>
          <w:color w:val="000000"/>
          <w:sz w:val="28"/>
        </w:rPr>
        <w:t xml:space="preserve">4.2 繁殖产蛋与蛋品质</w:t>
      </w:r>
    </w:p>
    <w:p>
      <w:pPr>
        <w:pStyle w:val="FirstParagraph"/>
        <w:spacing w:before="0" w:after="0" w:line="360" w:lineRule="auto"/>
        <w:ind w:firstLine="480"/>
        <w:jc w:val="both"/>
      </w:pPr>
      <w:r>
        <w:rPr>
          <w:rFonts w:ascii="Times New Roman" w:hAnsi="Times New Roman" w:eastAsia="宋体" w:cs="Times New Roman"/>
          <w:color w:val="000000"/>
          <w:sz w:val="24"/>
        </w:rP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spacing w:before="0" w:after="0" w:line="360" w:lineRule="auto"/>
        <w:ind w:firstLine="480"/>
        <w:jc w:val="both"/>
      </w:pPr>
      <w:r>
        <w:rPr>
          <w:rFonts w:ascii="Times New Roman" w:hAnsi="Times New Roman" w:eastAsia="宋体" w:cs="Times New Roman"/>
          <w:color w:val="000000"/>
          <w:sz w:val="24"/>
        </w:rP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spacing w:before="0" w:after="0" w:line="360" w:lineRule="auto"/>
        <w:ind w:firstLine="480"/>
        <w:jc w:val="both"/>
      </w:pPr>
      <w:r>
        <w:rPr>
          <w:rFonts w:ascii="Times New Roman" w:hAnsi="Times New Roman" w:eastAsia="宋体" w:cs="Times New Roman"/>
          <w:color w:val="000000"/>
          <w:sz w:val="24"/>
        </w:rP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spacing w:before="0" w:after="0" w:line="360" w:lineRule="auto"/>
        <w:ind w:firstLine="480"/>
        <w:jc w:val="both"/>
      </w:pPr>
      <w:r>
        <w:rPr>
          <w:rFonts w:ascii="Times New Roman" w:hAnsi="Times New Roman" w:eastAsia="宋体" w:cs="Times New Roman"/>
          <w:color w:val="000000"/>
          <w:sz w:val="24"/>
        </w:rP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B / T0</w:t>
      </w:r>
      <w:r>
        <w:rPr>
          <w:rFonts w:ascii="Times New Roman" w:hAnsi="Times New Roman" w:eastAsia="宋体" w:cs="Times New Roman"/>
          <w:color w:val="000000"/>
          <w:sz w:val="24"/>
        </w:rPr>
        <w:t xml:space="preserve">：适合继续精细定位和跨群体比较，但不宜在缺少具体变异和功能证据时写成单一因果基因。</w:t>
      </w:r>
    </w:p>
    <w:p>
      <w:pPr>
        <w:pStyle w:val="BodyText"/>
        <w:spacing w:before="0" w:after="0" w:line="360" w:lineRule="auto"/>
        <w:ind w:firstLine="480"/>
        <w:jc w:val="both"/>
      </w:pPr>
      <w:r>
        <w:rPr>
          <w:rFonts w:ascii="Times New Roman" w:hAnsi="Times New Roman" w:eastAsia="宋体" w:cs="Times New Roman"/>
          <w:color w:val="000000"/>
          <w:sz w:val="24"/>
        </w:rP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spacing w:before="0" w:after="0" w:line="360" w:lineRule="auto"/>
        <w:ind w:firstLine="480"/>
        <w:jc w:val="both"/>
      </w:pPr>
      <w:r>
        <w:rPr>
          <w:rFonts w:ascii="Times New Roman" w:hAnsi="Times New Roman" w:eastAsia="宋体" w:cs="Times New Roman"/>
          <w:color w:val="000000"/>
          <w:sz w:val="24"/>
        </w:rP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spacing w:before="0" w:after="0" w:line="360" w:lineRule="auto"/>
        <w:ind w:firstLine="480"/>
        <w:jc w:val="both"/>
      </w:pPr>
      <w:r>
        <w:rPr>
          <w:rFonts w:ascii="Times New Roman" w:hAnsi="Times New Roman" w:eastAsia="宋体" w:cs="Times New Roman"/>
          <w:color w:val="000000"/>
          <w:sz w:val="24"/>
        </w:rP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w:t>
      </w:r>
    </w:p>
    <w:p>
      <w:pPr>
        <w:pStyle w:val="BodyText"/>
        <w:spacing w:before="0" w:after="0" w:line="360" w:lineRule="auto"/>
        <w:ind w:firstLine="480"/>
        <w:jc w:val="both"/>
      </w:pPr>
      <w:r>
        <w:rPr>
          <w:rFonts w:ascii="Times New Roman" w:hAnsi="Times New Roman" w:eastAsia="宋体" w:cs="Times New Roman"/>
          <w:color w:val="000000"/>
          <w:sz w:val="24"/>
        </w:rP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spacing w:before="0" w:after="0" w:line="360" w:lineRule="auto"/>
        <w:ind w:firstLine="480"/>
        <w:jc w:val="both"/>
      </w:pPr>
      <w:r>
        <w:rPr>
          <w:rFonts w:ascii="Times New Roman" w:hAnsi="Times New Roman" w:eastAsia="宋体" w:cs="Times New Roman"/>
          <w:color w:val="000000"/>
          <w:sz w:val="24"/>
        </w:rP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spacing w:before="120" w:after="80" w:line="288" w:lineRule="auto"/>
        <w:jc w:val="center"/>
      </w:pPr>
      <w:r>
        <w:rPr>
          <w:rFonts w:ascii="Times New Roman" w:hAnsi="Times New Roman" w:eastAsia="宋体" w:cs="Times New Roman"/>
          <w:b/>
          <w:bCs/>
          <w:color w:val="000000"/>
          <w:sz w:val="21"/>
        </w:rPr>
        <w:t xml:space="preserve">表 3 繁殖产蛋与蛋品质代表性候选位点的证据成熟度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具体插入变异、壳腺特异表达、胆绿素沉积和蓝壳表型联系清楚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不能外推到产蛋数、蛋壳强度或综合蛋品质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PHIP 非编码变异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卵巢功能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非编码变异、转录因子结合、PHIP 表达和颗粒细胞相关功能线索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等位基因特异互证、内源编辑、体内因果验证、跨群体稳定性不足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PRLR 附近区域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抱窝性 / 生殖调控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生殖内分泌功能明确，部分产蛋相关研究重复出现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 PRLR/SPEF2 结构变异背景的关系、具体因果变异、阶段特异作用和功能验证不足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NCAPG-FAM184B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产蛋相关性状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多个产蛋相关 GWAS 或关联研究中出现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因果变异、靶组织机制和目标群体效应不明确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GGAZ 产蛋相关区域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产蛋节律 / 性成熟 / 繁殖性能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Z 染色体上重复出现的产蛋相关信号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连锁结构、剂量效应、具体变异和功能验证不足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褐壳色相关候选信号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 / 原卟啉 IX 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色素合成、转运和壳腺表达相关候选基因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缺少稳定单一主效变异、强功能验证和跨群体应用边界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SPP1 / OC-17 / OC-116 / CALB1 / CA2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蛋壳强度 / 钙化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壳腺表达、矿化和钙代谢生物学合理性，部分关联或表达证据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多数缺明确自然变异和强功能验证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OVAL / OVM / LYZ / TF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蛋白品质 / 内部蛋品质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蛋白组成、抗菌功能和内部品质相关生物学背景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表型受周龄、储藏和环境影响大；缺等位变异和体内因果验证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繁殖内分泌相关基因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卵泡发育 / 排卵 / 内分泌调控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FSHR、LHCGR、ESR1/2、VIP/VIPR1、GDF9、BMP15、CYP19A1 等具有明确生理意义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群体内强效自然变异、跨群体重复和功能验证不足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T2（壳色管理场景）</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仅指蓝壳识别、品种特征管理或蓝壳商品分级；不可外推到产蛋数量、蛋壳强度或综合蛋品质。</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spacing w:before="240" w:after="120" w:line="312" w:lineRule="auto"/>
        <w:jc w:val="left"/>
      </w:pPr>
      <w:r>
        <w:rPr>
          <w:rFonts w:ascii="Times New Roman" w:hAnsi="Times New Roman" w:eastAsia="黑体" w:cs="Times New Roman"/>
          <w:b/>
          <w:color w:val="000000"/>
          <w:sz w:val="28"/>
        </w:rPr>
        <w:t xml:space="preserve">4.3 抗病与免疫性状</w:t>
      </w:r>
    </w:p>
    <w:p>
      <w:pPr>
        <w:pStyle w:val="FirstParagraph"/>
        <w:spacing w:before="0" w:after="0" w:line="360" w:lineRule="auto"/>
        <w:ind w:firstLine="480"/>
        <w:jc w:val="both"/>
      </w:pPr>
      <w:r>
        <w:rPr>
          <w:rFonts w:ascii="Times New Roman" w:hAnsi="Times New Roman" w:eastAsia="宋体" w:cs="Times New Roman"/>
          <w:color w:val="000000"/>
          <w:sz w:val="24"/>
        </w:rP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spacing w:before="0" w:after="0" w:line="360" w:lineRule="auto"/>
        <w:ind w:firstLine="480"/>
        <w:jc w:val="both"/>
      </w:pPr>
      <w:r>
        <w:rPr>
          <w:rFonts w:ascii="Times New Roman" w:hAnsi="Times New Roman" w:eastAsia="宋体" w:cs="Times New Roman"/>
          <w:color w:val="000000"/>
          <w:sz w:val="24"/>
        </w:rP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spacing w:before="0" w:after="0" w:line="360" w:lineRule="auto"/>
        <w:ind w:firstLine="480"/>
        <w:jc w:val="both"/>
      </w:pPr>
      <w:r>
        <w:rPr>
          <w:rFonts w:ascii="Times New Roman" w:hAnsi="Times New Roman" w:eastAsia="宋体" w:cs="Times New Roman"/>
          <w:color w:val="000000"/>
          <w:sz w:val="24"/>
        </w:rPr>
        <w:t xml:space="preserve">因此，MHC-B 在本文框架下更适合定位为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haplotype/region-level B+ / T1（限特定疾病和目标群体）</w:t>
      </w:r>
      <w:r>
        <w:rPr>
          <w:rFonts w:ascii="Times New Roman" w:hAnsi="Times New Roman" w:eastAsia="宋体" w:cs="Times New Roman"/>
          <w:color w:val="000000"/>
          <w:sz w:val="24"/>
        </w:rP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spacing w:before="0" w:after="0" w:line="360" w:lineRule="auto"/>
        <w:ind w:firstLine="480"/>
        <w:jc w:val="both"/>
      </w:pPr>
      <w:r>
        <w:rPr>
          <w:rFonts w:ascii="Times New Roman" w:hAnsi="Times New Roman" w:eastAsia="宋体" w:cs="Times New Roman"/>
          <w:color w:val="000000"/>
          <w:sz w:val="24"/>
        </w:rP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spacing w:before="0" w:after="0" w:line="360" w:lineRule="auto"/>
        <w:ind w:firstLine="480"/>
        <w:jc w:val="both"/>
      </w:pPr>
      <w:r>
        <w:rPr>
          <w:rFonts w:ascii="Times New Roman" w:hAnsi="Times New Roman" w:eastAsia="宋体" w:cs="Times New Roman"/>
          <w:color w:val="000000"/>
          <w:sz w:val="24"/>
        </w:rP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高转化风险</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并不是否定 ANP32A 的靶点价值，而是提示即使其功能证据强，T 轴评估仍需要比普通生产性状更严格的约束条件。</w:t>
      </w:r>
    </w:p>
    <w:p>
      <w:pPr>
        <w:pStyle w:val="BodyText"/>
        <w:spacing w:before="0" w:after="0" w:line="360" w:lineRule="auto"/>
        <w:ind w:firstLine="480"/>
        <w:jc w:val="both"/>
      </w:pPr>
      <w:r>
        <w:rPr>
          <w:rFonts w:ascii="Times New Roman" w:hAnsi="Times New Roman" w:eastAsia="宋体" w:cs="Times New Roman"/>
          <w:color w:val="000000"/>
          <w:sz w:val="24"/>
        </w:rP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spacing w:before="0" w:after="0" w:line="360" w:lineRule="auto"/>
        <w:ind w:firstLine="480"/>
        <w:jc w:val="both"/>
      </w:pPr>
      <w:r>
        <w:rPr>
          <w:rFonts w:ascii="Times New Roman" w:hAnsi="Times New Roman" w:eastAsia="宋体" w:cs="Times New Roman"/>
          <w:color w:val="000000"/>
          <w:sz w:val="24"/>
        </w:rP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spacing w:before="0" w:after="0" w:line="360" w:lineRule="auto"/>
        <w:ind w:firstLine="480"/>
        <w:jc w:val="both"/>
      </w:pPr>
      <w:r>
        <w:rPr>
          <w:rFonts w:ascii="Times New Roman" w:hAnsi="Times New Roman" w:eastAsia="宋体" w:cs="Times New Roman"/>
          <w:color w:val="000000"/>
          <w:sz w:val="24"/>
        </w:rP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spacing w:before="0" w:after="0" w:line="360" w:lineRule="auto"/>
        <w:ind w:firstLine="480"/>
        <w:jc w:val="both"/>
      </w:pPr>
      <w:r>
        <w:rPr>
          <w:rFonts w:ascii="Times New Roman" w:hAnsi="Times New Roman" w:eastAsia="宋体" w:cs="Times New Roman"/>
          <w:color w:val="000000"/>
          <w:sz w:val="24"/>
        </w:rP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spacing w:before="0" w:after="0" w:line="360" w:lineRule="auto"/>
        <w:ind w:firstLine="480"/>
        <w:jc w:val="both"/>
      </w:pPr>
      <w:r>
        <w:rPr>
          <w:rFonts w:ascii="Times New Roman" w:hAnsi="Times New Roman" w:eastAsia="宋体" w:cs="Times New Roman"/>
          <w:color w:val="000000"/>
          <w:sz w:val="24"/>
        </w:rP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spacing w:before="0" w:after="0" w:line="360" w:lineRule="auto"/>
        <w:ind w:firstLine="480"/>
        <w:jc w:val="both"/>
      </w:pPr>
      <w:r>
        <w:rPr>
          <w:rFonts w:ascii="Times New Roman" w:hAnsi="Times New Roman" w:eastAsia="宋体" w:cs="Times New Roman"/>
          <w:color w:val="000000"/>
          <w:sz w:val="24"/>
        </w:rP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spacing w:before="0" w:after="0" w:line="360" w:lineRule="auto"/>
        <w:ind w:firstLine="480"/>
        <w:jc w:val="both"/>
      </w:pPr>
      <w:r>
        <w:rPr>
          <w:rFonts w:ascii="Times New Roman" w:hAnsi="Times New Roman" w:eastAsia="宋体" w:cs="Times New Roman"/>
          <w:color w:val="000000"/>
          <w:sz w:val="24"/>
        </w:rP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spacing w:before="120" w:after="80" w:line="288" w:lineRule="auto"/>
        <w:jc w:val="center"/>
      </w:pPr>
      <w:r>
        <w:rPr>
          <w:rFonts w:ascii="Times New Roman" w:hAnsi="Times New Roman" w:eastAsia="宋体" w:cs="Times New Roman"/>
          <w:b/>
          <w:bCs/>
          <w:color w:val="000000"/>
          <w:sz w:val="21"/>
        </w:rPr>
        <w:t xml:space="preserve">表 4 抗病与免疫性状代表性候选位点的证据成熟度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禽流感病毒复制 / 宿主因子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A（gene/target）+ B–C（variant）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编辑或强扰动证明宿主因子影响病毒复制和感染结局</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自然可育种等位变异、病原逃逸、ANP32 家族补偿、多性状影响、监管和福利评估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TVB/NHE1 受体相关位点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ALV 易感性 / 病毒入侵受体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B+–A（gene/target，依 ALV 亚群和验证模型限定）+ B–B+（variant）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NHE1 编辑和 TVB 自然移码突变等受体机制证据；特定 ALV 亚群中易感性改变较明确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跨群体自然变异效应、病毒亚群特异性、体内感染验证和产业边界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MHC-B 单倍型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 / 免疫应答 / 疫苗反应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haplotype/region-level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T1（限特定疾病和群体）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免疫功能明确，跨研究和特定病原背景下重复较多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单一因果变异难以解析；单倍型效应具有病原、疫苗和遗传背景依赖性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马立克氏病非 MHC QTL/GWAS 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马立克氏病抗性 / 病毒载量 / 肿瘤发生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挑战实验、QTL/GWAS、转录组或免疫反应候选信号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病毒株、感染剂量、评价终点和遗传背景差异大；因果变异和功能验证不足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TLR4 / TLR7 / TLR15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先天免疫 / 病原识别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病原识别和炎症反应通路生物学合理性，部分关联或表达证据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明确自然变异、等位基因效应和体内抗病验证不足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IFITM3 / MX1 / OASL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抗病毒限制因子 / 干扰素通路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抗病毒通路功能明确，部分感染模型或表达证据支持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群体内可育种变异、稳定抗病效应和多性状影响不清楚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SLC11A1 / LYZ / IL 家族等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沙门氏菌抗性 / 巨噬细胞与黏膜免疫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细菌清除、炎症反应或黏膜免疫相关机制支持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感染模型差异大；缺少稳定等位基因效应和目标群体验证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球虫病相关 QTL / 细胞因子 / 肠道屏障候选基因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球虫病抗性 / 肠道病变 / 卵囊排出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病变评分、免疫反应、肠道屏障或 QTL/GWAS 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表型终点异质性强；缺少明确变异、功能验证和生产性能综合评估</w:t>
            </w:r>
          </w:p>
        </w:tc>
      </w:tr>
      <w:tr>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NDV / IBDV / IBV 相关候选区域</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新城疫 / 传染性法氏囊病 / 传染性支气管炎</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region/gene-level</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C–B</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T0</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抗体应答、感染后免疫反应或挑战模型中的 GWAS/转录组候选信号</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病原株、疫苗背景、感染模型和表型终点异质性强；缺少明确变异和跨场景验证</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高转化风险</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指即使靶点功能证据强，进入产业育种仍受病原逃逸、功能补偿、多性状影响、动物福利、监管路径和消费者接受度等多重限制；这一标签提示该位点的 T 轴评估需要额外约束维度。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spacing w:before="240" w:after="120" w:line="312" w:lineRule="auto"/>
        <w:jc w:val="left"/>
      </w:pPr>
      <w:r>
        <w:rPr>
          <w:rFonts w:ascii="Times New Roman" w:hAnsi="Times New Roman" w:eastAsia="黑体" w:cs="Times New Roman"/>
          <w:b/>
          <w:color w:val="000000"/>
          <w:sz w:val="28"/>
        </w:rPr>
        <w:t xml:space="preserve">4.4 特色表型与地方适应</w:t>
      </w:r>
    </w:p>
    <w:p>
      <w:pPr>
        <w:pStyle w:val="FirstParagraph"/>
        <w:spacing w:before="0" w:after="0" w:line="360" w:lineRule="auto"/>
        <w:ind w:firstLine="480"/>
        <w:jc w:val="both"/>
      </w:pPr>
      <w:r>
        <w:rPr>
          <w:rFonts w:ascii="Times New Roman" w:hAnsi="Times New Roman" w:eastAsia="宋体" w:cs="Times New Roman"/>
          <w:color w:val="000000"/>
          <w:sz w:val="24"/>
        </w:rP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spacing w:before="0" w:after="0" w:line="360" w:lineRule="auto"/>
        <w:ind w:firstLine="480"/>
        <w:jc w:val="both"/>
      </w:pPr>
      <w:r>
        <w:rPr>
          <w:rFonts w:ascii="Times New Roman" w:hAnsi="Times New Roman" w:eastAsia="宋体" w:cs="Times New Roman"/>
          <w:color w:val="000000"/>
          <w:sz w:val="24"/>
        </w:rP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spacing w:before="0" w:after="0" w:line="360" w:lineRule="auto"/>
        <w:ind w:firstLine="480"/>
        <w:jc w:val="both"/>
      </w:pPr>
      <w:r>
        <w:rPr>
          <w:rFonts w:ascii="Times New Roman" w:hAnsi="Times New Roman" w:eastAsia="宋体" w:cs="Times New Roman"/>
          <w:color w:val="000000"/>
          <w:sz w:val="24"/>
        </w:rP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spacing w:before="0" w:after="0" w:line="360" w:lineRule="auto"/>
        <w:ind w:firstLine="480"/>
        <w:jc w:val="both"/>
      </w:pPr>
      <w:r>
        <w:rPr>
          <w:rFonts w:ascii="Times New Roman" w:hAnsi="Times New Roman" w:eastAsia="宋体" w:cs="Times New Roman"/>
          <w:color w:val="000000"/>
          <w:sz w:val="24"/>
        </w:rP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spacing w:before="0" w:after="0" w:line="360" w:lineRule="auto"/>
        <w:ind w:firstLine="480"/>
        <w:jc w:val="both"/>
      </w:pPr>
      <w:r>
        <w:rPr>
          <w:rFonts w:ascii="Times New Roman" w:hAnsi="Times New Roman" w:eastAsia="宋体" w:cs="Times New Roman"/>
          <w:color w:val="000000"/>
          <w:sz w:val="24"/>
        </w:rP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spacing w:before="0" w:after="0" w:line="360" w:lineRule="auto"/>
        <w:ind w:firstLine="480"/>
        <w:jc w:val="both"/>
      </w:pPr>
      <w:r>
        <w:rPr>
          <w:rFonts w:ascii="Times New Roman" w:hAnsi="Times New Roman" w:eastAsia="宋体" w:cs="Times New Roman"/>
          <w:color w:val="000000"/>
          <w:sz w:val="24"/>
        </w:rP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spacing w:before="0" w:after="0" w:line="360" w:lineRule="auto"/>
        <w:ind w:firstLine="480"/>
        <w:jc w:val="both"/>
      </w:pPr>
      <w:r>
        <w:rPr>
          <w:rFonts w:ascii="Times New Roman" w:hAnsi="Times New Roman" w:eastAsia="宋体" w:cs="Times New Roman"/>
          <w:color w:val="000000"/>
          <w:sz w:val="24"/>
        </w:rP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spacing w:before="0" w:after="0" w:line="360" w:lineRule="auto"/>
        <w:ind w:firstLine="480"/>
        <w:jc w:val="both"/>
      </w:pPr>
      <w:r>
        <w:rPr>
          <w:rFonts w:ascii="Times New Roman" w:hAnsi="Times New Roman" w:eastAsia="宋体" w:cs="Times New Roman"/>
          <w:color w:val="000000"/>
          <w:sz w:val="24"/>
        </w:rP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spacing w:before="0" w:after="0" w:line="360" w:lineRule="auto"/>
        <w:ind w:firstLine="480"/>
        <w:jc w:val="both"/>
      </w:pPr>
      <w:r>
        <w:rPr>
          <w:rFonts w:ascii="Times New Roman" w:hAnsi="Times New Roman" w:eastAsia="宋体" w:cs="Times New Roman"/>
          <w:color w:val="000000"/>
          <w:sz w:val="24"/>
        </w:rP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spacing w:before="0" w:after="0" w:line="360" w:lineRule="auto"/>
        <w:ind w:firstLine="480"/>
        <w:jc w:val="both"/>
      </w:pPr>
      <w:r>
        <w:rPr>
          <w:rFonts w:ascii="Times New Roman" w:hAnsi="Times New Roman" w:eastAsia="宋体" w:cs="Times New Roman"/>
          <w:color w:val="000000"/>
          <w:sz w:val="24"/>
        </w:rP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spacing w:before="0" w:after="0" w:line="360" w:lineRule="auto"/>
        <w:ind w:firstLine="480"/>
        <w:jc w:val="both"/>
      </w:pPr>
      <w:r>
        <w:rPr>
          <w:rFonts w:ascii="Times New Roman" w:hAnsi="Times New Roman" w:eastAsia="宋体" w:cs="Times New Roman"/>
          <w:color w:val="000000"/>
          <w:sz w:val="24"/>
        </w:rP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C–B / T0</w:t>
      </w:r>
      <w:r>
        <w:rPr>
          <w:rFonts w:ascii="Times New Roman" w:hAnsi="Times New Roman" w:eastAsia="宋体" w:cs="Times New Roman"/>
          <w:color w:val="000000"/>
          <w:sz w:val="24"/>
        </w:rPr>
        <w:t xml:space="preserve">：若只有群体分化或选择统计量，应为 C 级线索；若结合共同环境表型、跨群体重复、功能注释或候选变异证据，可上调至 B 级。</w:t>
      </w:r>
    </w:p>
    <w:p>
      <w:pPr>
        <w:pStyle w:val="BodyText"/>
        <w:spacing w:before="0" w:after="0" w:line="360" w:lineRule="auto"/>
        <w:ind w:firstLine="480"/>
        <w:jc w:val="both"/>
      </w:pPr>
      <w:r>
        <w:rPr>
          <w:rFonts w:ascii="Times New Roman" w:hAnsi="Times New Roman" w:eastAsia="宋体" w:cs="Times New Roman"/>
          <w:color w:val="000000"/>
          <w:sz w:val="24"/>
        </w:rP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spacing w:before="0" w:after="0" w:line="360" w:lineRule="auto"/>
        <w:ind w:firstLine="480"/>
        <w:jc w:val="both"/>
      </w:pPr>
      <w:r>
        <w:rPr>
          <w:rFonts w:ascii="Times New Roman" w:hAnsi="Times New Roman" w:eastAsia="宋体" w:cs="Times New Roman"/>
          <w:color w:val="000000"/>
          <w:sz w:val="24"/>
        </w:rP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spacing w:before="120" w:after="80" w:line="288" w:lineRule="auto"/>
        <w:jc w:val="center"/>
      </w:pPr>
      <w:r>
        <w:rPr>
          <w:rFonts w:ascii="Times New Roman" w:hAnsi="Times New Roman" w:eastAsia="宋体" w:cs="Times New Roman"/>
          <w:b/>
          <w:bCs/>
          <w:color w:val="000000"/>
          <w:sz w:val="21"/>
        </w:rPr>
        <w:t xml:space="preserve">表 5 特色表型与地方适应代表性候选位点的证据成熟度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 调控变异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黄肤 / 类胡萝卜素沉积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T2（肤色管理场景）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组织特异性表达调控、类胡萝卜素代谢和黄肤表型联系清楚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不能外推到生长、肉质或地方适应综合能力</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EDN3 相关复杂结构变异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纤维黑变 / 乌骨性状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T2（纤维黑变管理场景）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结构变异、EDN3 异常表达和多组织黑色素沉积联系清楚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对肉质、抗病性、药用价值等外推证据不足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SOX5 内含子重复序列扩增</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豌豆冠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T2（冠型和品种特征管理场景）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非编码结构变异与冠型发育表型关系清楚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商业生产性状权重有限，应用价值依场景而定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玫瑰冠相关倒位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冠型 / 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T1–T2（需考虑繁殖风险）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结构变异与冠型表型关系清楚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可能伴随雄性繁殖力风险，需 T 轴单独评估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插入变异、壳腺特异表达和蓝壳表型联系清楚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不可外推到产蛋数量或综合蛋品质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羽色相关位点（如 MC1R、ASIP、TYR/TYRP1、PMEL17）</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 / 品种识别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T1–T2（羽色识别场景）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色素通路明确，部分变异与表型对应关系较清楚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与生产性能、抗病性或适应性的因果关系不能外推</w:t>
            </w:r>
          </w:p>
        </w:tc>
      </w:tr>
      <w:tr>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羽型和形态相关位点（如 KRT75、TBX5/PITX1 调控区、PRLR/SPEF2 等）</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卷羽、毛脚或胫羽、羽速等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T1–T2（形态管理场景）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部分主效外观性状变异或候选区域较明确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多数应用限于品种识别、保种或市场偏好</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TSHR G558R 等驯化相关变异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 / 繁殖季节性 / 光周期反应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T0（商业生产）/ T1（驯化机制研究与地方品种保护）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驯化扫描、群体遗传信号和生殖内分泌功能背景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体内因果验证不足；现代商业群体中的产蛋或适应性效应仍需验证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热适应 / 高原适应 / 寒冷耐受选择扫描区域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地方适应 / 环境响应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选择扫描、通路合理性、部分表达或环境关联证据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共同环境表型、因果变异、功能验证和跨群体重复不足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注：特色表型中的 T2 多指品种识别、商品分级、保种、展览标准或特定市场管理场景，不代表综合生产性状或复杂适应性的应用成熟度。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spacing w:before="240" w:after="120" w:line="312" w:lineRule="auto"/>
        <w:jc w:val="left"/>
      </w:pPr>
      <w:r>
        <w:rPr>
          <w:rFonts w:ascii="Times New Roman" w:hAnsi="Times New Roman" w:eastAsia="黑体" w:cs="Times New Roman"/>
          <w:b/>
          <w:color w:val="000000"/>
          <w:sz w:val="28"/>
        </w:rPr>
        <w:t xml:space="preserve">4.5 小结：复杂经济性状的现实证据上限</w:t>
      </w:r>
    </w:p>
    <w:p>
      <w:pPr>
        <w:pStyle w:val="FirstParagraph"/>
        <w:spacing w:before="0" w:after="0" w:line="360" w:lineRule="auto"/>
        <w:ind w:firstLine="480"/>
        <w:jc w:val="both"/>
      </w:pPr>
      <w:r>
        <w:rPr>
          <w:rFonts w:ascii="Times New Roman" w:hAnsi="Times New Roman" w:eastAsia="宋体" w:cs="Times New Roman"/>
          <w:color w:val="000000"/>
          <w:sz w:val="24"/>
        </w:rPr>
        <w:t>就本文评估的代表性案例而言，家鸡候选位点的证据分布并不是均匀的。variant-level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阶段。换言之，就本文评估的案例而言，现实困境不是完全缺少强因果案例，而是强因果案例的性状分布与产业育种最关心的复杂经济性状之间存在明显错位。</w:t>
      </w:r>
    </w:p>
    <w:p>
      <w:pPr>
        <w:pStyle w:val="BodyText"/>
        <w:spacing w:before="120" w:after="80" w:line="288" w:lineRule="auto"/>
        <w:jc w:val="center"/>
      </w:pPr>
      <w:r>
        <w:rPr>
          <w:rFonts w:ascii="Times New Roman" w:hAnsi="Times New Roman" w:eastAsia="宋体" w:cs="Times New Roman"/>
          <w:b/>
          <w:bCs/>
          <w:color w:val="000000"/>
          <w:sz w:val="21"/>
        </w:rPr>
        <w:t xml:space="preserve">表 6 第 4 章代表性性状的证据等级分布概览</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性状类别</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当前最高代表性证据等级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代表性位点或证据单元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 T 轴场景</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核心判断</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生长、胴体、脂肪沉积与饲料效率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T0，主要用于精细定位、机制验证和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多基因经济性状尚无成熟 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繁殖产蛋与蛋品质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A（限壳色）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T2，限壳色管理场景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主效壳色可达 A；产蛋数量和综合蛋品质多数仍为 B 或 C–B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抗病与免疫性状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A；haplotype/region-level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ANP32A；TVB/NHE1；MHC-B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T0–T1，常伴随高转化风险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强证据多在靶点层面，variant-level A 罕见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特色表型与地方适应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BCDO2、EDN3、SOX5、玫瑰冠倒位、部分羽色和羽型位点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T2，多限品种特征管理、保种或市场偏好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 级证据集中于主效可见表型；地方适应扫描多数为 C–B</w:t>
            </w:r>
          </w:p>
        </w:tc>
      </w:tr>
    </w:tbl>
    <w:p>
      <w:pPr>
        <w:pStyle w:val="BodyText"/>
        <w:spacing w:before="0" w:after="0" w:line="360" w:lineRule="auto"/>
        <w:ind w:firstLine="480"/>
        <w:jc w:val="both"/>
      </w:pPr>
      <w:r>
        <w:rPr>
          <w:rFonts w:ascii="Times New Roman" w:hAnsi="Times New Roman" w:eastAsia="宋体" w:cs="Times New Roman"/>
          <w:color w:val="000000"/>
          <w:sz w:val="24"/>
        </w:rPr>
        <w:t>由本文评估的案例可以提炼出四个判断。第一，证据等级与性状遗传结构高度相关。主效或寡基因控制的可见表型更容易形成“变异—分子功能—表型”链条，因此更容易达到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在本文评估的抗病案例中，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spacing w:before="0" w:after="0" w:line="360" w:lineRule="auto"/>
        <w:ind w:firstLine="480"/>
        <w:jc w:val="both"/>
      </w:pPr>
      <w:r>
        <w:rPr>
          <w:rFonts w:ascii="Times New Roman" w:hAnsi="Times New Roman" w:eastAsia="宋体" w:cs="Times New Roman"/>
          <w:color w:val="000000"/>
          <w:sz w:val="24"/>
        </w:rP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spacing w:before="0" w:after="0" w:line="360" w:lineRule="auto"/>
        <w:ind w:firstLine="480"/>
        <w:jc w:val="both"/>
      </w:pPr>
      <w:r>
        <w:rPr>
          <w:rFonts w:ascii="Times New Roman" w:hAnsi="Times New Roman" w:eastAsia="宋体" w:cs="Times New Roman"/>
          <w:color w:val="000000"/>
          <w:sz w:val="24"/>
        </w:rP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spacing w:before="0" w:after="0" w:line="360" w:lineRule="auto"/>
        <w:ind w:firstLine="480"/>
        <w:jc w:val="both"/>
      </w:pPr>
      <w:r>
        <w:rPr>
          <w:rFonts w:ascii="Times New Roman" w:hAnsi="Times New Roman" w:eastAsia="宋体" w:cs="Times New Roman"/>
          <w:color w:val="000000"/>
          <w:sz w:val="24"/>
        </w:rP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spacing w:before="0" w:after="0" w:line="360" w:lineRule="auto"/>
        <w:ind w:firstLine="480"/>
        <w:jc w:val="both"/>
      </w:pPr>
      <w:r>
        <w:rPr>
          <w:rFonts w:ascii="Times New Roman" w:hAnsi="Times New Roman" w:eastAsia="宋体" w:cs="Times New Roman"/>
          <w:color w:val="000000"/>
          <w:sz w:val="24"/>
        </w:rP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sz w:val="28"/>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sz w:val="24"/>
        </w:rPr>
        <w:t>第 4 章评估的代表性案例显示，家鸡中并不缺少强证据位点，但真正达到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sz w:val="24"/>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sz w:val="21"/>
        </w:rPr>
        <w:t xml:space="preserve">表 7 候选位点从 B/B+ 升级到 A 的典型路径</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gene/target-level A</w:t>
            </w:r>
          </w:p>
        </w:tc>
      </w:tr>
    </w:tbl>
    <w:p>
      <w:pPr>
        <w:pStyle w:val="BodyText"/>
        <w:spacing w:before="120" w:after="80" w:line="288" w:lineRule="auto"/>
        <w:jc w:val="center"/>
      </w:pPr>
      <w:r>
        <w:rPr>
          <w:rFonts w:ascii="Times New Roman" w:hAnsi="Times New Roman" w:eastAsia="宋体" w:cs="Times New Roman"/>
          <w:b/>
          <w:color w:val="000000"/>
          <w:sz w:val="21"/>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sz w:val="28"/>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sz w:val="24"/>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sz w:val="24"/>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sz w:val="24"/>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sz w:val="24"/>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sz w:val="28"/>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sz w:val="24"/>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sz w:val="24"/>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sz w:val="24"/>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sz w:val="24"/>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sz w:val="28"/>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sz w:val="24"/>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sz w:val="24"/>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sz w:val="24"/>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sz w:val="24"/>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sz w:val="28"/>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sz w:val="24"/>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sz w:val="24"/>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sz w:val="24"/>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1. 候选构建</w:t>
      </w:r>
      <w:r>
        <w:rPr>
          <w:rFonts w:ascii="Times New Roman" w:hAnsi="Times New Roman" w:eastAsia="黑体" w:cs="Times New Roman"/>
          <w:b/>
          <w:color w:val="000000"/>
          <w:sz w:val="28"/>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2. 优先排序</w:t>
      </w:r>
      <w:r>
        <w:rPr>
          <w:rFonts w:ascii="Times New Roman" w:hAnsi="Times New Roman" w:eastAsia="黑体" w:cs="Times New Roman"/>
          <w:b/>
          <w:color w:val="000000"/>
          <w:sz w:val="28"/>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3. 机制确认</w:t>
      </w:r>
      <w:r>
        <w:rPr>
          <w:rFonts w:ascii="Times New Roman" w:hAnsi="Times New Roman" w:eastAsia="黑体" w:cs="Times New Roman"/>
          <w:b/>
          <w:color w:val="000000"/>
          <w:sz w:val="28"/>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4. 因果定性</w:t>
      </w:r>
      <w:r>
        <w:rPr>
          <w:rFonts w:ascii="Times New Roman" w:hAnsi="Times New Roman" w:eastAsia="黑体" w:cs="Times New Roman"/>
          <w:b/>
          <w:color w:val="000000"/>
          <w:sz w:val="28"/>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sz w:val="24"/>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sz w:val="28"/>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sz w:val="24"/>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sz w:val="24"/>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sz w:val="24"/>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sz w:val="21"/>
        </w:rPr>
        <w:t xml:space="preserve">表 8 候选位点证据等级与育种工具匹配矩阵</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sz w:val="21"/>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sz w:val="21"/>
        </w:rPr>
        <w:t xml:space="preserve">表 8 中工具选择呈现一个隐含规律：</w:t>
      </w:r>
      <w:r>
        <w:rPr>
          <w:rFonts w:ascii="Times New Roman" w:hAnsi="Times New Roman" w:eastAsia="宋体" w:cs="Times New Roman"/>
          <w:b/>
          <w:bCs/>
          <w:color w:val="000000"/>
          <w:sz w:val="21"/>
        </w:rPr>
        <w:t xml:space="preserve">variant-level A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时，因果变异明确，可使用 MAS 作单点选择；</w:t>
      </w:r>
      <w:r>
        <w:rPr>
          <w:rFonts w:ascii="Times New Roman" w:hAnsi="Times New Roman" w:eastAsia="宋体" w:cs="Times New Roman"/>
          <w:b/>
          <w:bCs/>
          <w:color w:val="000000"/>
          <w:sz w:val="21"/>
        </w:rPr>
        <w:t xml:space="preserve">variant-level B+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sz w:val="28"/>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sz w:val="24"/>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sz w:val="24"/>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sz w:val="24"/>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sz w:val="24"/>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sz w:val="28"/>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sz w:val="24"/>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sz w:val="24"/>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sz w:val="24"/>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sz w:val="24"/>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sz w:val="24"/>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sz w:val="28"/>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sz w:val="24"/>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sz w:val="24"/>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sz w:val="24"/>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sz w:val="24"/>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sz w:val="24"/>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sz w:val="28"/>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sz w:val="24"/>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sz w:val="24"/>
        </w:rPr>
        <w:t>SLCO1B3 EAV-HP 插入：variant-level A / T2 的成熟 MAS 应用。</w:t>
      </w:r>
      <w:r>
        <w:rPr>
          <w:rFonts w:ascii="Times New Roman" w:hAnsi="Times New Roman" w:eastAsia="宋体" w:cs="Times New Roman"/>
          <w:color w:val="000000"/>
          <w:sz w:val="24"/>
        </w:rPr>
        <w:br/>
      </w:r>
      <w:r>
        <w:rPr>
          <w:rFonts w:ascii="Times New Roman" w:hAnsi="Times New Roman" w:eastAsia="宋体" w:cs="Times New Roman"/>
          <w:color w:val="000000"/>
          <w:sz w:val="24"/>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sz w:val="24"/>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sz w:val="24"/>
        </w:rPr>
        <w:t>IGF2BP1 启动子缺失：variant-level B+ / T0 的验证优先位点。</w:t>
      </w:r>
      <w:r>
        <w:rPr>
          <w:rFonts w:ascii="Times New Roman" w:hAnsi="Times New Roman" w:eastAsia="宋体" w:cs="Times New Roman"/>
          <w:color w:val="000000"/>
          <w:sz w:val="24"/>
        </w:rPr>
        <w:br/>
      </w:r>
      <w:r>
        <w:rPr>
          <w:rFonts w:ascii="Times New Roman" w:hAnsi="Times New Roman" w:eastAsia="宋体" w:cs="Times New Roman"/>
          <w:color w:val="000000"/>
          <w:sz w:val="24"/>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sz w:val="24"/>
        </w:rPr>
        <w:t>rs734209466–IGFBP2/IGFBP5 调控链：variant-level B+ / T0 的高优先级调控候选。</w:t>
      </w:r>
      <w:r>
        <w:rPr>
          <w:rFonts w:ascii="Times New Roman" w:hAnsi="Times New Roman" w:eastAsia="宋体" w:cs="Times New Roman"/>
          <w:color w:val="000000"/>
          <w:sz w:val="24"/>
        </w:rPr>
        <w:br/>
      </w:r>
      <w:r>
        <w:rPr>
          <w:rFonts w:ascii="Times New Roman" w:hAnsi="Times New Roman" w:eastAsia="宋体" w:cs="Times New Roman"/>
          <w:color w:val="000000"/>
          <w:sz w:val="24"/>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sz w:val="24"/>
        </w:rPr>
        <w:t>PHIP 非编码变异：variant-level B / T0 的产蛋机制候选。</w:t>
      </w:r>
      <w:r>
        <w:rPr>
          <w:rFonts w:ascii="Times New Roman" w:hAnsi="Times New Roman" w:eastAsia="宋体" w:cs="Times New Roman"/>
          <w:color w:val="000000"/>
          <w:sz w:val="24"/>
        </w:rPr>
        <w:br/>
      </w:r>
      <w:r>
        <w:rPr>
          <w:rFonts w:ascii="Times New Roman" w:hAnsi="Times New Roman" w:eastAsia="宋体" w:cs="Times New Roman"/>
          <w:color w:val="000000"/>
          <w:sz w:val="24"/>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sz w:val="24"/>
        </w:rPr>
        <w:t>MHC-B 单倍型：haplotype/region-level B+ / T1 的特定疾病风险层。</w:t>
      </w:r>
      <w:r>
        <w:rPr>
          <w:rFonts w:ascii="Times New Roman" w:hAnsi="Times New Roman" w:eastAsia="宋体" w:cs="Times New Roman"/>
          <w:color w:val="000000"/>
          <w:sz w:val="24"/>
        </w:rPr>
        <w:br/>
      </w:r>
      <w:r>
        <w:rPr>
          <w:rFonts w:ascii="Times New Roman" w:hAnsi="Times New Roman" w:eastAsia="宋体" w:cs="Times New Roman"/>
          <w:color w:val="000000"/>
          <w:sz w:val="24"/>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sz w:val="24"/>
        </w:rPr>
        <w:t>ANP32A：gene/target-level A 与 variant-level B–C 并存的非对称证据。</w:t>
      </w:r>
      <w:r>
        <w:rPr>
          <w:rFonts w:ascii="Times New Roman" w:hAnsi="Times New Roman" w:eastAsia="宋体" w:cs="Times New Roman"/>
          <w:color w:val="000000"/>
          <w:sz w:val="24"/>
        </w:rPr>
        <w:br/>
      </w:r>
      <w:r>
        <w:rPr>
          <w:rFonts w:ascii="Times New Roman" w:hAnsi="Times New Roman" w:eastAsia="宋体" w:cs="Times New Roman"/>
          <w:color w:val="000000"/>
          <w:sz w:val="24"/>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sz w:val="24"/>
        </w:rPr>
        <w:t xml:space="preserve">本节六个位点对应五种典型证据组合：</w:t>
      </w:r>
      <w:r>
        <w:rPr>
          <w:rFonts w:ascii="Times New Roman" w:hAnsi="Times New Roman" w:eastAsia="宋体" w:cs="Times New Roman"/>
          <w:b/>
          <w:bCs/>
          <w:color w:val="000000"/>
          <w:sz w:val="24"/>
        </w:rPr>
        <w:t xml:space="preserve">variant-level A + T2</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的成熟应用（SLCO1B3）；</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的验证优先对象（IGF2BP1 和 rs734209466–IGFBP2/IGFBP5，分别代表生长方向和脂肪沉积方向的不同应用决策）；</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的机制候选（PHIP）；</w:t>
      </w:r>
      <w:r>
        <w:rPr>
          <w:rFonts w:ascii="Times New Roman" w:hAnsi="Times New Roman" w:eastAsia="宋体" w:cs="Times New Roman"/>
          <w:b/>
          <w:bCs/>
          <w:color w:val="000000"/>
          <w:sz w:val="24"/>
        </w:rPr>
        <w:t xml:space="preserve">haplotype-level B+ + 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的风险层管理（MHC-B）；以及</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gene/target-level A + variant-level B–C + T0–T1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sz w:val="24"/>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sz w:val="24"/>
        </w:rPr>
        <w:t>本章建立的工具匹配规则基于本文评估案例呈现的当前证据格局。下一章将讨论这一格局目前面临的方法学和群体性瓶颈，以及未来最可能改变本文所讨论的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sz w:val="28"/>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sz w:val="24"/>
        </w:rPr>
        <w:t>本文的出发点是一个看似简单却常被混淆的区分：一个候选位点“有多强的证据”和“是否适合用于育种”，是两个不同问题。围绕这一区分，本文建立了证据轴（C/B/B+/A）与产业适用性轴（T0/T1/T2），并用它评估了家鸡四类性状的代表性位点。基于本文纳入的代表性位点，第 4 章得到的核心图景是：variant-level A 证据在本文评估案例中并不稀缺，却几乎全部落在主效可见表型上；真正承载产业价值的复杂经济性状，大多停留在 B/B+ 或 C/B。本章讨论本文评估案例呈现的这一格局背后的瓶颈、最可能改变它的方向，以及它对研究和育种实践的含义。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sz w:val="28"/>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sz w:val="24"/>
        </w:rPr>
        <w:t>就本文评估的复杂经济性状案例而言，证据上限偏低不是研究投入不足的简单结果，而是三类结构性瓶颈共同作用的产物。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sz w:val="24"/>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sz w:val="24"/>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sz w:val="24"/>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sz w:val="28"/>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sz w:val="24"/>
        </w:rPr>
        <w:t>与上述瓶颈相对，未来若干进展有可能系统性地改变本文所讨论的家鸡候选位点证据分布。它们的共同特征是：改变的不是候选信号的数量，而是证据沿四个维度向上移动的能力。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sz w:val="24"/>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sz w:val="24"/>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sz w:val="24"/>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sz w:val="28"/>
        </w:rPr>
        <w:t xml:space="preserve">7.3 结论</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sz w:val="24"/>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sz w:val="24"/>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sz w:val="28"/>
        </w:rPr>
        <w:t>参考文献</w:t>
      </w:r>
    </w:p>
    <w:p>
      <w:pPr>
        <w:pStyle w:val="Heading2"/>
        <w:spacing w:before="240" w:after="120" w:line="312" w:lineRule="auto"/>
        <w:jc w:val="left"/>
      </w:pPr>
      <w:r>
        <w:rPr>
          <w:rFonts w:ascii="Times New Roman" w:hAnsi="Times New Roman" w:eastAsia="黑体" w:cs="Times New Roman"/>
          <w:b/>
          <w:color w:val="000000"/>
          <w:sz w:val="28"/>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sz w:val="28"/>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sz w:val="28"/>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sz w:val="28"/>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sz w:val="28"/>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sz w:val="28"/>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sz w:val="28"/>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sz w:val="28"/>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sz w:val="28"/>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sz w:val="28"/>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sz w:val="28"/>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sz w:val="28"/>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sz w:val="28"/>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sz w:val="28"/>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sz w:val="28"/>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sz w:val="28"/>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sz w:val="28"/>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sz w:val="28"/>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sz w:val="28"/>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sz w:val="28"/>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sz w:val="28"/>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sz w:val="28"/>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sz w:val="28"/>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sz w:val="28"/>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sz w:val="28"/>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sz w:val="28"/>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sz w:val="28"/>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sz w:val="28"/>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sz w:val="28"/>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sz w:val="28"/>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sz w:val="28"/>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sz w:val="28"/>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sz w:val="28"/>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sz w:val="28"/>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sz w:val="28"/>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sz w:val="28"/>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sz w:val="28"/>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sz w:val="28"/>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sz w:val="28"/>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sz w:val="28"/>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sz w:val="28"/>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sz w:val="28"/>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sz w:val="28"/>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sz w:val="28"/>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sz w:val="28"/>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sz w:val="28"/>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sz w:val="28"/>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sz w:val="28"/>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sz w:val="28"/>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sz w:val="28"/>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sz w:val="28"/>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sz w:val="28"/>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sz w:val="28"/>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sz w:val="28"/>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sz w:val="28"/>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sz w:val="28"/>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sz w:val="28"/>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sz w:val="28"/>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sz w:val="28"/>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sz w:val="28"/>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sz w:val="28"/>
        </w:rPr>
        <w:t>Zhu, Z., Zhang, F., Hu, H., et al. 2016. Integration of summary data from GWAS and eQTL studies predicts complex trait gene targets. Nature Genetics 48:481-487. https://doi.org/10.1038/ng.3538.</w:t>
      </w:r>
    </w:p>
    <w:p>
      <w:pPr>
        <w:sectPr>
          <w:footerReference w:type="default" r:id="rId9"/>
          <w:pgSz w:w="11906" w:h="16838"/>
          <w:pgMar w:top="1440" w:bottom="1440" w:left="1587" w:right="1587" w:header="850" w:footer="850"/>
        </w:sectPr>
      </w:pPr>
    </w:p>
    <w:p>
      <w:pPr>
        <w:spacing w:before="120" w:after="80"/>
        <w:jc w:val="left"/>
      </w:pPr>
      <w:r>
        <w:rPr>
          <w:rFonts w:ascii="Times New Roman" w:hAnsi="Times New Roman" w:eastAsia="黑体" w:cs="Times New Roman"/>
          <w:b/>
          <w:color w:val="000000"/>
          <w:sz w:val="24"/>
        </w:rPr>
        <w:t>补充材料</w:t>
      </w:r>
    </w:p>
    <w:p>
      <w:pPr>
        <w:spacing w:before="120" w:after="80"/>
        <w:jc w:val="center"/>
      </w:pPr>
      <w:r>
        <w:rPr>
          <w:rFonts w:ascii="Times New Roman" w:hAnsi="Times New Roman" w:eastAsia="黑体" w:cs="Times New Roman"/>
          <w:b/>
          <w:color w:val="000000"/>
          <w:sz w:val="21"/>
        </w:rPr>
        <w:t>补充表 1 表 2–5 代表性位点的证据抽取与评级依据</w:t>
      </w:r>
    </w:p>
    <w:p>
      <w:pPr>
        <w:spacing w:line="276" w:lineRule="auto" w:before="80" w:after="0"/>
        <w:jc w:val="left"/>
      </w:pPr>
      <w:r>
        <w:rPr>
          <w:rFonts w:ascii="Times New Roman" w:hAnsi="Times New Roman" w:eastAsia="宋体" w:cs="Times New Roman"/>
          <w:color w:val="000000"/>
          <w:sz w:val="17"/>
        </w:rPr>
        <w:t>注：变异明确度、重复性、分子机制和功能验证均按本文第 3 章标准抽取；“低–中”或“中–高”表示证据强度依具体研究、群体或性状终点而变化。SLCO1B3 同时出现在表 3 和表 5，本表合并列示。</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家鸡驯化全基因组重测序/选择扫描</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热适应/高原适应/寒冷耐受选择扫描区域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多选择扫描研究；正文未绑定单一原始位点研究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地方鸡资源群体和环境关联/选择扫描研究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