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pPr>
      <w:r>
        <w:t xml:space="preserve">家鸡复杂性状候选位点的证据分级与育种转化</w:t>
      </w:r>
    </w:p>
    <w:bookmarkStart w:id="20" w:name="摘要"/>
    <w:p>
      <w:pPr>
        <w:pStyle w:val="Heading2"/>
      </w:pPr>
      <w:r>
        <w:t xml:space="preserve">摘要</w:t>
      </w:r>
    </w:p>
    <w:p>
      <w:pPr>
        <w:pStyle w:val="FirstParagraph"/>
      </w:pPr>
      <w: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pPr>
      <w:r>
        <w:t>关键词： 家鸡；候选位点；证据成熟度；后关联分析；功能验证；基因组选择；基因编辑</w:t>
      </w:r>
    </w:p>
    <w:bookmarkEnd w:id="20"/>
    <w:bookmarkStart w:id="21" w:name="引言"/>
    <w:p>
      <w:pPr>
        <w:pStyle w:val="Heading2"/>
      </w:pPr>
      <w:r>
        <w:t xml:space="preserve">1 引言</w:t>
      </w:r>
    </w:p>
    <w:p>
      <w:pPr>
        <w:pStyle w:val="FirstParagraph"/>
      </w:pPr>
      <w: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pPr>
      <w: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et al., 2013）；多数复杂经济性状仍缺少同等验证深度（详见第 4 章）。</w:t>
      </w:r>
    </w:p>
    <w:p>
      <w:pPr>
        <w:pStyle w:val="BodyText"/>
      </w:pPr>
      <w: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pPr>
      <w: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pPr>
      <w:r>
        <w:t>本文采用叙述综述（narrative review）形式。检索以 PubMed、Web of Science 和 China National Knowledge Infrastructure（CNKI）为主，范围为 2000 年 1 月至 2024 年 12 月，部分关键文献延伸至 2025 年；关键词为 chicken/poultry 与 GWAS、QTL、causal variant、functional validation、genomic selection、marker-assisted selection（MAS）、gene editing 等组合。文献按性状和证据类型整理，优先纳入具有功能验证或机制证据的代表性位点；本文不做系统综述或 meta 分析。</w:t>
      </w:r>
    </w:p>
    <w:p>
      <w:pPr>
        <w:pStyle w:val="BodyText"/>
      </w:pPr>
      <w: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pPr>
      <w:r>
        <w:t xml:space="preserve">2 为什么候选信号不能直接等同于因果位点</w:t>
      </w:r>
    </w:p>
    <w:p>
      <w:pPr>
        <w:pStyle w:val="FirstParagraph"/>
      </w:pPr>
      <w: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pPr>
      <w:r>
        <w:t xml:space="preserve">2.1 GWAS、QTL 和选择信号的证据边界</w:t>
      </w:r>
    </w:p>
    <w:p>
      <w:pPr>
        <w:pStyle w:val="FirstParagraph"/>
      </w:pPr>
      <w: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pPr>
      <w: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pPr>
      <w: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pPr>
      <w: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pPr>
      <w: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pPr>
      <w:r>
        <w:t xml:space="preserve">2.2 差异表达、多组学共定位和功能注释的解释边界</w:t>
      </w:r>
    </w:p>
    <w:p>
      <w:pPr>
        <w:pStyle w:val="FirstParagraph"/>
      </w:pPr>
      <w: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pPr>
      <w: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pPr>
      <w: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pPr>
      <w:r>
        <w:t>这一标准在具体案例中如何兑现，可以从 PHIP 非编码变异和 rs734209466–IGFBP2/IGFBP5 调控链看到。前者提示非编码变异可能通过转录因子结合和 PHIP 表达影响颗粒细胞相关功能（Wang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pPr>
      <w: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pPr>
      <w: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pPr>
      <w: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pPr>
      <w:r>
        <w:t xml:space="preserve">2.3 体外功能实验与体内因果证据的区别</w:t>
      </w:r>
    </w:p>
    <w:p>
      <w:pPr>
        <w:pStyle w:val="FirstParagraph"/>
      </w:pPr>
      <w:r>
        <w:t>功能实验是候选位点证据升级的关键环节，但不同实验体系提供的证据强度并不相同。报告基因实验可以检验某段序列是否具有调控活性；MPRA 可高通量测试大量候选调控片段；过表达、敲低或细胞模型可以判断某个基因是否影响细胞表型；CRISPRa/i 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pPr>
      <w: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pPr>
      <w:r>
        <w:t>更强的功能证据通常需要把候选变异、内源分子效应和体内表型连接起来。内源编辑、自然突变或等位基因导入、PGC 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pPr>
      <w: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pPr>
      <w: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pPr>
      <w:r>
        <w:t xml:space="preserve">3 家鸡候选位点的证据成熟度框架</w:t>
      </w:r>
    </w:p>
    <w:p>
      <w:pPr>
        <w:pStyle w:val="FirstParagraph"/>
      </w:pPr>
      <w:r>
        <w:t>第 2 章讨论了候选信号不能直接等同于因果位点。本章进一步把这种判断转化为可操作的证据成熟度框架，为候选位点的证据强度和应用边界提供一种更清楚的讨论语言。</w:t>
      </w:r>
    </w:p>
    <w:p>
      <w:pPr>
        <w:pStyle w:val="BodyText"/>
      </w:pPr>
      <w: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pPr>
      <w:r>
        <w:t xml:space="preserve">3.1 四个证据维度：变异明确度、重复性、机制支持和功能验证</w:t>
      </w:r>
    </w:p>
    <w:p>
      <w:pPr>
        <w:pStyle w:val="FirstParagraph"/>
      </w:pPr>
      <w: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pPr>
      <w: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pPr>
      <w: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pPr>
      <w:r>
        <w:t xml:space="preserve">第三个维度是分子机制支持。机制支持的核心不是“这个基因看起来合理”，而是候选信号是否能够连接到目标组织、目标细胞类型、调控元件、分子 QTL、等位基因特异表达、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pPr>
      <w: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pPr>
      <w: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pPr>
      <w:r>
        <w:t xml:space="preserve">3.2 C、B、B+ 和 A 四级证据的定义</w:t>
      </w:r>
    </w:p>
    <w:p>
      <w:pPr>
        <w:pStyle w:val="FirstParagraph"/>
      </w:pPr>
      <w: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pPr>
      <w: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pPr>
      <w: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pPr>
      <w: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pPr>
      <w: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pPr>
      <w: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pPr>
      <w: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pPr>
      <w:r>
        <w:t>表 1 家鸡候选位点证据等级（C/B/B+/A）在四个证据维度上的典型判定特征</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证据维度</w:t>
            </w:r>
          </w:p>
        </w:tc>
        <w:tc>
          <w:tcPr/>
          <w:p>
            <w:pPr>
              <w:pStyle w:val="Compact"/>
              <w:jc w:val="left"/>
            </w:pPr>
            <w:r>
              <w:t xml:space="preserve">C：候选线索</w:t>
            </w:r>
          </w:p>
        </w:tc>
        <w:tc>
          <w:tcPr/>
          <w:p>
            <w:pPr>
              <w:pStyle w:val="Compact"/>
              <w:jc w:val="left"/>
            </w:pPr>
            <w:r>
              <w:t xml:space="preserve">B：机制或重复性支持</w:t>
            </w:r>
          </w:p>
        </w:tc>
        <w:tc>
          <w:tcPr/>
          <w:p>
            <w:pPr>
              <w:pStyle w:val="Compact"/>
              <w:jc w:val="left"/>
            </w:pPr>
            <w:r>
              <w:t xml:space="preserve">B+：高验证优先级</w:t>
            </w:r>
          </w:p>
        </w:tc>
        <w:tc>
          <w:tcPr/>
          <w:p>
            <w:pPr>
              <w:pStyle w:val="Compact"/>
              <w:jc w:val="left"/>
            </w:pPr>
            <w:r>
              <w:t xml:space="preserve">A：强功能证据</w:t>
            </w:r>
          </w:p>
        </w:tc>
      </w:tr>
      <w:tr>
        <w:tc>
          <w:tcPr/>
          <w:p>
            <w:pPr>
              <w:pStyle w:val="Compact"/>
              <w:jc w:val="left"/>
            </w:pPr>
            <w:r>
              <w:t xml:space="preserve">变异明确度</w:t>
            </w:r>
          </w:p>
        </w:tc>
        <w:tc>
          <w:tcPr/>
          <w:p>
            <w:pPr>
              <w:pStyle w:val="Compact"/>
              <w:jc w:val="left"/>
            </w:pPr>
            <w:r>
              <w:t xml:space="preserve">低分辨率 QTL 区间、GWAS 峰、最近基因注释或候选基因；因果变异未知。</w:t>
            </w:r>
          </w:p>
        </w:tc>
        <w:tc>
          <w:tcPr/>
          <w:p>
            <w:pPr>
              <w:pStyle w:val="Compact"/>
              <w:jc w:val="left"/>
            </w:pPr>
            <w:r>
              <w:t xml:space="preserve">候选区域已缩小，存在较可信候选变异、单倍型或结构变异，但 LD、分型或因果归属仍未充分排除。</w:t>
            </w:r>
          </w:p>
        </w:tc>
        <w:tc>
          <w:tcPr/>
          <w:p>
            <w:pPr>
              <w:pStyle w:val="Compact"/>
              <w:jc w:val="left"/>
            </w:pPr>
            <w:r>
              <w:t xml:space="preserve">候选变异、单倍型或结构变异相对明确，分型较可靠，并与机制证据或功能线索互相支持。</w:t>
            </w:r>
          </w:p>
        </w:tc>
        <w:tc>
          <w:tcPr/>
          <w:p>
            <w:pPr>
              <w:pStyle w:val="Compact"/>
              <w:jc w:val="left"/>
            </w:pPr>
            <w:r>
              <w:t xml:space="preserve">variant-level A 要求因果变异或单倍型证据较完整；gene/target-level A 要求功能靶点明确。</w:t>
            </w:r>
          </w:p>
        </w:tc>
      </w:tr>
      <w:tr>
        <w:tc>
          <w:tcPr/>
          <w:p>
            <w:pPr>
              <w:pStyle w:val="Compact"/>
              <w:jc w:val="left"/>
            </w:pPr>
            <w:r>
              <w:t xml:space="preserve">统计重复性与稳健性</w:t>
            </w:r>
          </w:p>
        </w:tc>
        <w:tc>
          <w:tcPr/>
          <w:p>
            <w:pPr>
              <w:pStyle w:val="Compact"/>
              <w:jc w:val="left"/>
            </w:pPr>
            <w:r>
              <w:t xml:space="preserve">单一群体、单一批次或单一模型发现；群体结构、表型定义或样本量可能影响结果。</w:t>
            </w:r>
          </w:p>
        </w:tc>
        <w:tc>
          <w:tcPr/>
          <w:p>
            <w:pPr>
              <w:pStyle w:val="Compact"/>
              <w:jc w:val="left"/>
            </w:pPr>
            <w:r>
              <w:t xml:space="preserve">在独立群体、相关性状、不同生产阶段或有限外部研究中有方向一致的支持。</w:t>
            </w:r>
          </w:p>
        </w:tc>
        <w:tc>
          <w:tcPr/>
          <w:p>
            <w:pPr>
              <w:pStyle w:val="Compact"/>
              <w:jc w:val="left"/>
            </w:pPr>
            <w:r>
              <w:t xml:space="preserve">多群体、多阶段、多性状或多模型证据相互支持，但仍需要更强因果验证。</w:t>
            </w:r>
          </w:p>
        </w:tc>
        <w:tc>
          <w:tcPr/>
          <w:p>
            <w:pPr>
              <w:pStyle w:val="Compact"/>
              <w:jc w:val="left"/>
            </w:pPr>
            <w:r>
              <w:t xml:space="preserve">统计证据与机制证据、功能证据方向一致；跨群体稳健性有助于提高可信度，但不能替代功能验证。</w:t>
            </w:r>
          </w:p>
        </w:tc>
      </w:tr>
      <w:tr>
        <w:tc>
          <w:tcPr/>
          <w:p>
            <w:pPr>
              <w:pStyle w:val="Compact"/>
              <w:jc w:val="left"/>
            </w:pPr>
            <w:r>
              <w:t xml:space="preserve">分子机制支持</w:t>
            </w:r>
          </w:p>
        </w:tc>
        <w:tc>
          <w:tcPr/>
          <w:p>
            <w:pPr>
              <w:pStyle w:val="Compact"/>
              <w:jc w:val="left"/>
            </w:pPr>
            <w:r>
              <w:t xml:space="preserve">最近基因注释、普通差异表达、通路富集或低分辨率功能注释。</w:t>
            </w:r>
          </w:p>
        </w:tc>
        <w:tc>
          <w:tcPr/>
          <w:p>
            <w:pPr>
              <w:pStyle w:val="Compact"/>
              <w:jc w:val="left"/>
            </w:pPr>
            <w:r>
              <w:t xml:space="preserve">目标组织表达、染色质开放、细胞类型定位、3D 互作或调控元件证据与候选信号相符。</w:t>
            </w:r>
          </w:p>
        </w:tc>
        <w:tc>
          <w:tcPr/>
          <w:p>
            <w:pPr>
              <w:pStyle w:val="Compact"/>
              <w:jc w:val="left"/>
            </w:pPr>
            <w:r>
              <w:t xml:space="preserve">分子 QTL 共定位、等位基因特异表达、等位基因特异调控或多个机制证据形成同向支持。</w:t>
            </w:r>
          </w:p>
        </w:tc>
        <w:tc>
          <w:tcPr/>
          <w:p>
            <w:pPr>
              <w:pStyle w:val="Compact"/>
              <w:jc w:val="left"/>
            </w:pPr>
            <w:r>
              <w:t xml:space="preserve">机制证据能够连接变异或靶点、分子效应和表型后果，并与强功能验证一致。</w:t>
            </w:r>
          </w:p>
        </w:tc>
      </w:tr>
      <w:tr>
        <w:tc>
          <w:tcPr/>
          <w:p>
            <w:pPr>
              <w:pStyle w:val="Compact"/>
              <w:jc w:val="left"/>
            </w:pPr>
            <w:r>
              <w:t xml:space="preserve">功能验证强度</w:t>
            </w:r>
          </w:p>
        </w:tc>
        <w:tc>
          <w:tcPr/>
          <w:p>
            <w:pPr>
              <w:pStyle w:val="Compact"/>
              <w:jc w:val="left"/>
            </w:pPr>
            <w:r>
              <w:t xml:space="preserve">无扰动实验；仅有相关性观察。</w:t>
            </w:r>
          </w:p>
        </w:tc>
        <w:tc>
          <w:tcPr/>
          <w:p>
            <w:pPr>
              <w:pStyle w:val="Compact"/>
              <w:jc w:val="left"/>
            </w:pPr>
            <w:r>
              <w:t xml:space="preserve">报告基因、MPRA、过表达、敲低、细胞模型、CRISPRa/i 或体外实验提供初步功能支持。</w:t>
            </w:r>
          </w:p>
        </w:tc>
        <w:tc>
          <w:tcPr/>
          <w:p>
            <w:pPr>
              <w:pStyle w:val="Compact"/>
              <w:jc w:val="left"/>
            </w:pPr>
            <w:r>
              <w:t xml:space="preserve">多种中等强度功能证据互相印证，但缺少内源、体内或自然变异层面的强验证。</w:t>
            </w:r>
          </w:p>
        </w:tc>
        <w:tc>
          <w:tcPr/>
          <w:p>
            <w:pPr>
              <w:pStyle w:val="Compact"/>
              <w:jc w:val="left"/>
            </w:pPr>
            <w: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pPr>
      <w:r>
        <w:t xml:space="preserve">3.3 T0/T1/T2：产业适用性不能混入证据等级</w:t>
      </w:r>
    </w:p>
    <w:p>
      <w:pPr>
        <w:pStyle w:val="FirstParagraph"/>
      </w:pPr>
      <w: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pPr>
      <w: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pPr>
      <w: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pPr>
      <w: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pPr>
      <w: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pPr>
      <w: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pPr>
      <w:r>
        <w:t>经验上，T2 至少要求：(1) 跨世代稳定性数据（不少于 2 代）；(2) 跨环境或跨场验证；(3) 与多性状选择指数的协调性评估；(4) 经济权重在该应用场景下的明确化。任一项缺失，原则上应保留在 T1 阶段。</w:t>
      </w:r>
    </w:p>
    <w:p>
      <w:pPr>
        <w:pStyle w:val="BodyText"/>
      </w:pPr>
      <w: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pPr>
      <w:r>
        <w:t xml:space="preserve">3.4 variant-level A 与 gene/target-level A 的区别</w:t>
      </w:r>
    </w:p>
    <w:p>
      <w:pPr>
        <w:pStyle w:val="FirstParagraph"/>
      </w:pPr>
      <w: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pPr>
      <w:r>
        <w:t xml:space="preserve">3.5 框架局限：启发式工具，而非已验证量表</w:t>
      </w:r>
    </w:p>
    <w:p>
      <w:pPr>
        <w:pStyle w:val="FirstParagraph"/>
      </w:pPr>
      <w: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pPr>
      <w: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pPr>
      <w:r>
        <w:t>本框架尚未完成评估者间一致性（inter-rater reliability）的形式化验证，这是其当前的明确局限。未来的形式化路径包括：预先注册评分规则；选择覆盖主效表型、生长、产蛋、饲料效率、抗病和地方适应等不同性状类型的代表性位点（建议不少于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pPr>
      <w:r>
        <w:t>在本文中，该框架的用途更克制：它帮助组织已有文献，避免把候选线索提前包装成因果位点，也避免把功能验证结果直接等同于育种应用。下一章将应用该框架比较不同性状的代表性候选位点，并指出 variant-level A 在家鸡中的具体分布。</w:t>
      </w:r>
    </w:p>
    <w:bookmarkEnd w:id="30"/>
    <w:bookmarkEnd w:id="31"/>
    <w:bookmarkStart w:id="37" w:name="代表性性状和候选位点的证据成熟度比较"/>
    <w:p>
      <w:pPr>
        <w:pStyle w:val="Heading2"/>
      </w:pPr>
      <w:r>
        <w:t xml:space="preserve">4 代表性性状和候选位点的证据成熟度比较</w:t>
      </w:r>
    </w:p>
    <w:p>
      <w:pPr>
        <w:pStyle w:val="FirstParagraph"/>
      </w:pPr>
      <w: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pPr>
      <w: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bookmarkStart w:id="32" w:name="生长胴体脂肪沉积与饲料效率"/>
    <w:p>
      <w:pPr>
        <w:pStyle w:val="Heading3"/>
      </w:pPr>
      <w:r>
        <w:t xml:space="preserve">4.1 生长、胴体、脂肪沉积与饲料效率</w:t>
      </w:r>
    </w:p>
    <w:p>
      <w:pPr>
        <w:pStyle w:val="FirstParagraph"/>
      </w:pPr>
      <w: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pPr>
      <w:r>
        <w:t xml:space="preserve">在目前家鸡生长相关研究中，IGF2BP1 启动子缺失是证据链较强的代表案例。该案例的重要性不在于再次提出一个“生长候选基因”，而在于把泛基因组发现的参考缺失变异、启动子调控活性、IGF2BP1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w:t>
      </w:r>
      <w:r>
        <w:t xml:space="preserve"> </w:t>
      </w:r>
      <w:r>
        <w:rPr>
          <w:b/>
          <w:bCs/>
        </w:rPr>
        <w:t xml:space="preserve">variant-level B+ / T0</w:t>
      </w:r>
      <w:r>
        <w:t xml:space="preserve">：其变异明确度和机制支持较强，但仍缺少内源编辑、等位基因导入或更强体内因果验证，也尚未在目标商业群体中完成系统多性状评估。</w:t>
      </w:r>
    </w:p>
    <w:p>
      <w:pPr>
        <w:pStyle w:val="BodyText"/>
      </w:pPr>
      <w: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pPr>
      <w:r>
        <w:t xml:space="preserve">脂肪沉积方向中，rs734209466–IGFBP2/IGFBP5 调控链提供了另一个机制证据较强的案例。该研究类型的价值在于把非编码变异、增强子活性、三维调控、靶基因表达和脂前体细胞功能联系起来，使候选信号不再停留在“显著 SNP 附近有脂肪代谢相关基因”的层面。依 3.2 节评级，rs734209466–IGFBP2/IGFBP5 调控链更适合定位为</w:t>
      </w:r>
      <w:r>
        <w:t xml:space="preserve"> </w:t>
      </w:r>
      <w:r>
        <w:rPr>
          <w:b/>
          <w:bCs/>
        </w:rPr>
        <w:t xml:space="preserve">variant-level B+ / T0</w:t>
      </w:r>
      <w:r>
        <w:t xml:space="preserve">：它提示了较清楚的调控路径，也为后续内源编辑、跨群体验证和目标育种群体效应评估提供了方向，但仍不能直接视为 A 级因果位点或成熟 MAS 标记。</w:t>
      </w:r>
    </w:p>
    <w:p>
      <w:pPr>
        <w:pStyle w:val="BodyText"/>
      </w:pPr>
      <w: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pPr>
      <w:r>
        <w:t xml:space="preserve">IMFNCR–PPARG 轴代表另一类证据：调控网络层面的机制案例。它能够帮助解释非编码 RNA、脂肪细胞分化和肌内脂肪沉积之间的联系，但从证据等级上看，它首先是基因调控轴证据，而不是明确自然变异位点证据。按上述维度判定，IMFNCR–PPARG 更适合定位为</w:t>
      </w:r>
      <w:r>
        <w:t xml:space="preserve"> </w:t>
      </w:r>
      <w:r>
        <w:rPr>
          <w:b/>
          <w:bCs/>
        </w:rPr>
        <w:t xml:space="preserve">gene/network-level B / T0</w:t>
      </w:r>
      <w:r>
        <w:t xml:space="preserve">：其机制解释力较强，但自然变异、等位基因效应、群体关联和体内表型之间尚未形成完整链条。它的主要价值在于提示肌内脂肪和肉质形成的调控机制，并为后续候选变异筛选和功能验证提供方向。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pPr>
      <w:r>
        <w:t xml:space="preserve">CCKAR 区段可以作为采食和生长方向中较高分辨率候选信号的补充案例。已有研究提示，CCKAR 相关区域可能参与采食行为、生长或能量摄入调控，并在分歧选择群体或精细定位研究中表现出较强候选价值。CCKAR 更适合暂定为</w:t>
      </w:r>
      <w:r>
        <w:t xml:space="preserve"> </w:t>
      </w:r>
      <w:r>
        <w:rPr>
          <w:b/>
          <w:bCs/>
        </w:rPr>
        <w:t xml:space="preserve">variant-level B / T0</w:t>
      </w:r>
      <w:r>
        <w:t xml:space="preserve">；若后续研究能够证明明确调控变异、等位基因效应和细胞或体内功能后果，则可上调为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pPr>
      <w:r>
        <w:t xml:space="preserve">MSTN 则适合作为 gene-level 与 variant-level 区分的教学性例子。MSTN 在哺乳动物肌肉发育中具有强功能证据，跨物种研究也支持其作为肌肉生长负调控因子的生物学重要性。然而，在家鸡自然群体内，MSTN 相关信号通常并不等同于类似 Belgian Blue 牛那样的明确主效自然变异。按 C/B/B+/A 标准，MSTN 在鸡内更适合被处理为</w:t>
      </w:r>
      <w:r>
        <w:t xml:space="preserve"> </w:t>
      </w:r>
      <w:r>
        <w:rPr>
          <w:b/>
          <w:bCs/>
        </w:rPr>
        <w:t xml:space="preserve">gene-level B / T0</w:t>
      </w:r>
      <w:r>
        <w:t xml:space="preserve"> </w:t>
      </w:r>
      <w:r>
        <w:t xml:space="preserve">或机制背景基因，而不是家鸡 variant-level A 位点。这个例子再次说明：某个基因具有强生物学功能，并不意味着家鸡群体中已经存在可直接用于育种的强效自然等位变异。</w:t>
      </w:r>
    </w:p>
    <w:p>
      <w:pPr>
        <w:pStyle w:val="BodyText"/>
      </w:pPr>
      <w:r>
        <w:t xml:space="preserve">除上述机制较强或较有代表性的案例外，生长和肉质研究中还频繁出现 IGF1、IGF1R、GHR、MYOD/MYF 家族、FABP3、FABP4、PPARG、LPL、CAPN1、CAST 等基因。这些基因在肌肉发育、脂肪代谢、蛋白降解或肉品质形成中具有明确生物学相关性，因此适合作为候选通路或功能背景讨论。这类基因多数应定位为</w:t>
      </w:r>
      <w:r>
        <w:t xml:space="preserve"> </w:t>
      </w:r>
      <w:r>
        <w:rPr>
          <w:b/>
          <w:bCs/>
        </w:rPr>
        <w:t xml:space="preserve">gene-level C–B / T0</w:t>
      </w:r>
      <w:r>
        <w:t xml:space="preserve">：若只是位于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pPr>
      <w:r>
        <w:t xml:space="preserve">饲料效率是更典型的复杂经济性状。采食量、增重、代谢率、肠道吸收、活动水平、免疫状态、热应激反应和肠道微生物都会影响饲料转化表现。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pPr>
      <w: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t xml:space="preserve"> </w:t>
      </w:r>
      <w:r>
        <w:rPr>
          <w:b/>
          <w:bCs/>
        </w:rPr>
        <w:t xml:space="preserve">中间表型证据 C / T0</w:t>
      </w:r>
      <w: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pPr>
      <w: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pPr>
      <w:r>
        <w:rPr>
          <w:b/>
          <w:bCs/>
        </w:rPr>
        <w:t xml:space="preserve">表 2 生长、胴体、脂肪沉积与饲料效率代表性候选位点的证据成熟度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IGF2BP1 启动子缺失</w:t>
            </w:r>
          </w:p>
        </w:tc>
        <w:tc>
          <w:tcPr/>
          <w:p>
            <w:pPr>
              <w:pStyle w:val="Compact"/>
              <w:jc w:val="left"/>
            </w:pPr>
            <w:r>
              <w:t xml:space="preserve">体型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泛基因组缺失变异、启动子活性、表达变化、体型关联</w:t>
            </w:r>
          </w:p>
        </w:tc>
        <w:tc>
          <w:tcPr/>
          <w:p>
            <w:pPr>
              <w:pStyle w:val="Compact"/>
              <w:jc w:val="left"/>
            </w:pPr>
            <w:r>
              <w:t xml:space="preserve">内源编辑或等位基因导入；目标商业群体多性状评估</w:t>
            </w:r>
          </w:p>
        </w:tc>
      </w:tr>
      <w:tr>
        <w:tc>
          <w:tcPr/>
          <w:p>
            <w:pPr>
              <w:pStyle w:val="Compact"/>
              <w:jc w:val="left"/>
            </w:pPr>
            <w:r>
              <w:t xml:space="preserve">rs734209466–IGFBP2/IGFBP5</w:t>
            </w:r>
          </w:p>
        </w:tc>
        <w:tc>
          <w:tcPr/>
          <w:p>
            <w:pPr>
              <w:pStyle w:val="Compact"/>
              <w:jc w:val="left"/>
            </w:pPr>
            <w:r>
              <w:t xml:space="preserve">腹脂沉积</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等位基因特异增强子、三维调控、IGFBP2/IGFBP5 表达及脂前体细胞表型</w:t>
            </w:r>
          </w:p>
        </w:tc>
        <w:tc>
          <w:tcPr/>
          <w:p>
            <w:pPr>
              <w:pStyle w:val="Compact"/>
              <w:jc w:val="left"/>
            </w:pPr>
            <w:r>
              <w:t xml:space="preserve">内源编辑、跨群体自然变异验证、目标群体效应</w:t>
            </w:r>
          </w:p>
        </w:tc>
      </w:tr>
      <w:tr>
        <w:tc>
          <w:tcPr/>
          <w:p>
            <w:pPr>
              <w:pStyle w:val="Compact"/>
              <w:jc w:val="left"/>
            </w:pPr>
            <w:r>
              <w:t xml:space="preserve">IMFNCR–PPARG 调控轴</w:t>
            </w:r>
          </w:p>
        </w:tc>
        <w:tc>
          <w:tcPr/>
          <w:p>
            <w:pPr>
              <w:pStyle w:val="Compact"/>
              <w:jc w:val="left"/>
            </w:pPr>
            <w:r>
              <w:t xml:space="preserve">肌内脂肪 / 肉质</w:t>
            </w:r>
          </w:p>
        </w:tc>
        <w:tc>
          <w:tcPr/>
          <w:p>
            <w:pPr>
              <w:pStyle w:val="Compact"/>
              <w:jc w:val="left"/>
            </w:pPr>
            <w:r>
              <w:t xml:space="preserve">gene/network-level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 RNA、脂肪细胞分化和 PPARG 调控关系</w:t>
            </w:r>
          </w:p>
        </w:tc>
        <w:tc>
          <w:tcPr/>
          <w:p>
            <w:pPr>
              <w:pStyle w:val="Compact"/>
              <w:jc w:val="left"/>
            </w:pPr>
            <w:r>
              <w:t xml:space="preserve">明确自然变异、群体关联、体内表型</w:t>
            </w:r>
          </w:p>
        </w:tc>
      </w:tr>
      <w:tr>
        <w:tc>
          <w:tcPr/>
          <w:p>
            <w:pPr>
              <w:pStyle w:val="Compact"/>
              <w:jc w:val="left"/>
            </w:pPr>
            <w:r>
              <w:t xml:space="preserve">CCKAR 区段</w:t>
            </w:r>
          </w:p>
        </w:tc>
        <w:tc>
          <w:tcPr/>
          <w:p>
            <w:pPr>
              <w:pStyle w:val="Compact"/>
              <w:jc w:val="left"/>
            </w:pPr>
            <w:r>
              <w:t xml:space="preserve">采食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精细定位或分歧群体候选信号，可能涉及采食和能量摄入调控</w:t>
            </w:r>
          </w:p>
        </w:tc>
        <w:tc>
          <w:tcPr/>
          <w:p>
            <w:pPr>
              <w:pStyle w:val="Compact"/>
              <w:jc w:val="left"/>
            </w:pPr>
            <w:r>
              <w:t xml:space="preserve">因果变异、内源功能验证、跨商业群体一致性</w:t>
            </w:r>
          </w:p>
        </w:tc>
      </w:tr>
      <w:tr>
        <w:tc>
          <w:tcPr/>
          <w:p>
            <w:pPr>
              <w:pStyle w:val="Compact"/>
              <w:jc w:val="left"/>
            </w:pPr>
            <w:r>
              <w:t xml:space="preserve">MSTN</w:t>
            </w:r>
          </w:p>
        </w:tc>
        <w:tc>
          <w:tcPr/>
          <w:p>
            <w:pPr>
              <w:pStyle w:val="Compact"/>
              <w:jc w:val="left"/>
            </w:pPr>
            <w:r>
              <w:t xml:space="preserve">肌肉发育</w:t>
            </w:r>
          </w:p>
        </w:tc>
        <w:tc>
          <w:tcPr/>
          <w:p>
            <w:pPr>
              <w:pStyle w:val="Compact"/>
              <w:jc w:val="left"/>
            </w:pPr>
            <w:r>
              <w:t xml:space="preserve">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跨物种功能保守性和肌肉发育生物学合理性</w:t>
            </w:r>
          </w:p>
        </w:tc>
        <w:tc>
          <w:tcPr/>
          <w:p>
            <w:pPr>
              <w:pStyle w:val="Compact"/>
              <w:jc w:val="left"/>
            </w:pPr>
            <w:r>
              <w:t xml:space="preserve">家鸡自然群体内强效可育种等位变异证据不足</w:t>
            </w:r>
          </w:p>
        </w:tc>
      </w:tr>
      <w:tr>
        <w:tc>
          <w:tcPr/>
          <w:p>
            <w:pPr>
              <w:pStyle w:val="Compact"/>
              <w:jc w:val="left"/>
            </w:pPr>
            <w:r>
              <w:t xml:space="preserve">IGF1 / IGF1R / GHR / MYOD 家族 / FABP3 / FABP4 / LPL / CAPN1 / CAST 等</w:t>
            </w:r>
          </w:p>
        </w:tc>
        <w:tc>
          <w:tcPr/>
          <w:p>
            <w:pPr>
              <w:pStyle w:val="Compact"/>
              <w:jc w:val="left"/>
            </w:pPr>
            <w:r>
              <w:t xml:space="preserve">生长 / 肌肉 / 脂肪 / 肉质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通路相关、邻近 GWAS 峰、部分表达或机制证据</w:t>
            </w:r>
          </w:p>
        </w:tc>
        <w:tc>
          <w:tcPr/>
          <w:p>
            <w:pPr>
              <w:pStyle w:val="Compact"/>
              <w:jc w:val="left"/>
            </w:pPr>
            <w:r>
              <w:t xml:space="preserve">多数缺明确变异、独立重复或强功能验证</w:t>
            </w:r>
          </w:p>
        </w:tc>
      </w:tr>
      <w:tr>
        <w:tc>
          <w:tcPr/>
          <w:p>
            <w:pPr>
              <w:pStyle w:val="Compact"/>
              <w:jc w:val="left"/>
            </w:pPr>
            <w:r>
              <w:t xml:space="preserve">宿主—肠道微生物特征</w:t>
            </w:r>
          </w:p>
        </w:tc>
        <w:tc>
          <w:tcPr/>
          <w:p>
            <w:pPr>
              <w:pStyle w:val="Compact"/>
              <w:jc w:val="left"/>
            </w:pPr>
            <w:r>
              <w:t xml:space="preserve">饲料效率</w:t>
            </w:r>
          </w:p>
        </w:tc>
        <w:tc>
          <w:tcPr/>
          <w:p>
            <w:pPr>
              <w:pStyle w:val="Compact"/>
              <w:jc w:val="left"/>
            </w:pPr>
            <w:r>
              <w:t xml:space="preserve">中间表型证据</w:t>
            </w:r>
          </w:p>
        </w:tc>
        <w:tc>
          <w:tcPr/>
          <w:p>
            <w:pPr>
              <w:pStyle w:val="Compact"/>
              <w:jc w:val="left"/>
            </w:pPr>
            <w:r>
              <w:t xml:space="preserve">C</w:t>
            </w:r>
          </w:p>
        </w:tc>
        <w:tc>
          <w:tcPr/>
          <w:p>
            <w:pPr>
              <w:pStyle w:val="Compact"/>
              <w:jc w:val="left"/>
            </w:pPr>
            <w:r>
              <w:t xml:space="preserve">T0</w:t>
            </w:r>
          </w:p>
        </w:tc>
        <w:tc>
          <w:tcPr/>
          <w:p>
            <w:pPr>
              <w:pStyle w:val="Compact"/>
              <w:jc w:val="left"/>
            </w:pPr>
            <w:r>
              <w:t xml:space="preserve">微生物组成与饲料效率或采食相关表型关联</w:t>
            </w:r>
          </w:p>
        </w:tc>
        <w:tc>
          <w:tcPr/>
          <w:p>
            <w:pPr>
              <w:pStyle w:val="Compact"/>
              <w:jc w:val="left"/>
            </w:pPr>
            <w:r>
              <w:t xml:space="preserve">因果方向、可重复干预、宿主遗传控制和目标群体验证</w:t>
            </w:r>
          </w:p>
        </w:tc>
      </w:tr>
    </w:tbl>
    <w:p>
      <w:pPr>
        <w:pStyle w:val="BodyText"/>
      </w:pPr>
      <w: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pPr>
      <w:r>
        <w:t xml:space="preserve">4.2 繁殖产蛋与蛋品质</w:t>
      </w:r>
    </w:p>
    <w:p>
      <w:pPr>
        <w:pStyle w:val="FirstParagraph"/>
      </w:pPr>
      <w: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pPr>
      <w:r>
        <w:t xml:space="preserve">从证据等级看，繁殖产蛋方向的大多数候选信号仍处于 B 或 C–B 阶段。PRLR 附近区域、NCAPG-FAM184B 区段以及鸡 Z 染色体（GGAZ）上若干区域在多个产蛋相关 GWAS 或关联研究中反复出现，说明这些区域具有较高验证优先级。对于尚未精细化到具体基因或变异的候选区段，本文采用 region-level 标签，表示证据仍停留在区域层面，尚未达到 gene-level 或 variant-level 解析度。依 3.2 节评级，这类信号更适合定位为</w:t>
      </w:r>
      <w:r>
        <w:t xml:space="preserve"> </w:t>
      </w:r>
      <w:r>
        <w:rPr>
          <w:b/>
          <w:bCs/>
        </w:rPr>
        <w:t xml:space="preserve">region-level B / T0</w:t>
      </w:r>
      <w:r>
        <w:t xml:space="preserve">：其重复性优于单次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w:t>
      </w:r>
    </w:p>
    <w:p>
      <w:pPr>
        <w:pStyle w:val="BodyText"/>
      </w:pPr>
      <w:r>
        <w:t xml:space="preserve">PHIP 非编码变异是产蛋性状中机制证据较强的代表。该类研究尝试将非编码变异、转录因子结合、PHIP 表达变化和卵巢颗粒细胞相关功能联系起来，使候选信号不再停留在“GWAS 峰附近有功能相关基因”的层面。按上述维度判定，PHIP 更适合定位为</w:t>
      </w:r>
      <w:r>
        <w:t xml:space="preserve"> </w:t>
      </w:r>
      <w:r>
        <w:rPr>
          <w:b/>
          <w:bCs/>
        </w:rPr>
        <w:t xml:space="preserve">variant-level B / T0</w:t>
      </w:r>
      <w:r>
        <w:t xml:space="preserve">，尚未达到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pPr>
      <w: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t xml:space="preserve"> </w:t>
      </w:r>
      <w:r>
        <w:rPr>
          <w:b/>
          <w:bCs/>
        </w:rPr>
        <w:t xml:space="preserve">region-level B / T0</w:t>
      </w:r>
      <w:r>
        <w:t xml:space="preserve">：适合继续精细定位和跨群体比较，但不宜在缺少具体变异和功能证据时写成单一因果基因。</w:t>
      </w:r>
    </w:p>
    <w:p>
      <w:pPr>
        <w:pStyle w:val="BodyText"/>
      </w:pPr>
      <w:r>
        <w:t xml:space="preserve">与产蛋数量相比，蛋壳颜色方向已有较接近 A 级的代表性案例。蓝壳性状中，SLCO1B3 5′侧翼区 EAV-HP 插入可导致其在壳腺中特异表达，并与胆绿素沉积和蓝壳形成相联系。该案例能够把具体变异、组织特异性表达和可见表型较清楚地连接起来，因此可定位为</w:t>
      </w:r>
      <w:r>
        <w:t xml:space="preserve"> </w:t>
      </w:r>
      <w:r>
        <w:rPr>
          <w:b/>
          <w:bCs/>
        </w:rPr>
        <w:t xml:space="preserve">variant-level A / T2（壳色管理场景）</w:t>
      </w:r>
      <w:r>
        <w:t xml:space="preserve">。这里的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pPr>
      <w:r>
        <w:t xml:space="preserve">褐壳色可以作为蓝壳的对照。褐壳主要与原卟啉 IX 沉积有关，涉及壳腺色素合成、转运和沉积过程，多项研究讨论了 HRG1、ABCG2 及其他色素代谢或转运相关候选基因。然而，与蓝壳 SLCO1B3 案例相比，褐壳通常呈多基因、连续变异和环境敏感特征，目前缺少一个能够稳定解释主要表型差异的单一 variant-level A 位点。依本文框架，褐壳色相关候选信号更适合定位为</w:t>
      </w:r>
      <w:r>
        <w:t xml:space="preserve"> </w:t>
      </w:r>
      <w:r>
        <w:rPr>
          <w:b/>
          <w:bCs/>
        </w:rPr>
        <w:t xml:space="preserve">gene/region-level C–B / T0–T1</w:t>
      </w:r>
      <w:r>
        <w:t xml:space="preserve">：部分候选基因具有生物学合理性和表达支持，但多数仍缺少明确自然变异、强功能验证和跨群体应用边界评估。</w:t>
      </w:r>
    </w:p>
    <w:p>
      <w:pPr>
        <w:pStyle w:val="BodyText"/>
      </w:pPr>
      <w: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t xml:space="preserve"> </w:t>
      </w:r>
      <w:r>
        <w:rPr>
          <w:b/>
          <w:bCs/>
        </w:rPr>
        <w:t xml:space="preserve">gene-level C–B / T0</w:t>
      </w:r>
      <w: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pPr>
      <w: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t xml:space="preserve"> </w:t>
      </w:r>
      <w:r>
        <w:rPr>
          <w:b/>
          <w:bCs/>
        </w:rPr>
        <w:t xml:space="preserve">gene-level C–B / T0</w:t>
      </w:r>
      <w:r>
        <w:t xml:space="preserve">。</w:t>
      </w:r>
    </w:p>
    <w:p>
      <w:pPr>
        <w:pStyle w:val="BodyText"/>
      </w:pPr>
      <w:r>
        <w:t xml:space="preserve">繁殖内分泌相关基因也属于高生物学合理性、但证据等级容易被夸大的类别。FSHR、LHCGR、ESR1、ESR2、VIP、VIPR1、PRL、PRLR、GDF9、BMP15、STAR、CYP19A1 等基因在卵泡募集、排卵、类固醇合成、催乳素调控、抱窝性或卵巢功能中具有明确生理意义。然而，生理通路重要性并不等于群体中存在可直接利用的强效自然变异。除非具体研究能够提供明确等位变异、跨群体重复、靶组织分子效应和功能验证，否则这类基因更适合被作为</w:t>
      </w:r>
      <w:r>
        <w:t xml:space="preserve"> </w:t>
      </w:r>
      <w:r>
        <w:rPr>
          <w:b/>
          <w:bCs/>
        </w:rPr>
        <w:t xml:space="preserve">gene-level C–B / T0</w:t>
      </w:r>
      <w:r>
        <w:t xml:space="preserve"> </w:t>
      </w:r>
      <w:r>
        <w:t xml:space="preserve">的候选背景，而不是直接作为产蛋性能主效位点。</w:t>
      </w:r>
    </w:p>
    <w:p>
      <w:pPr>
        <w:pStyle w:val="BodyText"/>
      </w:pPr>
      <w: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pPr>
      <w: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pPr>
      <w:r>
        <w:rPr>
          <w:b/>
          <w:bCs/>
        </w:rPr>
        <w:t xml:space="preserve">表 3 繁殖产蛋与蛋品质代表性候选位点的证据成熟度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具体插入变异、壳腺特异表达、胆绿素沉积和蓝壳表型联系清楚</w:t>
            </w:r>
          </w:p>
        </w:tc>
        <w:tc>
          <w:tcPr/>
          <w:p>
            <w:pPr>
              <w:pStyle w:val="Compact"/>
              <w:jc w:val="left"/>
            </w:pPr>
            <w:r>
              <w:t xml:space="preserve">不能外推到产蛋数、蛋壳强度或综合蛋品质</w:t>
            </w:r>
          </w:p>
        </w:tc>
      </w:tr>
      <w:tr>
        <w:tc>
          <w:tcPr/>
          <w:p>
            <w:pPr>
              <w:pStyle w:val="Compact"/>
              <w:jc w:val="left"/>
            </w:pPr>
            <w:r>
              <w:t xml:space="preserve">PHIP 非编码变异</w:t>
            </w:r>
          </w:p>
        </w:tc>
        <w:tc>
          <w:tcPr/>
          <w:p>
            <w:pPr>
              <w:pStyle w:val="Compact"/>
              <w:jc w:val="left"/>
            </w:pPr>
            <w:r>
              <w:t xml:space="preserve">产蛋 / 卵巢功能</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非编码变异、转录因子结合、PHIP 表达和颗粒细胞相关功能线索</w:t>
            </w:r>
          </w:p>
        </w:tc>
        <w:tc>
          <w:tcPr/>
          <w:p>
            <w:pPr>
              <w:pStyle w:val="Compact"/>
              <w:jc w:val="left"/>
            </w:pPr>
            <w:r>
              <w:t xml:space="preserve">等位基因特异互证、内源编辑、体内因果验证、跨群体稳定性不足</w:t>
            </w:r>
          </w:p>
        </w:tc>
      </w:tr>
      <w:tr>
        <w:tc>
          <w:tcPr/>
          <w:p>
            <w:pPr>
              <w:pStyle w:val="Compact"/>
              <w:jc w:val="left"/>
            </w:pPr>
            <w:r>
              <w:t xml:space="preserve">PRLR 附近区域</w:t>
            </w:r>
          </w:p>
        </w:tc>
        <w:tc>
          <w:tcPr/>
          <w:p>
            <w:pPr>
              <w:pStyle w:val="Compact"/>
              <w:jc w:val="left"/>
            </w:pPr>
            <w:r>
              <w:t xml:space="preserve">产蛋 / 抱窝性 / 生殖调控</w:t>
            </w:r>
          </w:p>
        </w:tc>
        <w:tc>
          <w:tcPr/>
          <w:p>
            <w:pPr>
              <w:pStyle w:val="Compact"/>
              <w:jc w:val="left"/>
            </w:pPr>
            <w:r>
              <w:t xml:space="preserve">region/gene-level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生殖内分泌功能明确，部分产蛋相关研究重复出现</w:t>
            </w:r>
          </w:p>
        </w:tc>
        <w:tc>
          <w:tcPr/>
          <w:p>
            <w:pPr>
              <w:pStyle w:val="Compact"/>
              <w:jc w:val="left"/>
            </w:pPr>
            <w:r>
              <w:t xml:space="preserve">与 PRLR/SPEF2 结构变异背景的关系、具体因果变异、阶段特异作用和功能验证不足</w:t>
            </w:r>
          </w:p>
        </w:tc>
      </w:tr>
      <w:tr>
        <w:tc>
          <w:tcPr/>
          <w:p>
            <w:pPr>
              <w:pStyle w:val="Compact"/>
              <w:jc w:val="left"/>
            </w:pPr>
            <w:r>
              <w:t xml:space="preserve">NCAPG-FAM184B 区段</w:t>
            </w:r>
          </w:p>
        </w:tc>
        <w:tc>
          <w:tcPr/>
          <w:p>
            <w:pPr>
              <w:pStyle w:val="Compact"/>
              <w:jc w:val="left"/>
            </w:pPr>
            <w:r>
              <w:t xml:space="preserve">产蛋相关性状</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多个产蛋相关 GWAS 或关联研究中出现</w:t>
            </w:r>
          </w:p>
        </w:tc>
        <w:tc>
          <w:tcPr/>
          <w:p>
            <w:pPr>
              <w:pStyle w:val="Compact"/>
              <w:jc w:val="left"/>
            </w:pPr>
            <w:r>
              <w:t xml:space="preserve">因果变异、靶组织机制和目标群体效应不明确</w:t>
            </w:r>
          </w:p>
        </w:tc>
      </w:tr>
      <w:tr>
        <w:tc>
          <w:tcPr/>
          <w:p>
            <w:pPr>
              <w:pStyle w:val="Compact"/>
              <w:jc w:val="left"/>
            </w:pPr>
            <w:r>
              <w:t xml:space="preserve">GGAZ 产蛋相关区域</w:t>
            </w:r>
          </w:p>
        </w:tc>
        <w:tc>
          <w:tcPr/>
          <w:p>
            <w:pPr>
              <w:pStyle w:val="Compact"/>
              <w:jc w:val="left"/>
            </w:pPr>
            <w:r>
              <w:t xml:space="preserve">产蛋节律 / 性成熟 / 繁殖性能</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Z 染色体上重复出现的产蛋相关信号</w:t>
            </w:r>
          </w:p>
        </w:tc>
        <w:tc>
          <w:tcPr/>
          <w:p>
            <w:pPr>
              <w:pStyle w:val="Compact"/>
              <w:jc w:val="left"/>
            </w:pPr>
            <w:r>
              <w:t xml:space="preserve">连锁结构、剂量效应、具体变异和功能验证不足</w:t>
            </w:r>
          </w:p>
        </w:tc>
      </w:tr>
      <w:tr>
        <w:tc>
          <w:tcPr/>
          <w:p>
            <w:pPr>
              <w:pStyle w:val="Compact"/>
              <w:jc w:val="left"/>
            </w:pPr>
            <w:r>
              <w:t xml:space="preserve">褐壳色相关候选信号</w:t>
            </w:r>
          </w:p>
        </w:tc>
        <w:tc>
          <w:tcPr/>
          <w:p>
            <w:pPr>
              <w:pStyle w:val="Compact"/>
              <w:jc w:val="left"/>
            </w:pPr>
            <w:r>
              <w:t xml:space="preserve">褐壳 / 原卟啉 IX 沉积</w:t>
            </w:r>
          </w:p>
        </w:tc>
        <w:tc>
          <w:tcPr/>
          <w:p>
            <w:pPr>
              <w:pStyle w:val="Compact"/>
              <w:jc w:val="left"/>
            </w:pPr>
            <w:r>
              <w:t xml:space="preserve">gene/region-level</w:t>
            </w:r>
          </w:p>
        </w:tc>
        <w:tc>
          <w:tcPr/>
          <w:p>
            <w:pPr>
              <w:pStyle w:val="Compact"/>
              <w:jc w:val="left"/>
            </w:pPr>
            <w:r>
              <w:t xml:space="preserve">C–B</w:t>
            </w:r>
          </w:p>
        </w:tc>
        <w:tc>
          <w:tcPr/>
          <w:p>
            <w:pPr>
              <w:pStyle w:val="Compact"/>
              <w:jc w:val="left"/>
            </w:pPr>
            <w:r>
              <w:t xml:space="preserve">T0–T1</w:t>
            </w:r>
          </w:p>
        </w:tc>
        <w:tc>
          <w:tcPr/>
          <w:p>
            <w:pPr>
              <w:pStyle w:val="Compact"/>
              <w:jc w:val="left"/>
            </w:pPr>
            <w:r>
              <w:t xml:space="preserve">色素合成、转运和壳腺表达相关候选基因</w:t>
            </w:r>
          </w:p>
        </w:tc>
        <w:tc>
          <w:tcPr/>
          <w:p>
            <w:pPr>
              <w:pStyle w:val="Compact"/>
              <w:jc w:val="left"/>
            </w:pPr>
            <w:r>
              <w:t xml:space="preserve">缺少稳定单一主效变异、强功能验证和跨群体应用边界</w:t>
            </w:r>
          </w:p>
        </w:tc>
      </w:tr>
      <w:tr>
        <w:tc>
          <w:tcPr/>
          <w:p>
            <w:pPr>
              <w:pStyle w:val="Compact"/>
              <w:jc w:val="left"/>
            </w:pPr>
            <w:r>
              <w:t xml:space="preserve">SPP1 / OC-17 / OC-116 / CALB1 / CA2 等</w:t>
            </w:r>
          </w:p>
        </w:tc>
        <w:tc>
          <w:tcPr/>
          <w:p>
            <w:pPr>
              <w:pStyle w:val="Compact"/>
              <w:jc w:val="left"/>
            </w:pPr>
            <w:r>
              <w:t xml:space="preserve">蛋壳强度 / 钙化</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壳腺表达、矿化和钙代谢生物学合理性，部分关联或表达证据</w:t>
            </w:r>
          </w:p>
        </w:tc>
        <w:tc>
          <w:tcPr/>
          <w:p>
            <w:pPr>
              <w:pStyle w:val="Compact"/>
              <w:jc w:val="left"/>
            </w:pPr>
            <w:r>
              <w:t xml:space="preserve">多数缺明确自然变异和强功能验证</w:t>
            </w:r>
          </w:p>
        </w:tc>
      </w:tr>
      <w:tr>
        <w:tc>
          <w:tcPr/>
          <w:p>
            <w:pPr>
              <w:pStyle w:val="Compact"/>
              <w:jc w:val="left"/>
            </w:pPr>
            <w:r>
              <w:t xml:space="preserve">OVAL / OVM / LYZ / TF 等</w:t>
            </w:r>
          </w:p>
        </w:tc>
        <w:tc>
          <w:tcPr/>
          <w:p>
            <w:pPr>
              <w:pStyle w:val="Compact"/>
              <w:jc w:val="left"/>
            </w:pPr>
            <w:r>
              <w:t xml:space="preserve">蛋白品质 / 内部蛋品质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蛋白组成、抗菌功能和内部品质相关生物学背景</w:t>
            </w:r>
          </w:p>
        </w:tc>
        <w:tc>
          <w:tcPr/>
          <w:p>
            <w:pPr>
              <w:pStyle w:val="Compact"/>
              <w:jc w:val="left"/>
            </w:pPr>
            <w:r>
              <w:t xml:space="preserve">表型受周龄、储藏和环境影响大；缺等位变异和体内因果验证</w:t>
            </w:r>
          </w:p>
        </w:tc>
      </w:tr>
      <w:tr>
        <w:tc>
          <w:tcPr/>
          <w:p>
            <w:pPr>
              <w:pStyle w:val="Compact"/>
              <w:jc w:val="left"/>
            </w:pPr>
            <w:r>
              <w:t xml:space="preserve">繁殖内分泌相关基因</w:t>
            </w:r>
          </w:p>
        </w:tc>
        <w:tc>
          <w:tcPr/>
          <w:p>
            <w:pPr>
              <w:pStyle w:val="Compact"/>
              <w:jc w:val="left"/>
            </w:pPr>
            <w:r>
              <w:t xml:space="preserve">卵泡发育 / 排卵 / 内分泌调控</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FSHR、LHCGR、ESR1/2、VIP/VIPR1、GDF9、BMP15、CYP19A1 等具有明确生理意义</w:t>
            </w:r>
          </w:p>
        </w:tc>
        <w:tc>
          <w:tcPr/>
          <w:p>
            <w:pPr>
              <w:pStyle w:val="Compact"/>
              <w:jc w:val="left"/>
            </w:pPr>
            <w:r>
              <w:t xml:space="preserve">群体内强效自然变异、跨群体重复和功能验证不足</w:t>
            </w:r>
          </w:p>
        </w:tc>
      </w:tr>
    </w:tbl>
    <w:p>
      <w:pPr>
        <w:pStyle w:val="BodyText"/>
      </w:pPr>
      <w:r>
        <w:t xml:space="preserve">注：</w:t>
      </w:r>
      <w:r>
        <w:t xml:space="preserve">“</w:t>
      </w:r>
      <w:r>
        <w:t xml:space="preserve">T2（壳色管理场景）</w:t>
      </w:r>
      <w:r>
        <w:t xml:space="preserve">”</w:t>
      </w:r>
      <w:r>
        <w:t xml:space="preserve">仅指蓝壳识别、品种特征管理或蓝壳商品分级；不可外推到产蛋数量、蛋壳强度或综合蛋品质。</w:t>
      </w:r>
    </w:p>
    <w:p>
      <w:pPr>
        <w:pStyle w:val="BodyText"/>
      </w:pPr>
      <w: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pPr>
      <w:r>
        <w:t xml:space="preserve">4.3 抗病与免疫性状</w:t>
      </w:r>
    </w:p>
    <w:p>
      <w:pPr>
        <w:pStyle w:val="FirstParagraph"/>
      </w:pPr>
      <w:r>
        <w:t xml:space="preserve">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 resistance，即降低病原复制或定植；有的更接近 tolerance，即在感染存在时维持健康和生产性能。因此，抗病候选位点的证据等级必须绑定具体病原、具体表型和具体感染模型，不能泛化为“抗病基因”。</w:t>
      </w:r>
    </w:p>
    <w:p>
      <w:pPr>
        <w:pStyle w:val="BodyText"/>
      </w:pPr>
      <w:r>
        <w:t xml:space="preserve">MHC-B 区域是家鸡抗病遗传研究中最经典、证据积累最多的免疫相关区域之一。不同 MHC-B 单倍型与马立克氏病、抗体反应、疫苗应答和多种免疫性状之间的关系已被长期讨论。对于具有强连锁、多基因构成，且单倍型层面证据强于单一变异层面的免疫复合区域，本文采用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pPr>
      <w:r>
        <w:t xml:space="preserve">因此，MHC-B 在本文框架下更适合定位为</w:t>
      </w:r>
      <w:r>
        <w:t xml:space="preserve"> </w:t>
      </w:r>
      <w:r>
        <w:rPr>
          <w:b/>
          <w:bCs/>
        </w:rPr>
        <w:t xml:space="preserve">haplotype/region-level B+ / T1（限特定疾病和目标群体）</w:t>
      </w:r>
      <w: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pPr>
      <w: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pPr>
      <w:r>
        <w:t xml:space="preserve">禽流感宿主因子研究中，ANP32A 是当前功能证据最强的代表之一。编辑 ANP32A 可影响禽流感病毒聚合酶适配和复制，为理解宿主限制因子与病毒复制之间的关系提供了强功能证据。按本文框架，ANP32A 是非对称证据的典型代表：其</w:t>
      </w:r>
      <w:r>
        <w:t xml:space="preserve"> </w:t>
      </w:r>
      <w:r>
        <w:rPr>
          <w:b/>
          <w:bCs/>
        </w:rPr>
        <w:t xml:space="preserve">gene/target-level 可达到 A / T0–T1（高转化风险）</w:t>
      </w:r>
      <w:r>
        <w:t xml:space="preserve">，但其自然群体中的</w:t>
      </w:r>
      <w:r>
        <w:t xml:space="preserve"> </w:t>
      </w:r>
      <w:r>
        <w:rPr>
          <w:b/>
          <w:bCs/>
        </w:rPr>
        <w:t xml:space="preserve">variant-level 证据目前更适合定位为 B–C / T0</w:t>
      </w:r>
      <w:r>
        <w:t xml:space="preserve">。前者来自编辑或强扰动实验，确立了靶点在病毒复制中的功能作用；后者反映自然群体中尚缺少足以支持直接选择育种的可育种保护性等位变异。这两条评级不应合并为单一最高等级，这正是第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pPr>
      <w: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t xml:space="preserve">“</w:t>
      </w:r>
      <w:r>
        <w:t xml:space="preserve">高转化风险</w:t>
      </w:r>
      <w:r>
        <w:t xml:space="preserve">”</w:t>
      </w:r>
      <w:r>
        <w:t xml:space="preserve">并不是否定 ANP32A 的靶点价值，而是提示即使其功能证据强，T 轴评估仍需要比普通生产性状更严格的约束条件。</w:t>
      </w:r>
    </w:p>
    <w:p>
      <w:pPr>
        <w:pStyle w:val="BodyText"/>
      </w:pPr>
      <w:r>
        <w:t xml:space="preserve">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相关变异和编辑研究为 ALV-J 易感性提供了重要机制线索；TVB 相关受体位点也长期用于解释不同 ALV 亚群的宿主易感差异。与 ANP32A 相比，这类受体位点有时同时具有靶点功能证据和一定自然变异证据。按本文框架，TVB/NHE1 受体相关证据可作为</w:t>
      </w:r>
      <w:r>
        <w:t xml:space="preserve"> </w:t>
      </w:r>
      <w:r>
        <w:rPr>
          <w:b/>
          <w:bCs/>
        </w:rPr>
        <w:t xml:space="preserve">gene/target-level A 或 B+ / T0–T1</w:t>
      </w:r>
      <w:r>
        <w:t xml:space="preserve"> </w:t>
      </w:r>
      <w:r>
        <w:t xml:space="preserve">的候选，同时其</w:t>
      </w:r>
      <w:r>
        <w:t xml:space="preserve"> </w:t>
      </w:r>
      <w:r>
        <w:rPr>
          <w:b/>
          <w:bCs/>
        </w:rPr>
        <w:t xml:space="preserve">variant-level 证据可暂定为 B–B+ / T0</w:t>
      </w:r>
      <w:r>
        <w:t xml:space="preserve">，具体等级取决于自然变异是否明确、是否具有跨群体稳定效应以及是否完成体内感染验证。该类案例说明，当抗病靶点同时存在可育种自然变异时，gene/target-level 与 variant-level 之间的非对称程度可能小于 ANP32A 这类宿主限制因子。</w:t>
      </w:r>
    </w:p>
    <w:p>
      <w:pPr>
        <w:pStyle w:val="BodyText"/>
      </w:pPr>
      <w:r>
        <w:t xml:space="preserve">除 MHC-B、ANP32A 和受体型抗病位点外，家鸡抗病研究中还经常出现 TLR4、TLR7、TLR15、IFITM3、MX1、OASL、SLC11A1、IL6、IL10、IFNG 等免疫相关基因。这些基因在先天免疫、干扰素通路、炎症反应、巨噬细胞功能、病毒限制或细菌清除中具有明确生物学意义。按 C/B/B+/A 标准，这类基因多数应定位为</w:t>
      </w:r>
      <w:r>
        <w:t xml:space="preserve"> </w:t>
      </w:r>
      <w:r>
        <w:rPr>
          <w:b/>
          <w:bCs/>
        </w:rPr>
        <w:t xml:space="preserve">gene-level C–B / T0</w:t>
      </w:r>
      <w:r>
        <w:t xml:space="preserve">：如果证据主要来自候选基因关联、差异表达或感染后表达变化，应判定为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pPr>
      <w:r>
        <w:t xml:space="preserve">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和转录组研究报道了与病毒载量、肿瘤发生、免疫反应或存活相关的候选区域和候选基因。这些研究对理解病理机制有价值，但多数信号仍应定位为</w:t>
      </w:r>
      <w:r>
        <w:t xml:space="preserve"> </w:t>
      </w:r>
      <w:r>
        <w:rPr>
          <w:b/>
          <w:bCs/>
        </w:rPr>
        <w:t xml:space="preserve">region/gene-level C–B / T0</w:t>
      </w:r>
      <w:r>
        <w:t xml:space="preserve">。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pPr>
      <w:r>
        <w:t xml:space="preserve">沙门氏菌抗性也是类似情形。SLC11A1、TLR4、LYZ、IL 家族和其他巨噬细胞或黏膜免疫相关基因常被作为候选基因讨论。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w:t>
      </w:r>
      <w:r>
        <w:t xml:space="preserve"> </w:t>
      </w:r>
      <w:r>
        <w:rPr>
          <w:b/>
          <w:bCs/>
        </w:rPr>
        <w:t xml:space="preserve">gene-level C–B / T0</w:t>
      </w:r>
      <w:r>
        <w:t xml:space="preserve">。它们适合作为机制研究和目标群体风险评估的候选对象，但在缺少稳定等位基因效应和干预验证前，不应作为直接选择标记。</w:t>
      </w:r>
    </w:p>
    <w:p>
      <w:pPr>
        <w:pStyle w:val="BodyText"/>
      </w:pPr>
      <w:r>
        <w:t xml:space="preserve">球虫病抗性研究同样需要区分免疫反应指标和真正的抗病育种价值。球虫感染后的病变评分、增重损失、卵囊排出量、肠道屏障功能、炎症因子表达和免疫细胞浸润，代表不同层面的表型。部分候选基因或 QTL 可能影响某一终点，但未必能同时改善生产性能和健康状态。与球虫相关的细胞因子、TLR 通路、黏膜免疫和肠道屏障候选基因，多数目前仍应定位为</w:t>
      </w:r>
      <w:r>
        <w:t xml:space="preserve"> </w:t>
      </w:r>
      <w:r>
        <w:rPr>
          <w:b/>
          <w:bCs/>
        </w:rPr>
        <w:t xml:space="preserve">gene/region-level C–B / T0</w:t>
      </w:r>
      <w:r>
        <w:t xml:space="preserve">。若仅有感染后差异表达或通路富集，应作为免疫反应线索处理；若具有跨群体 QTL、细胞功能验证或稳定挑战试验支持，可作为 B 级验证对象。</w:t>
      </w:r>
    </w:p>
    <w:p>
      <w:pPr>
        <w:pStyle w:val="BodyText"/>
      </w:pPr>
      <w: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pPr>
      <w: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pPr>
      <w:r>
        <w:rPr>
          <w:b/>
          <w:bCs/>
        </w:rPr>
        <w:t xml:space="preserve">表 4 抗病与免疫性状代表性候选位点的证据成熟度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ANP32A</w:t>
            </w:r>
          </w:p>
        </w:tc>
        <w:tc>
          <w:tcPr/>
          <w:p>
            <w:pPr>
              <w:pStyle w:val="Compact"/>
              <w:jc w:val="left"/>
            </w:pPr>
            <w:r>
              <w:t xml:space="preserve">禽流感病毒复制 / 宿主因子</w:t>
            </w:r>
          </w:p>
        </w:tc>
        <w:tc>
          <w:tcPr/>
          <w:p>
            <w:pPr>
              <w:pStyle w:val="Compact"/>
              <w:jc w:val="left"/>
            </w:pPr>
            <w:r>
              <w:t xml:space="preserve">gene/target-level + variant-level</w:t>
            </w:r>
          </w:p>
        </w:tc>
        <w:tc>
          <w:tcPr/>
          <w:p>
            <w:pPr>
              <w:pStyle w:val="Compact"/>
              <w:jc w:val="left"/>
            </w:pPr>
            <w:r>
              <w:t xml:space="preserve">A（gene/target）+ B–C（variant）</w:t>
            </w:r>
          </w:p>
        </w:tc>
        <w:tc>
          <w:tcPr/>
          <w:p>
            <w:pPr>
              <w:pStyle w:val="Compact"/>
              <w:jc w:val="left"/>
            </w:pPr>
            <w:r>
              <w:t xml:space="preserve">T0–T1（高转化风险）</w:t>
            </w:r>
          </w:p>
        </w:tc>
        <w:tc>
          <w:tcPr/>
          <w:p>
            <w:pPr>
              <w:pStyle w:val="Compact"/>
              <w:jc w:val="left"/>
            </w:pPr>
            <w:r>
              <w:t xml:space="preserve">编辑或强扰动证明宿主因子影响病毒复制和感染结局</w:t>
            </w:r>
          </w:p>
        </w:tc>
        <w:tc>
          <w:tcPr/>
          <w:p>
            <w:pPr>
              <w:pStyle w:val="Compact"/>
              <w:jc w:val="left"/>
            </w:pPr>
            <w:r>
              <w:t xml:space="preserve">自然可育种等位变异、病原逃逸、ANP32 家族补偿、多性状影响、监管和福利评估</w:t>
            </w:r>
          </w:p>
        </w:tc>
      </w:tr>
      <w:tr>
        <w:tc>
          <w:tcPr/>
          <w:p>
            <w:pPr>
              <w:pStyle w:val="Compact"/>
              <w:jc w:val="left"/>
            </w:pPr>
            <w:r>
              <w:t xml:space="preserve">TVB/NHE1 受体相关位点</w:t>
            </w:r>
          </w:p>
        </w:tc>
        <w:tc>
          <w:tcPr/>
          <w:p>
            <w:pPr>
              <w:pStyle w:val="Compact"/>
              <w:jc w:val="left"/>
            </w:pPr>
            <w:r>
              <w:t xml:space="preserve">ALV 易感性 / 病毒入侵受体</w:t>
            </w:r>
          </w:p>
        </w:tc>
        <w:tc>
          <w:tcPr/>
          <w:p>
            <w:pPr>
              <w:pStyle w:val="Compact"/>
              <w:jc w:val="left"/>
            </w:pPr>
            <w:r>
              <w:t xml:space="preserve">gene/target-level + variant-level</w:t>
            </w:r>
          </w:p>
        </w:tc>
        <w:tc>
          <w:tcPr/>
          <w:p>
            <w:pPr>
              <w:pStyle w:val="Compact"/>
              <w:jc w:val="left"/>
            </w:pPr>
            <w:r>
              <w:t xml:space="preserve">A 或 B+（gene/target）+ B–B+（variant）</w:t>
            </w:r>
          </w:p>
        </w:tc>
        <w:tc>
          <w:tcPr/>
          <w:p>
            <w:pPr>
              <w:pStyle w:val="Compact"/>
              <w:jc w:val="left"/>
            </w:pPr>
            <w:r>
              <w:t xml:space="preserve">T0–T1</w:t>
            </w:r>
          </w:p>
        </w:tc>
        <w:tc>
          <w:tcPr/>
          <w:p>
            <w:pPr>
              <w:pStyle w:val="Compact"/>
              <w:jc w:val="left"/>
            </w:pPr>
            <w:r>
              <w:t xml:space="preserve">病毒受体机制、编辑或自然变异影响易感性的证据</w:t>
            </w:r>
          </w:p>
        </w:tc>
        <w:tc>
          <w:tcPr/>
          <w:p>
            <w:pPr>
              <w:pStyle w:val="Compact"/>
              <w:jc w:val="left"/>
            </w:pPr>
            <w:r>
              <w:t xml:space="preserve">跨群体自然变异效应、病毒亚群特异性、体内感染验证和产业边界</w:t>
            </w:r>
          </w:p>
        </w:tc>
      </w:tr>
      <w:tr>
        <w:tc>
          <w:tcPr/>
          <w:p>
            <w:pPr>
              <w:pStyle w:val="Compact"/>
              <w:jc w:val="left"/>
            </w:pPr>
            <w:r>
              <w:t xml:space="preserve">MHC-B 单倍型</w:t>
            </w:r>
          </w:p>
        </w:tc>
        <w:tc>
          <w:tcPr/>
          <w:p>
            <w:pPr>
              <w:pStyle w:val="Compact"/>
              <w:jc w:val="left"/>
            </w:pPr>
            <w:r>
              <w:t xml:space="preserve">马立克氏病 / 免疫应答 / 疫苗反应</w:t>
            </w:r>
          </w:p>
        </w:tc>
        <w:tc>
          <w:tcPr/>
          <w:p>
            <w:pPr>
              <w:pStyle w:val="Compact"/>
              <w:jc w:val="left"/>
            </w:pPr>
            <w:r>
              <w:t xml:space="preserve">haplotype/region-level</w:t>
            </w:r>
          </w:p>
        </w:tc>
        <w:tc>
          <w:tcPr/>
          <w:p>
            <w:pPr>
              <w:pStyle w:val="Compact"/>
              <w:jc w:val="left"/>
            </w:pPr>
            <w:r>
              <w:t xml:space="preserve">B+</w:t>
            </w:r>
          </w:p>
        </w:tc>
        <w:tc>
          <w:tcPr/>
          <w:p>
            <w:pPr>
              <w:pStyle w:val="Compact"/>
              <w:jc w:val="left"/>
            </w:pPr>
            <w:r>
              <w:t xml:space="preserve">T1（限特定疾病和群体）</w:t>
            </w:r>
          </w:p>
        </w:tc>
        <w:tc>
          <w:tcPr/>
          <w:p>
            <w:pPr>
              <w:pStyle w:val="Compact"/>
              <w:jc w:val="left"/>
            </w:pPr>
            <w:r>
              <w:t xml:space="preserve">免疫功能明确，跨研究和特定病原背景下重复较多</w:t>
            </w:r>
          </w:p>
        </w:tc>
        <w:tc>
          <w:tcPr/>
          <w:p>
            <w:pPr>
              <w:pStyle w:val="Compact"/>
              <w:jc w:val="left"/>
            </w:pPr>
            <w:r>
              <w:t xml:space="preserve">单一因果变异难以解析；单倍型效应具有病原、疫苗和遗传背景依赖性</w:t>
            </w:r>
          </w:p>
        </w:tc>
      </w:tr>
      <w:tr>
        <w:tc>
          <w:tcPr/>
          <w:p>
            <w:pPr>
              <w:pStyle w:val="Compact"/>
              <w:jc w:val="left"/>
            </w:pPr>
            <w:r>
              <w:t xml:space="preserve">马立克氏病非 MHC QTL/GWAS 区域</w:t>
            </w:r>
          </w:p>
        </w:tc>
        <w:tc>
          <w:tcPr/>
          <w:p>
            <w:pPr>
              <w:pStyle w:val="Compact"/>
              <w:jc w:val="left"/>
            </w:pPr>
            <w:r>
              <w:t xml:space="preserve">马立克氏病抗性 / 病毒载量 / 肿瘤发生</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挑战实验、QTL/GWAS、转录组或免疫反应候选信号</w:t>
            </w:r>
          </w:p>
        </w:tc>
        <w:tc>
          <w:tcPr/>
          <w:p>
            <w:pPr>
              <w:pStyle w:val="Compact"/>
              <w:jc w:val="left"/>
            </w:pPr>
            <w:r>
              <w:t xml:space="preserve">病毒株、感染剂量、评价终点和遗传背景差异大；因果变异和功能验证不足</w:t>
            </w:r>
          </w:p>
        </w:tc>
      </w:tr>
      <w:tr>
        <w:tc>
          <w:tcPr/>
          <w:p>
            <w:pPr>
              <w:pStyle w:val="Compact"/>
              <w:jc w:val="left"/>
            </w:pPr>
            <w:r>
              <w:t xml:space="preserve">TLR4 / TLR7 / TLR15 等</w:t>
            </w:r>
          </w:p>
        </w:tc>
        <w:tc>
          <w:tcPr/>
          <w:p>
            <w:pPr>
              <w:pStyle w:val="Compact"/>
              <w:jc w:val="left"/>
            </w:pPr>
            <w:r>
              <w:t xml:space="preserve">先天免疫 / 病原识别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病原识别和炎症反应通路生物学合理性，部分关联或表达证据</w:t>
            </w:r>
          </w:p>
        </w:tc>
        <w:tc>
          <w:tcPr/>
          <w:p>
            <w:pPr>
              <w:pStyle w:val="Compact"/>
              <w:jc w:val="left"/>
            </w:pPr>
            <w:r>
              <w:t xml:space="preserve">明确自然变异、等位基因效应和体内抗病验证不足</w:t>
            </w:r>
          </w:p>
        </w:tc>
      </w:tr>
      <w:tr>
        <w:tc>
          <w:tcPr/>
          <w:p>
            <w:pPr>
              <w:pStyle w:val="Compact"/>
              <w:jc w:val="left"/>
            </w:pPr>
            <w:r>
              <w:t xml:space="preserve">IFITM3 / MX1 / OASL 等</w:t>
            </w:r>
          </w:p>
        </w:tc>
        <w:tc>
          <w:tcPr/>
          <w:p>
            <w:pPr>
              <w:pStyle w:val="Compact"/>
              <w:jc w:val="left"/>
            </w:pPr>
            <w:r>
              <w:t xml:space="preserve">抗病毒限制因子 / 干扰素通路</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抗病毒通路功能明确，部分感染模型或表达证据支持</w:t>
            </w:r>
          </w:p>
        </w:tc>
        <w:tc>
          <w:tcPr/>
          <w:p>
            <w:pPr>
              <w:pStyle w:val="Compact"/>
              <w:jc w:val="left"/>
            </w:pPr>
            <w:r>
              <w:t xml:space="preserve">群体内可育种变异、稳定抗病效应和多性状影响不清楚</w:t>
            </w:r>
          </w:p>
        </w:tc>
      </w:tr>
      <w:tr>
        <w:tc>
          <w:tcPr/>
          <w:p>
            <w:pPr>
              <w:pStyle w:val="Compact"/>
              <w:jc w:val="left"/>
            </w:pPr>
            <w:r>
              <w:t xml:space="preserve">SLC11A1 / LYZ / IL 家族等</w:t>
            </w:r>
          </w:p>
        </w:tc>
        <w:tc>
          <w:tcPr/>
          <w:p>
            <w:pPr>
              <w:pStyle w:val="Compact"/>
              <w:jc w:val="left"/>
            </w:pPr>
            <w:r>
              <w:t xml:space="preserve">沙门氏菌抗性 / 巨噬细胞与黏膜免疫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细菌清除、炎症反应或黏膜免疫相关机制支持</w:t>
            </w:r>
          </w:p>
        </w:tc>
        <w:tc>
          <w:tcPr/>
          <w:p>
            <w:pPr>
              <w:pStyle w:val="Compact"/>
              <w:jc w:val="left"/>
            </w:pPr>
            <w:r>
              <w:t xml:space="preserve">感染模型差异大；缺少稳定等位基因效应和目标群体验证</w:t>
            </w:r>
          </w:p>
        </w:tc>
      </w:tr>
      <w:tr>
        <w:tc>
          <w:tcPr/>
          <w:p>
            <w:pPr>
              <w:pStyle w:val="Compact"/>
              <w:jc w:val="left"/>
            </w:pPr>
            <w:r>
              <w:t xml:space="preserve">球虫病相关 QTL / 细胞因子 / 肠道屏障候选基因</w:t>
            </w:r>
          </w:p>
        </w:tc>
        <w:tc>
          <w:tcPr/>
          <w:p>
            <w:pPr>
              <w:pStyle w:val="Compact"/>
              <w:jc w:val="left"/>
            </w:pPr>
            <w:r>
              <w:t xml:space="preserve">球虫病抗性 / 肠道病变 / 卵囊排出</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病变评分、免疫反应、肠道屏障或 QTL/GWAS 候选信号</w:t>
            </w:r>
          </w:p>
        </w:tc>
        <w:tc>
          <w:tcPr/>
          <w:p>
            <w:pPr>
              <w:pStyle w:val="Compact"/>
              <w:jc w:val="left"/>
            </w:pPr>
            <w:r>
              <w:t xml:space="preserve">表型终点异质性强；缺少明确变异、功能验证和生产性能综合评估</w:t>
            </w:r>
          </w:p>
        </w:tc>
      </w:tr>
    </w:tbl>
    <w:p>
      <w:pPr>
        <w:pStyle w:val="BodyText"/>
      </w:pPr>
      <w:r>
        <w:t xml:space="preserve">注：</w:t>
      </w:r>
      <w:r>
        <w:t xml:space="preserve">“</w:t>
      </w:r>
      <w:r>
        <w:t xml:space="preserve">高转化风险</w:t>
      </w:r>
      <w:r>
        <w:t xml:space="preserve">”</w:t>
      </w:r>
      <w:r>
        <w:t xml:space="preserve">指即使靶点功能证据强，进入产业育种仍受病原逃逸、功能补偿、多性状影响、动物福利、监管路径和消费者接受度等多重限制；这一标签提示该位点的 T 轴评估需要额外约束维度。</w:t>
      </w:r>
    </w:p>
    <w:p>
      <w:pPr>
        <w:pStyle w:val="BodyText"/>
      </w:pPr>
      <w: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pPr>
      <w:r>
        <w:t xml:space="preserve">4.4 特色表型与地方适应</w:t>
      </w:r>
    </w:p>
    <w:p>
      <w:pPr>
        <w:pStyle w:val="FirstParagraph"/>
      </w:pPr>
      <w: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pPr>
      <w: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pPr>
      <w:r>
        <w:t xml:space="preserve">黄肤是较早形成清晰证据链的经典案例之一。该性状与 BCDO2 在皮肤中的组织特异性调控变异有关，影响类胡萝卜素代谢和皮肤色素沉积。与普通“色素通路候选基因”不同，黄肤案例能够较好地连接候选变异、组织特异表达、代谢功能和可见表型。按本文框架，BCDO2 黄肤位点可定位为</w:t>
      </w:r>
      <w:r>
        <w:t xml:space="preserve"> </w:t>
      </w:r>
      <w:r>
        <w:rPr>
          <w:b/>
          <w:bCs/>
        </w:rPr>
        <w:t xml:space="preserve">variant-level A / T2（肤色管理场景）</w:t>
      </w:r>
      <w:r>
        <w:t xml:space="preserve">。这里的 T2 仅限于肤色识别、品种特征管理和相关商品性状分级，不能外推为生长性能、肉品质或地方适应能力的综合标记。</w:t>
      </w:r>
    </w:p>
    <w:p>
      <w:pPr>
        <w:pStyle w:val="BodyText"/>
      </w:pPr>
      <w:r>
        <w:t xml:space="preserve">纤维黑变是另一个典型的强证据可见表型。该表型与 EDN3 相关复杂结构变异和异常表达有关，能够解释皮肤、肌肉、骨膜和结缔组织等多组织黑色素沉积。EDN3 案例的意义在于，它不仅是一个色素候选基因，更将结构变异、基因表达改变和多组织黑色素沉积表型联系起来。依 3.2 节评级，EDN3 纤维黑变可定位为</w:t>
      </w:r>
      <w:r>
        <w:t xml:space="preserve"> </w:t>
      </w:r>
      <w:r>
        <w:rPr>
          <w:b/>
          <w:bCs/>
        </w:rPr>
        <w:t xml:space="preserve">variant-level A / T2（纤维黑变和乌骨性状管理场景）</w:t>
      </w:r>
      <w:r>
        <w:t xml:space="preserve">。不过，这一评级同样不能泛化：EDN3 可以作为乌骨或纤维黑变相关品种特征管理的强证据位点，但不能自动说明其对肉质、药用价值、抗病性或适应性的影响。</w:t>
      </w:r>
    </w:p>
    <w:p>
      <w:pPr>
        <w:pStyle w:val="BodyText"/>
      </w:pPr>
      <w:r>
        <w:t xml:space="preserve">冠型性状同样提供了可见表型强证据案例。豌豆冠与 SOX5 第 1 内含子中的重复序列扩增有关，说明非编码结构变异可以通过影响发育调控产生清楚形态表型。按上述维度判定，SOX5 豌豆冠可定位为</w:t>
      </w:r>
      <w:r>
        <w:t xml:space="preserve"> </w:t>
      </w:r>
      <w:r>
        <w:rPr>
          <w:b/>
          <w:bCs/>
        </w:rPr>
        <w:t xml:space="preserve">variant-level A / T2（品种特征和冠型管理场景）</w:t>
      </w:r>
      <w:r>
        <w:t xml:space="preserve">。这里的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pPr>
      <w:r>
        <w:t xml:space="preserve">玫瑰冠则提醒我们，即使强可见表型达到 variant-level A，也仍需单独评估多性状和繁殖风险。玫瑰冠与特定染色体倒位有关，该倒位能够解释冠型表型，但也被报道与雄性繁殖力或精子运动相关问题存在关联。按本文框架，玫瑰冠可定位为</w:t>
      </w:r>
      <w:r>
        <w:t xml:space="preserve"> </w:t>
      </w:r>
      <w:r>
        <w:rPr>
          <w:b/>
          <w:bCs/>
        </w:rPr>
        <w:t xml:space="preserve">variant-level A / T1–T2（需考虑繁殖风险）</w:t>
      </w:r>
      <w:r>
        <w:t xml:space="preserve">。其表型因果证据强，但 T 轴必须纳入潜在负面连锁效应和群体应用目标。这一案例说明，A 级证据并不等于“无条件使用”；即使因果变异明确，也要考虑该变异所在结构背景是否带来不利伴随效应。</w:t>
      </w:r>
    </w:p>
    <w:p>
      <w:pPr>
        <w:pStyle w:val="BodyText"/>
      </w:pPr>
      <w:r>
        <w:t xml:space="preserve">羽色多样性也是家鸡主效可见表型的重要组成部分。MC1R、ASIP、TYR、TYRP1、PMEL17 等色素通路基因与黑色、白色、斑驳、隐性白、显性白等羽色差异有关，部分变异已经具有较强的变异明确度和表型对应关系。依本文框架，部分羽色位点可达到</w:t>
      </w:r>
      <w:r>
        <w:t xml:space="preserve"> </w:t>
      </w:r>
      <w:r>
        <w:rPr>
          <w:b/>
          <w:bCs/>
        </w:rPr>
        <w:t xml:space="preserve">variant-level B+–A / T1–T2（羽色识别和市场偏好场景）</w:t>
      </w:r>
      <w:r>
        <w:t xml:space="preserve">。不过，羽色性状与适应性、生产性能或抗病性之间不存在简单因果关系。其 T 轴价值主要绑定品种识别、文化标识、保种、展览标准或特定市场偏好，而不能直接解释综合生产性能。</w:t>
      </w:r>
    </w:p>
    <w:p>
      <w:pPr>
        <w:pStyle w:val="BodyText"/>
      </w:pPr>
      <w:r>
        <w:t xml:space="preserve">除上述独立讨论的案例外，家鸡中还有一组典型主效可见位点常被用于品种识别和形态性状管理。例如，显性白羽与 PMEL17 相关变异有关，卷羽与 KRT75 相关变异有关，凤头与 HOXC 相关调控区域有关，毛脚或胫羽与肢体发育调控区域有关，丝羽与 PDSS2 相关区域有关，性连锁羽速 K 位点与 PRLR/SPEF2 相关复杂变异有关。这些位点共同的特点是：表型边界较清楚，变异或候选区域相对明确，应用场景多限于品种识别、保种、形态管理和市场偏好。它们可以为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pPr>
      <w: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pPr>
      <w:r>
        <w:t xml:space="preserve">驯化相关位点中，TSHR 是最常被讨论的代表之一。TSHR G558R 等变异与家鸡驯化、繁殖季节性改变和光周期反应相关，被认为可能参与从野生祖先季节性繁殖到家鸡相对持续繁殖能力的转变。该位点在群体遗传和驯化扫描中具有较强代表性，也具有明确的生殖内分泌生物学背景。按 C/B/B+/A 标准，TSHR 更适合定位为</w:t>
      </w:r>
      <w:r>
        <w:t xml:space="preserve"> </w:t>
      </w:r>
      <w:r>
        <w:rPr>
          <w:b/>
          <w:bCs/>
        </w:rPr>
        <w:t xml:space="preserve">variant-level B+ / T0（商业生产）或 T1（驯化机制研究与地方品种保护）</w:t>
      </w:r>
      <w:r>
        <w:t xml:space="preserve">。其不宜上调至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pPr>
      <w: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t xml:space="preserve"> </w:t>
      </w:r>
      <w:r>
        <w:rPr>
          <w:b/>
          <w:bCs/>
        </w:rPr>
        <w:t xml:space="preserve">region-level C–B / T0</w:t>
      </w:r>
      <w:r>
        <w:t xml:space="preserve">：若只有群体分化或选择统计量，应为 C 级线索；若结合共同环境表型、跨群体重复、功能注释或候选变异证据，可上调至 B 级。</w:t>
      </w:r>
    </w:p>
    <w:p>
      <w:pPr>
        <w:pStyle w:val="BodyText"/>
      </w:pPr>
      <w: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pPr>
      <w:r>
        <w:t xml:space="preserve">地方鸡特色性状还常涉及羽色、羽型、体型、行为、繁殖节律和文化偏好等外观或适应性特征。其中部分外观性状可能具有较强主效位点证据，适合用于品种识别和遗传资源管理；但适应性、生产性能和市场价值通常不是单一外观位点能够解释的。一个地方品种具有黑骨、黄肤、蓝壳或特殊冠型，并不意味着相关位点同时解释其肉质、抗病性、耐热性或文化价值。特色表型位点的 T 轴必须绑定具体用途：品种鉴定、保种、商品分级、文化标识或特定市场偏好，而不能泛化为综合性能改良工具。</w:t>
      </w:r>
    </w:p>
    <w:p>
      <w:pPr>
        <w:pStyle w:val="BodyText"/>
      </w:pPr>
      <w: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pPr>
      <w:r>
        <w:rPr>
          <w:b/>
          <w:bCs/>
        </w:rPr>
        <w:t xml:space="preserve">表 5 特色表型与地方适应代表性候选位点的证据成熟度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BCDO2 调控变异</w:t>
            </w:r>
          </w:p>
        </w:tc>
        <w:tc>
          <w:tcPr/>
          <w:p>
            <w:pPr>
              <w:pStyle w:val="Compact"/>
              <w:jc w:val="left"/>
            </w:pPr>
            <w:r>
              <w:t xml:space="preserve">黄肤 / 类胡萝卜素沉积</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T2（肤色管理场景）</w:t>
            </w:r>
          </w:p>
        </w:tc>
        <w:tc>
          <w:tcPr/>
          <w:p>
            <w:pPr>
              <w:pStyle w:val="Compact"/>
              <w:jc w:val="left"/>
            </w:pPr>
            <w:r>
              <w:t xml:space="preserve">组织特异性表达调控、类胡萝卜素代谢和黄肤表型联系清楚</w:t>
            </w:r>
          </w:p>
        </w:tc>
        <w:tc>
          <w:tcPr/>
          <w:p>
            <w:pPr>
              <w:pStyle w:val="Compact"/>
              <w:jc w:val="left"/>
            </w:pPr>
            <w:r>
              <w:t xml:space="preserve">不能外推到生长、肉质或地方适应综合能力</w:t>
            </w:r>
          </w:p>
        </w:tc>
      </w:tr>
      <w:tr>
        <w:tc>
          <w:tcPr/>
          <w:p>
            <w:pPr>
              <w:pStyle w:val="Compact"/>
              <w:jc w:val="left"/>
            </w:pPr>
            <w:r>
              <w:t xml:space="preserve">EDN3 相关复杂结构变异</w:t>
            </w:r>
          </w:p>
        </w:tc>
        <w:tc>
          <w:tcPr/>
          <w:p>
            <w:pPr>
              <w:pStyle w:val="Compact"/>
              <w:jc w:val="left"/>
            </w:pPr>
            <w:r>
              <w:t xml:space="preserve">纤维黑变 / 乌骨性状</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T2（纤维黑变管理场景）</w:t>
            </w:r>
          </w:p>
        </w:tc>
        <w:tc>
          <w:tcPr/>
          <w:p>
            <w:pPr>
              <w:pStyle w:val="Compact"/>
              <w:jc w:val="left"/>
            </w:pPr>
            <w:r>
              <w:t xml:space="preserve">结构变异、EDN3 异常表达和多组织黑色素沉积联系清楚</w:t>
            </w:r>
          </w:p>
        </w:tc>
        <w:tc>
          <w:tcPr/>
          <w:p>
            <w:pPr>
              <w:pStyle w:val="Compact"/>
              <w:jc w:val="left"/>
            </w:pPr>
            <w:r>
              <w:t xml:space="preserve">对肉质、抗病性、药用价值等外推证据不足</w:t>
            </w:r>
          </w:p>
        </w:tc>
      </w:tr>
      <w:tr>
        <w:tc>
          <w:tcPr/>
          <w:p>
            <w:pPr>
              <w:pStyle w:val="Compact"/>
              <w:jc w:val="left"/>
            </w:pPr>
            <w:r>
              <w:t xml:space="preserve">SOX5 内含子重复序列扩增</w:t>
            </w:r>
          </w:p>
        </w:tc>
        <w:tc>
          <w:tcPr/>
          <w:p>
            <w:pPr>
              <w:pStyle w:val="Compact"/>
              <w:jc w:val="left"/>
            </w:pPr>
            <w:r>
              <w:t xml:space="preserve">豌豆冠</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T2（冠型和品种特征管理场景）</w:t>
            </w:r>
          </w:p>
        </w:tc>
        <w:tc>
          <w:tcPr/>
          <w:p>
            <w:pPr>
              <w:pStyle w:val="Compact"/>
              <w:jc w:val="left"/>
            </w:pPr>
            <w:r>
              <w:t xml:space="preserve">非编码结构变异与冠型发育表型关系清楚</w:t>
            </w:r>
          </w:p>
        </w:tc>
        <w:tc>
          <w:tcPr/>
          <w:p>
            <w:pPr>
              <w:pStyle w:val="Compact"/>
              <w:jc w:val="left"/>
            </w:pPr>
            <w:r>
              <w:t xml:space="preserve">商业生产性状权重有限，应用价值依场景而定</w:t>
            </w:r>
          </w:p>
        </w:tc>
      </w:tr>
      <w:tr>
        <w:tc>
          <w:tcPr/>
          <w:p>
            <w:pPr>
              <w:pStyle w:val="Compact"/>
              <w:jc w:val="left"/>
            </w:pPr>
            <w:r>
              <w:t xml:space="preserve">玫瑰冠相关倒位</w:t>
            </w:r>
          </w:p>
        </w:tc>
        <w:tc>
          <w:tcPr/>
          <w:p>
            <w:pPr>
              <w:pStyle w:val="Compact"/>
              <w:jc w:val="left"/>
            </w:pPr>
            <w:r>
              <w:t xml:space="preserve">冠型 / 繁殖风险</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T1–T2（需考虑繁殖风险）</w:t>
            </w:r>
          </w:p>
        </w:tc>
        <w:tc>
          <w:tcPr/>
          <w:p>
            <w:pPr>
              <w:pStyle w:val="Compact"/>
              <w:jc w:val="left"/>
            </w:pPr>
            <w:r>
              <w:t xml:space="preserve">结构变异与冠型表型关系清楚</w:t>
            </w:r>
          </w:p>
        </w:tc>
        <w:tc>
          <w:tcPr/>
          <w:p>
            <w:pPr>
              <w:pStyle w:val="Compact"/>
              <w:jc w:val="left"/>
            </w:pPr>
            <w:r>
              <w:t xml:space="preserve">可能伴随雄性繁殖力风险，需 T 轴单独评估</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插入变异、壳腺特异表达和蓝壳表型联系清楚</w:t>
            </w:r>
          </w:p>
        </w:tc>
        <w:tc>
          <w:tcPr/>
          <w:p>
            <w:pPr>
              <w:pStyle w:val="Compact"/>
              <w:jc w:val="left"/>
            </w:pPr>
            <w:r>
              <w:t xml:space="preserve">不可外推到产蛋数量或综合蛋品质</w:t>
            </w:r>
          </w:p>
        </w:tc>
      </w:tr>
      <w:tr>
        <w:tc>
          <w:tcPr/>
          <w:p>
            <w:pPr>
              <w:pStyle w:val="Compact"/>
              <w:jc w:val="left"/>
            </w:pPr>
            <w:r>
              <w:t xml:space="preserve">羽色相关位点（如 MC1R、ASIP、TYR/TYRP1、PMEL17）</w:t>
            </w:r>
          </w:p>
        </w:tc>
        <w:tc>
          <w:tcPr/>
          <w:p>
            <w:pPr>
              <w:pStyle w:val="Compact"/>
              <w:jc w:val="left"/>
            </w:pPr>
            <w:r>
              <w:t xml:space="preserve">羽色 / 品种识别</w:t>
            </w:r>
          </w:p>
        </w:tc>
        <w:tc>
          <w:tcPr/>
          <w:p>
            <w:pPr>
              <w:pStyle w:val="Compact"/>
              <w:jc w:val="left"/>
            </w:pPr>
            <w:r>
              <w:t xml:space="preserve">variant/gene-level</w:t>
            </w:r>
          </w:p>
        </w:tc>
        <w:tc>
          <w:tcPr/>
          <w:p>
            <w:pPr>
              <w:pStyle w:val="Compact"/>
              <w:jc w:val="left"/>
            </w:pPr>
            <w:r>
              <w:t xml:space="preserve">B+–A</w:t>
            </w:r>
          </w:p>
        </w:tc>
        <w:tc>
          <w:tcPr/>
          <w:p>
            <w:pPr>
              <w:pStyle w:val="Compact"/>
              <w:jc w:val="left"/>
            </w:pPr>
            <w:r>
              <w:t xml:space="preserve">T1–T2（羽色识别场景）</w:t>
            </w:r>
          </w:p>
        </w:tc>
        <w:tc>
          <w:tcPr/>
          <w:p>
            <w:pPr>
              <w:pStyle w:val="Compact"/>
              <w:jc w:val="left"/>
            </w:pPr>
            <w:r>
              <w:t xml:space="preserve">色素通路明确，部分变异与表型对应关系较清楚</w:t>
            </w:r>
          </w:p>
        </w:tc>
        <w:tc>
          <w:tcPr/>
          <w:p>
            <w:pPr>
              <w:pStyle w:val="Compact"/>
              <w:jc w:val="left"/>
            </w:pPr>
            <w:r>
              <w:t xml:space="preserve">与生产性能、抗病性或适应性的因果关系不能外推</w:t>
            </w:r>
          </w:p>
        </w:tc>
      </w:tr>
      <w:tr>
        <w:tc>
          <w:tcPr/>
          <w:p>
            <w:pPr>
              <w:pStyle w:val="Compact"/>
              <w:jc w:val="left"/>
            </w:pPr>
            <w:r>
              <w:t xml:space="preserve">羽型和形态相关位点（如 KRT75、HOXC 相关区、PDSS2、PRLR/SPEF2 等）</w:t>
            </w:r>
          </w:p>
        </w:tc>
        <w:tc>
          <w:tcPr/>
          <w:p>
            <w:pPr>
              <w:pStyle w:val="Compact"/>
              <w:jc w:val="left"/>
            </w:pPr>
            <w:r>
              <w:t xml:space="preserve">卷羽、凤头、丝羽、羽速等</w:t>
            </w:r>
          </w:p>
        </w:tc>
        <w:tc>
          <w:tcPr/>
          <w:p>
            <w:pPr>
              <w:pStyle w:val="Compact"/>
              <w:jc w:val="left"/>
            </w:pPr>
            <w:r>
              <w:t xml:space="preserve">variant/region-level</w:t>
            </w:r>
          </w:p>
        </w:tc>
        <w:tc>
          <w:tcPr/>
          <w:p>
            <w:pPr>
              <w:pStyle w:val="Compact"/>
              <w:jc w:val="left"/>
            </w:pPr>
            <w:r>
              <w:t xml:space="preserve">B+–A</w:t>
            </w:r>
          </w:p>
        </w:tc>
        <w:tc>
          <w:tcPr/>
          <w:p>
            <w:pPr>
              <w:pStyle w:val="Compact"/>
              <w:jc w:val="left"/>
            </w:pPr>
            <w:r>
              <w:t xml:space="preserve">T1–T2（形态管理场景）</w:t>
            </w:r>
          </w:p>
        </w:tc>
        <w:tc>
          <w:tcPr/>
          <w:p>
            <w:pPr>
              <w:pStyle w:val="Compact"/>
              <w:jc w:val="left"/>
            </w:pPr>
            <w:r>
              <w:t xml:space="preserve">部分主效外观性状变异或候选区域较明确</w:t>
            </w:r>
          </w:p>
        </w:tc>
        <w:tc>
          <w:tcPr/>
          <w:p>
            <w:pPr>
              <w:pStyle w:val="Compact"/>
              <w:jc w:val="left"/>
            </w:pPr>
            <w:r>
              <w:t xml:space="preserve">多数应用限于品种识别、保种或市场偏好</w:t>
            </w:r>
          </w:p>
        </w:tc>
      </w:tr>
      <w:tr>
        <w:tc>
          <w:tcPr/>
          <w:p>
            <w:pPr>
              <w:pStyle w:val="Compact"/>
              <w:jc w:val="left"/>
            </w:pPr>
            <w:r>
              <w:t xml:space="preserve">TSHR G558R 等驯化相关变异</w:t>
            </w:r>
          </w:p>
        </w:tc>
        <w:tc>
          <w:tcPr/>
          <w:p>
            <w:pPr>
              <w:pStyle w:val="Compact"/>
              <w:jc w:val="left"/>
            </w:pPr>
            <w:r>
              <w:t xml:space="preserve">驯化 / 繁殖季节性 / 光周期反应</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T0（商业生产）/ T1（驯化机制研究与地方品种保护）</w:t>
            </w:r>
          </w:p>
        </w:tc>
        <w:tc>
          <w:tcPr/>
          <w:p>
            <w:pPr>
              <w:pStyle w:val="Compact"/>
              <w:jc w:val="left"/>
            </w:pPr>
            <w:r>
              <w:t xml:space="preserve">驯化扫描、群体遗传信号和生殖内分泌功能背景</w:t>
            </w:r>
          </w:p>
        </w:tc>
        <w:tc>
          <w:tcPr/>
          <w:p>
            <w:pPr>
              <w:pStyle w:val="Compact"/>
              <w:jc w:val="left"/>
            </w:pPr>
            <w:r>
              <w:t xml:space="preserve">体内因果验证不足；现代商业群体中的产蛋或适应性效应仍需验证</w:t>
            </w:r>
          </w:p>
        </w:tc>
      </w:tr>
      <w:tr>
        <w:tc>
          <w:tcPr/>
          <w:p>
            <w:pPr>
              <w:pStyle w:val="Compact"/>
              <w:jc w:val="left"/>
            </w:pPr>
            <w:r>
              <w:t xml:space="preserve">热适应 / 高原适应 / 寒冷耐受选择扫描区域</w:t>
            </w:r>
          </w:p>
        </w:tc>
        <w:tc>
          <w:tcPr/>
          <w:p>
            <w:pPr>
              <w:pStyle w:val="Compact"/>
              <w:jc w:val="left"/>
            </w:pPr>
            <w:r>
              <w:t xml:space="preserve">地方适应 / 环境响应</w:t>
            </w:r>
          </w:p>
        </w:tc>
        <w:tc>
          <w:tcPr/>
          <w:p>
            <w:pPr>
              <w:pStyle w:val="Compact"/>
              <w:jc w:val="left"/>
            </w:pPr>
            <w:r>
              <w:t xml:space="preserve">region-level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选择扫描、通路合理性、部分表达或环境关联证据</w:t>
            </w:r>
          </w:p>
        </w:tc>
        <w:tc>
          <w:tcPr/>
          <w:p>
            <w:pPr>
              <w:pStyle w:val="Compact"/>
              <w:jc w:val="left"/>
            </w:pPr>
            <w:r>
              <w:t xml:space="preserve">共同环境表型、因果变异、功能验证和跨群体重复不足</w:t>
            </w:r>
          </w:p>
        </w:tc>
      </w:tr>
    </w:tbl>
    <w:p>
      <w:pPr>
        <w:pStyle w:val="BodyText"/>
      </w:pPr>
      <w:r>
        <w:t xml:space="preserve">注：特色表型中的 T2 多指品种识别、商品分级、保种、展览标准或特定市场管理场景，不代表综合生产性状或复杂适应性的应用成熟度。</w:t>
      </w:r>
    </w:p>
    <w:p>
      <w:pPr>
        <w:pStyle w:val="BodyText"/>
      </w:pPr>
      <w: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pPr>
      <w:r>
        <w:t xml:space="preserve">4.5 小结：复杂经济性状的现实证据上限</w:t>
      </w:r>
    </w:p>
    <w:p>
      <w:pPr>
        <w:pStyle w:val="FirstParagraph"/>
      </w:pPr>
      <w: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pPr>
      <w:r>
        <w:rPr>
          <w:b/>
          <w:bCs/>
        </w:rPr>
        <w:t xml:space="preserve">表 6 第 4 章代表性性状的证据等级分布概览</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性状类别</w:t>
            </w:r>
          </w:p>
        </w:tc>
        <w:tc>
          <w:tcPr/>
          <w:p>
            <w:pPr>
              <w:pStyle w:val="Compact"/>
              <w:jc w:val="left"/>
            </w:pPr>
            <w:r>
              <w:t xml:space="preserve">当前最高代表性证据等级</w:t>
            </w:r>
          </w:p>
        </w:tc>
        <w:tc>
          <w:tcPr/>
          <w:p>
            <w:pPr>
              <w:pStyle w:val="Compact"/>
              <w:jc w:val="left"/>
            </w:pPr>
            <w:r>
              <w:t xml:space="preserve">代表性位点或证据单元</w:t>
            </w:r>
          </w:p>
        </w:tc>
        <w:tc>
          <w:tcPr/>
          <w:p>
            <w:pPr>
              <w:pStyle w:val="Compact"/>
              <w:jc w:val="left"/>
            </w:pPr>
            <w:r>
              <w:t xml:space="preserve">主要 T 轴场景</w:t>
            </w:r>
          </w:p>
        </w:tc>
        <w:tc>
          <w:tcPr/>
          <w:p>
            <w:pPr>
              <w:pStyle w:val="Compact"/>
              <w:jc w:val="left"/>
            </w:pPr>
            <w:r>
              <w:t xml:space="preserve">核心判断</w:t>
            </w:r>
          </w:p>
        </w:tc>
      </w:tr>
      <w:tr>
        <w:tc>
          <w:tcPr/>
          <w:p>
            <w:pPr>
              <w:pStyle w:val="Compact"/>
              <w:jc w:val="left"/>
            </w:pPr>
            <w:r>
              <w:t xml:space="preserve">生长、胴体、脂肪沉积与饲料效率</w:t>
            </w:r>
          </w:p>
        </w:tc>
        <w:tc>
          <w:tcPr/>
          <w:p>
            <w:pPr>
              <w:pStyle w:val="Compact"/>
              <w:jc w:val="left"/>
            </w:pPr>
            <w:r>
              <w:t xml:space="preserve">variant-level B+</w:t>
            </w:r>
          </w:p>
        </w:tc>
        <w:tc>
          <w:tcPr/>
          <w:p>
            <w:pPr>
              <w:pStyle w:val="Compact"/>
              <w:jc w:val="left"/>
            </w:pPr>
            <w:r>
              <w:t xml:space="preserve">IGF2BP1 启动子缺失；rs734209466–IGFBP2/IGFBP5</w:t>
            </w:r>
          </w:p>
        </w:tc>
        <w:tc>
          <w:tcPr/>
          <w:p>
            <w:pPr>
              <w:pStyle w:val="Compact"/>
              <w:jc w:val="left"/>
            </w:pPr>
            <w:r>
              <w:t xml:space="preserve">T0，主要用于精细定位、机制验证和 GS 功能先验</w:t>
            </w:r>
          </w:p>
        </w:tc>
        <w:tc>
          <w:tcPr/>
          <w:p>
            <w:pPr>
              <w:pStyle w:val="Compact"/>
              <w:jc w:val="left"/>
            </w:pPr>
            <w:r>
              <w:t xml:space="preserve">多基因经济性状尚无成熟 variant-level A</w:t>
            </w:r>
          </w:p>
        </w:tc>
      </w:tr>
      <w:tr>
        <w:tc>
          <w:tcPr/>
          <w:p>
            <w:pPr>
              <w:pStyle w:val="Compact"/>
              <w:jc w:val="left"/>
            </w:pPr>
            <w:r>
              <w:t xml:space="preserve">繁殖产蛋与蛋品质</w:t>
            </w:r>
          </w:p>
        </w:tc>
        <w:tc>
          <w:tcPr/>
          <w:p>
            <w:pPr>
              <w:pStyle w:val="Compact"/>
              <w:jc w:val="left"/>
            </w:pPr>
            <w:r>
              <w:t xml:space="preserve">variant-level A（限壳色）</w:t>
            </w:r>
          </w:p>
        </w:tc>
        <w:tc>
          <w:tcPr/>
          <w:p>
            <w:pPr>
              <w:pStyle w:val="Compact"/>
              <w:jc w:val="left"/>
            </w:pPr>
            <w:r>
              <w:t xml:space="preserve">SLCO1B3 EAV-HP 插入</w:t>
            </w:r>
          </w:p>
        </w:tc>
        <w:tc>
          <w:tcPr/>
          <w:p>
            <w:pPr>
              <w:pStyle w:val="Compact"/>
              <w:jc w:val="left"/>
            </w:pPr>
            <w:r>
              <w:t xml:space="preserve">T2，限壳色管理场景</w:t>
            </w:r>
          </w:p>
        </w:tc>
        <w:tc>
          <w:tcPr/>
          <w:p>
            <w:pPr>
              <w:pStyle w:val="Compact"/>
              <w:jc w:val="left"/>
            </w:pPr>
            <w:r>
              <w:t xml:space="preserve">主效壳色可达 A；产蛋数量和综合蛋品质多数仍为 B 或 C–B</w:t>
            </w:r>
          </w:p>
        </w:tc>
      </w:tr>
      <w:tr>
        <w:tc>
          <w:tcPr/>
          <w:p>
            <w:pPr>
              <w:pStyle w:val="Compact"/>
              <w:jc w:val="left"/>
            </w:pPr>
            <w:r>
              <w:t xml:space="preserve">抗病与免疫性状</w:t>
            </w:r>
          </w:p>
        </w:tc>
        <w:tc>
          <w:tcPr/>
          <w:p>
            <w:pPr>
              <w:pStyle w:val="Compact"/>
              <w:jc w:val="left"/>
            </w:pPr>
            <w:r>
              <w:t xml:space="preserve">gene/target-level A；haplotype/region-level B+</w:t>
            </w:r>
          </w:p>
        </w:tc>
        <w:tc>
          <w:tcPr/>
          <w:p>
            <w:pPr>
              <w:pStyle w:val="Compact"/>
              <w:jc w:val="left"/>
            </w:pPr>
            <w:r>
              <w:t xml:space="preserve">ANP32A；TVB/NHE1；MHC-B</w:t>
            </w:r>
          </w:p>
        </w:tc>
        <w:tc>
          <w:tcPr/>
          <w:p>
            <w:pPr>
              <w:pStyle w:val="Compact"/>
              <w:jc w:val="left"/>
            </w:pPr>
            <w:r>
              <w:t xml:space="preserve">T0–T1，常伴随高转化风险</w:t>
            </w:r>
          </w:p>
        </w:tc>
        <w:tc>
          <w:tcPr/>
          <w:p>
            <w:pPr>
              <w:pStyle w:val="Compact"/>
              <w:jc w:val="left"/>
            </w:pPr>
            <w:r>
              <w:t xml:space="preserve">强证据多在靶点层面，variant-level A 罕见</w:t>
            </w:r>
          </w:p>
        </w:tc>
      </w:tr>
      <w:tr>
        <w:tc>
          <w:tcPr/>
          <w:p>
            <w:pPr>
              <w:pStyle w:val="Compact"/>
              <w:jc w:val="left"/>
            </w:pPr>
            <w:r>
              <w:t xml:space="preserve">特色表型与地方适应</w:t>
            </w:r>
          </w:p>
        </w:tc>
        <w:tc>
          <w:tcPr/>
          <w:p>
            <w:pPr>
              <w:pStyle w:val="Compact"/>
              <w:jc w:val="left"/>
            </w:pPr>
            <w:r>
              <w:t xml:space="preserve">variant-level A</w:t>
            </w:r>
          </w:p>
        </w:tc>
        <w:tc>
          <w:tcPr/>
          <w:p>
            <w:pPr>
              <w:pStyle w:val="Compact"/>
              <w:jc w:val="left"/>
            </w:pPr>
            <w:r>
              <w:t xml:space="preserve">BCDO2、EDN3、SOX5、玫瑰冠倒位、部分羽色和羽型位点</w:t>
            </w:r>
          </w:p>
        </w:tc>
        <w:tc>
          <w:tcPr/>
          <w:p>
            <w:pPr>
              <w:pStyle w:val="Compact"/>
              <w:jc w:val="left"/>
            </w:pPr>
            <w:r>
              <w:t xml:space="preserve">T2，多限品种特征管理、保种或市场偏好</w:t>
            </w:r>
          </w:p>
        </w:tc>
        <w:tc>
          <w:tcPr/>
          <w:p>
            <w:pPr>
              <w:pStyle w:val="Compact"/>
              <w:jc w:val="left"/>
            </w:pPr>
            <w:r>
              <w:t xml:space="preserve">A 级证据集中于主效可见表型；地方适应扫描多数为 C–B</w:t>
            </w:r>
          </w:p>
        </w:tc>
      </w:tr>
    </w:tbl>
    <w:p>
      <w:pPr>
        <w:pStyle w:val="BodyText"/>
      </w:pPr>
      <w: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pPr>
      <w: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pPr>
      <w: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pPr>
      <w: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pPr>
      <w: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pPr>
      <w: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pPr>
      <w:r>
        <w:t xml:space="preserve">5 功能验证如何推动证据升级</w:t>
      </w:r>
    </w:p>
    <w:p>
      <w:pPr>
        <w:pStyle w:val="FirstParagraph"/>
      </w:pPr>
      <w: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pPr>
      <w:r>
        <w:t xml:space="preserve">在本文框架中，功能验证不是所有证据中的普通加分项，而是 A 级证据的关键门槛。没有功能验证，候选位点即使具有较强统计重复性和机制解释，也通常只能停留在 B 或 B+。但不同功能实验的证据强度并不相同。报告基因、细胞模型、过表达、敲低、CRISPRa/i、高通量筛选和体外病原复制实验，可以证明候选序列或基因具有功能潜力；内源编辑、自然突变或等位基因导入、PGC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pPr>
      <w:r>
        <w:rPr>
          <w:b/>
          <w:bCs/>
        </w:rPr>
        <w:t xml:space="preserve">表 7 候选位点从 B/B+ 升级到 A 的典型路径</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起点证据形态</w:t>
            </w:r>
          </w:p>
        </w:tc>
        <w:tc>
          <w:tcPr/>
          <w:p>
            <w:pPr>
              <w:pStyle w:val="Compact"/>
              <w:jc w:val="left"/>
            </w:pPr>
            <w:r>
              <w:t xml:space="preserve">关键升级动作</w:t>
            </w:r>
          </w:p>
        </w:tc>
        <w:tc>
          <w:tcPr/>
          <w:p>
            <w:pPr>
              <w:pStyle w:val="Compact"/>
              <w:jc w:val="left"/>
            </w:pPr>
            <w:r>
              <w:t xml:space="preserve">终点证据形态</w:t>
            </w:r>
          </w:p>
        </w:tc>
      </w:tr>
      <w:tr>
        <w:tc>
          <w:tcPr/>
          <w:p>
            <w:pPr>
              <w:pStyle w:val="Compact"/>
              <w:jc w:val="left"/>
            </w:pPr>
            <w:r>
              <w:t xml:space="preserve">GWAS 峰、QTL 区间或邻近基因注释，变异不明确</w:t>
            </w:r>
          </w:p>
        </w:tc>
        <w:tc>
          <w:tcPr/>
          <w:p>
            <w:pPr>
              <w:pStyle w:val="Compact"/>
              <w:jc w:val="left"/>
            </w:pPr>
            <w:r>
              <w:t xml:space="preserve">精细定位、候选变异筛选、LD 区分、结构变异解析</w:t>
            </w:r>
          </w:p>
        </w:tc>
        <w:tc>
          <w:tcPr/>
          <w:p>
            <w:pPr>
              <w:pStyle w:val="Compact"/>
              <w:jc w:val="left"/>
            </w:pPr>
            <w:r>
              <w:t xml:space="preserve">variant-level 候选确认，为后续功能验证提供明确对象</w:t>
            </w:r>
          </w:p>
        </w:tc>
      </w:tr>
      <w:tr>
        <w:tc>
          <w:tcPr/>
          <w:p>
            <w:pPr>
              <w:pStyle w:val="Compact"/>
              <w:jc w:val="left"/>
            </w:pPr>
            <w:r>
              <w:t xml:space="preserve">ASE、coloc、报告基因阳性等调控候选</w:t>
            </w:r>
          </w:p>
        </w:tc>
        <w:tc>
          <w:tcPr/>
          <w:p>
            <w:pPr>
              <w:pStyle w:val="Compact"/>
              <w:jc w:val="left"/>
            </w:pPr>
            <w:r>
              <w:t xml:space="preserve">内源编辑、等位基因替换、表型重现或救援实验</w:t>
            </w:r>
          </w:p>
        </w:tc>
        <w:tc>
          <w:tcPr/>
          <w:p>
            <w:pPr>
              <w:pStyle w:val="Compact"/>
              <w:jc w:val="left"/>
            </w:pPr>
            <w:r>
              <w:t xml:space="preserve">variant-level A</w:t>
            </w:r>
          </w:p>
        </w:tc>
      </w:tr>
      <w:tr>
        <w:tc>
          <w:tcPr/>
          <w:p>
            <w:pPr>
              <w:pStyle w:val="Compact"/>
              <w:jc w:val="left"/>
            </w:pPr>
            <w:r>
              <w:t xml:space="preserve">细胞实验、通路富集或候选基因功能线索</w:t>
            </w:r>
          </w:p>
        </w:tc>
        <w:tc>
          <w:tcPr/>
          <w:p>
            <w:pPr>
              <w:pStyle w:val="Compact"/>
              <w:jc w:val="left"/>
            </w:pPr>
            <w:r>
              <w:t xml:space="preserve">体内模型、多性状表型评估、救援实验</w:t>
            </w:r>
          </w:p>
        </w:tc>
        <w:tc>
          <w:tcPr/>
          <w:p>
            <w:pPr>
              <w:pStyle w:val="Compact"/>
              <w:jc w:val="left"/>
            </w:pPr>
            <w:r>
              <w:t xml:space="preserve">gene/target-level A</w:t>
            </w:r>
          </w:p>
        </w:tc>
      </w:tr>
      <w:tr>
        <w:tc>
          <w:tcPr/>
          <w:p>
            <w:pPr>
              <w:pStyle w:val="Compact"/>
              <w:jc w:val="left"/>
            </w:pPr>
            <w:r>
              <w:t xml:space="preserve">MPRA、CRISPR 筛选或单细胞扰动命中</w:t>
            </w:r>
          </w:p>
        </w:tc>
        <w:tc>
          <w:tcPr/>
          <w:p>
            <w:pPr>
              <w:pStyle w:val="Compact"/>
              <w:jc w:val="left"/>
            </w:pPr>
            <w:r>
              <w:t xml:space="preserve">单基因验证、内源验证、目标组织和真实表型验证</w:t>
            </w:r>
          </w:p>
        </w:tc>
        <w:tc>
          <w:tcPr/>
          <w:p>
            <w:pPr>
              <w:pStyle w:val="Compact"/>
              <w:jc w:val="left"/>
            </w:pPr>
            <w:r>
              <w:t xml:space="preserve">gene/target-level A 或 B+，取决于是否完成体内因果验证</w:t>
            </w:r>
          </w:p>
        </w:tc>
      </w:tr>
    </w:tbl>
    <w:p>
      <w:pPr>
        <w:pStyle w:val="BodyText"/>
      </w:pPr>
      <w: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pPr>
      <w:r>
        <w:t xml:space="preserve">5.1 从表达相关到等位基因层面证据</w:t>
      </w:r>
    </w:p>
    <w:p>
      <w:pPr>
        <w:pStyle w:val="FirstParagraph"/>
      </w:pPr>
      <w:r>
        <w:t xml:space="preserve">表达差异是家鸡复杂性状研究中最常见的机制证据之一。高低表型组之间的差异表达、目标组织中的高表达、感染后诱导表达或发育阶段特异表达，能够提示候选基因可能参与相关生物过程。然而，表达相关本身不能区分原因和结果。一个基因在高脂和低脂个体之间差异表达，可能参与脂肪沉积，也可能只是脂肪细胞状态变化后的结果；一个基因在感染后上调，可能参与抗病，也可能只是炎症反应的一部分。因此，单纯差异表达通常只能把候选位点从 C 级线索推进到机制候选，不能直接形成强因果证据。</w:t>
      </w:r>
    </w:p>
    <w:p>
      <w:pPr>
        <w:pStyle w:val="BodyText"/>
      </w:pPr>
      <w:r>
        <w:t xml:space="preserve">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如果同一个个体内两个等位基因表现出表达不平衡，且这种不平衡与候选变异或单倍型一致，则更能支持顺式调控机制。</w:t>
      </w:r>
    </w:p>
    <w:p>
      <w:pPr>
        <w:pStyle w:val="BodyText"/>
      </w:pPr>
      <w: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pPr>
      <w:r>
        <w:t xml:space="preserve">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和 rs734209466–IGFBP2/IGFBP5 这类案例的价值，正是在于把候选信号向这一链条推进；其不足，则在于仍需要更强的内源和体内证据来完成从 B/B+ 到 A 的跨越。</w:t>
      </w:r>
    </w:p>
    <w:bookmarkEnd w:id="38"/>
    <w:bookmarkStart w:id="39" w:name="从报告基因和细胞模型到内源编辑"/>
    <w:p>
      <w:pPr>
        <w:pStyle w:val="Heading3"/>
      </w:pPr>
      <w:r>
        <w:t xml:space="preserve">5.2 从报告基因和细胞模型到内源编辑</w:t>
      </w:r>
    </w:p>
    <w:p>
      <w:pPr>
        <w:pStyle w:val="FirstParagraph"/>
      </w:pPr>
      <w:r>
        <w:t xml:space="preserve">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实验也有明显边界：候选序列被放入人工载体和简化调控环境中，脱离了原生染色质、三维空间结构、细胞发育状态和组织微环境。因此，报告基因阳性说明“有调控潜力”，不等于证明“在体内目标组织中承担实际调控功能”。</w:t>
      </w:r>
    </w:p>
    <w:p>
      <w:pPr>
        <w:pStyle w:val="BodyText"/>
      </w:pPr>
      <w: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pPr>
      <w: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pPr>
      <w:r>
        <w:t xml:space="preserve">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pPr>
      <w:r>
        <w:t xml:space="preserve">5.3 PGC 编辑、体内模型和救援实验的证据价值</w:t>
      </w:r>
    </w:p>
    <w:p>
      <w:pPr>
        <w:pStyle w:val="FirstParagraph"/>
      </w:pPr>
      <w:r>
        <w:t xml:space="preserve">家鸡功能验证的一个特殊挑战，是获得稳定的体内遗传模型比模式动物更困难。鸡胚胎发育、生殖细胞操作、世代周期、饲养成本和伦理监管都会限制大规模功能验证。PGC 介导编辑为家鸡提供了重要路径，因为它可以在生殖系层面进行基因编辑或等位基因操作，从而建立更接近真实遗传背景的体内模型。对于复杂性状候选位点，PGC 编辑的价值不仅在于“能改基因”，更在于它有可能把候选变异、内源表达和体内表型连接起来。</w:t>
      </w:r>
    </w:p>
    <w:p>
      <w:pPr>
        <w:pStyle w:val="BodyText"/>
      </w:pPr>
      <w: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pPr>
      <w: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pPr>
      <w:r>
        <w:t xml:space="preserve">不过，体内功能验证仍不等于产业应用成熟。即使 PGC 编辑或体内模型证明某个变异或靶点具有功能，也仍需要目标育种群体中的等位基因频率、遗传背景依赖、多性状影响和经济权重评估。ANP32A 这类抗病靶点尤其说明这一点：即使在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pPr>
      <w:r>
        <w:t xml:space="preserve">5.4 高通量筛选适合排序，不等于因果证明</w:t>
      </w:r>
    </w:p>
    <w:p>
      <w:pPr>
        <w:pStyle w:val="FirstParagraph"/>
      </w:pPr>
      <w:r>
        <w:t xml:space="preserve">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筛选可以在细胞层面寻找影响病毒复制、细胞分化、代谢状态或免疫反应的基因；单细胞扰动实验可以把基因扰动与细胞状态变化联系起来。这些方法显著提高了候选筛选效率，尤其适合在大量 GWAS 或选择扫描信号中识别更值得验证的对象。</w:t>
      </w:r>
    </w:p>
    <w:p>
      <w:pPr>
        <w:pStyle w:val="BodyText"/>
      </w:pPr>
      <w: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pPr>
      <w: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pPr>
      <w:r>
        <w:t xml:space="preserve">更合理的策略，是把高通量筛选纳入分层验证流程：</w:t>
      </w:r>
    </w:p>
    <w:p>
      <w:pPr>
        <w:pStyle w:val="Compact"/>
        <w:numPr>
          <w:ilvl w:val="0"/>
          <w:numId w:val="1001"/>
        </w:numPr>
      </w:pPr>
      <w:r>
        <w:rPr>
          <w:b/>
          <w:bCs/>
        </w:rPr>
        <w:t xml:space="preserve">候选构建</w:t>
      </w:r>
      <w:r>
        <w:t xml:space="preserve">：利用 GWAS、QTL、选择扫描、多组学共定位和功能注释建立候选位点集合。</w:t>
      </w:r>
    </w:p>
    <w:p>
      <w:pPr>
        <w:pStyle w:val="Compact"/>
        <w:numPr>
          <w:ilvl w:val="0"/>
          <w:numId w:val="1001"/>
        </w:numPr>
      </w:pPr>
      <w:r>
        <w:rPr>
          <w:b/>
          <w:bCs/>
        </w:rPr>
        <w:t xml:space="preserve">优先排序</w:t>
      </w:r>
      <w:r>
        <w:t xml:space="preserve">：利用 MPRA、CRISPR 筛选、单细胞扰动或其他高通量实验识别高验证价值候选。</w:t>
      </w:r>
    </w:p>
    <w:p>
      <w:pPr>
        <w:pStyle w:val="Compact"/>
        <w:numPr>
          <w:ilvl w:val="0"/>
          <w:numId w:val="1001"/>
        </w:numPr>
      </w:pPr>
      <w:r>
        <w:rPr>
          <w:b/>
          <w:bCs/>
        </w:rPr>
        <w:t xml:space="preserve">机制确认</w:t>
      </w:r>
      <w:r>
        <w:t xml:space="preserve">：通过等位基因特异表达、共定位、报告基因、细胞模型和调控元件验证确认候选机制。</w:t>
      </w:r>
    </w:p>
    <w:p>
      <w:pPr>
        <w:pStyle w:val="Compact"/>
        <w:numPr>
          <w:ilvl w:val="0"/>
          <w:numId w:val="1001"/>
        </w:numPr>
      </w:pPr>
      <w:r>
        <w:rPr>
          <w:b/>
          <w:bCs/>
        </w:rPr>
        <w:t xml:space="preserve">因果定性</w:t>
      </w:r>
      <w:r>
        <w:t xml:space="preserve">：通过内源编辑、PGC 介导编辑、体内模型、救援实验和目标群体验证，判断其能否达到 variant-level A 或 gene/target-level A。</w:t>
      </w:r>
    </w:p>
    <w:p>
      <w:pPr>
        <w:pStyle w:val="FirstParagraph"/>
      </w:pPr>
      <w: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pPr>
      <w: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pPr>
      <w:r>
        <w:t xml:space="preserve">6 基于证据成熟度的育种转化决策</w:t>
      </w:r>
    </w:p>
    <w:p>
      <w:pPr>
        <w:pStyle w:val="FirstParagraph"/>
      </w:pPr>
      <w: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pPr>
      <w:r>
        <w:t xml:space="preserve">标记辅助选择、基因组选择和基因编辑是覆盖不同证据等级与应用场景的并行工具，而非依次替代的三代技术。MAS 适用于少数效应明确、检测方便、与目标表型稳定相关的主效位点；GS 适用于多数多基因复杂经济性状；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pPr>
      <w: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pPr>
      <w:r>
        <w:rPr>
          <w:b/>
          <w:bCs/>
        </w:rPr>
        <w:t xml:space="preserve">表 8 候选位点证据等级与育种工具匹配矩阵</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证据层级 + 等级</w:t>
            </w:r>
          </w:p>
        </w:tc>
        <w:tc>
          <w:tcPr/>
          <w:p>
            <w:pPr>
              <w:pStyle w:val="Compact"/>
              <w:jc w:val="left"/>
            </w:pPr>
            <w:r>
              <w:t xml:space="preserve">T0：目标群体未验证</w:t>
            </w:r>
          </w:p>
        </w:tc>
        <w:tc>
          <w:tcPr/>
          <w:p>
            <w:pPr>
              <w:pStyle w:val="Compact"/>
              <w:jc w:val="left"/>
            </w:pPr>
            <w:r>
              <w:t xml:space="preserve">T1：目标群体初步验证</w:t>
            </w:r>
          </w:p>
        </w:tc>
        <w:tc>
          <w:tcPr/>
          <w:p>
            <w:pPr>
              <w:pStyle w:val="Compact"/>
              <w:jc w:val="left"/>
            </w:pPr>
            <w:r>
              <w:t xml:space="preserve">T2：应用场景成熟</w:t>
            </w:r>
          </w:p>
        </w:tc>
      </w:tr>
      <w:tr>
        <w:tc>
          <w:tcPr/>
          <w:p>
            <w:pPr>
              <w:pStyle w:val="Compact"/>
              <w:jc w:val="left"/>
            </w:pPr>
            <w:r>
              <w:t xml:space="preserve">variant-level A</w:t>
            </w:r>
          </w:p>
        </w:tc>
        <w:tc>
          <w:tcPr/>
          <w:p>
            <w:pPr>
              <w:pStyle w:val="Compact"/>
              <w:jc w:val="left"/>
            </w:pPr>
            <w:r>
              <w:t xml:space="preserve">进入目标群体验证；评估等位基因频率、效应方向和多性状影响</w:t>
            </w:r>
          </w:p>
        </w:tc>
        <w:tc>
          <w:tcPr/>
          <w:p>
            <w:pPr>
              <w:pStyle w:val="Compact"/>
              <w:jc w:val="left"/>
            </w:pPr>
            <w:r>
              <w:t xml:space="preserve">可作为试点 MAS 或品种特征管理对象，但需继续监测副作用</w:t>
            </w:r>
          </w:p>
        </w:tc>
        <w:tc>
          <w:tcPr/>
          <w:p>
            <w:pPr>
              <w:pStyle w:val="Compact"/>
              <w:jc w:val="left"/>
            </w:pPr>
            <w:r>
              <w:t xml:space="preserve">可用于 MAS、品种特征管理、商品分级或保种</w:t>
            </w:r>
          </w:p>
        </w:tc>
      </w:tr>
      <w:tr>
        <w:tc>
          <w:tcPr/>
          <w:p>
            <w:pPr>
              <w:pStyle w:val="Compact"/>
              <w:jc w:val="left"/>
            </w:pPr>
            <w:r>
              <w:t xml:space="preserve">variant-level B+</w:t>
            </w:r>
          </w:p>
        </w:tc>
        <w:tc>
          <w:tcPr/>
          <w:p>
            <w:pPr>
              <w:pStyle w:val="Compact"/>
              <w:jc w:val="left"/>
            </w:pPr>
            <w:r>
              <w:t xml:space="preserve">优先功能验证、内源编辑、跨群体验证；可作为 GS 功能先验</w:t>
            </w:r>
          </w:p>
        </w:tc>
        <w:tc>
          <w:tcPr/>
          <w:p>
            <w:pPr>
              <w:pStyle w:val="Compact"/>
              <w:jc w:val="left"/>
            </w:pPr>
            <w:r>
              <w:t xml:space="preserve">可用于目标群体风险评估或模型加权，但不宜作为确定性标记</w:t>
            </w:r>
          </w:p>
        </w:tc>
        <w:tc>
          <w:tcPr/>
          <w:p>
            <w:pPr>
              <w:pStyle w:val="Compact"/>
              <w:jc w:val="left"/>
            </w:pPr>
            <w:r>
              <w:t xml:space="preserve">可在已验证群体内作为 GS 高权重先验或辅助标记，但应明确报告为“育种预测价值”而非“因果标记”；跨群体推广前必须重新评估；这种 T2 状态不等于因果证据成熟</w:t>
            </w:r>
          </w:p>
        </w:tc>
      </w:tr>
      <w:tr>
        <w:tc>
          <w:tcPr/>
          <w:p>
            <w:pPr>
              <w:pStyle w:val="Compact"/>
              <w:jc w:val="left"/>
            </w:pPr>
            <w:r>
              <w:t xml:space="preserve">region-level B</w:t>
            </w:r>
          </w:p>
        </w:tc>
        <w:tc>
          <w:tcPr/>
          <w:p>
            <w:pPr>
              <w:pStyle w:val="Compact"/>
              <w:jc w:val="left"/>
            </w:pPr>
            <w:r>
              <w:t xml:space="preserve">精细定位、候选变异筛选、LD 区分和结构变异解析</w:t>
            </w:r>
          </w:p>
        </w:tc>
        <w:tc>
          <w:tcPr/>
          <w:p>
            <w:pPr>
              <w:pStyle w:val="Compact"/>
              <w:jc w:val="left"/>
            </w:pPr>
            <w:r>
              <w:t xml:space="preserve">可作为目标群体重点验证区段或 GS 低—中权重先验</w:t>
            </w:r>
          </w:p>
        </w:tc>
        <w:tc>
          <w:tcPr/>
          <w:p>
            <w:pPr>
              <w:pStyle w:val="Compact"/>
              <w:jc w:val="left"/>
            </w:pPr>
            <w:r>
              <w:t xml:space="preserve">若未解析到具体变异、结构变异或功能单倍型，通常不应直接用于 MAS</w:t>
            </w:r>
          </w:p>
        </w:tc>
      </w:tr>
      <w:tr>
        <w:tc>
          <w:tcPr/>
          <w:p>
            <w:pPr>
              <w:pStyle w:val="Compact"/>
              <w:jc w:val="left"/>
            </w:pPr>
            <w:r>
              <w:t xml:space="preserve">gene-level C–B</w:t>
            </w:r>
          </w:p>
        </w:tc>
        <w:tc>
          <w:tcPr/>
          <w:p>
            <w:pPr>
              <w:pStyle w:val="Compact"/>
              <w:jc w:val="left"/>
            </w:pPr>
            <w:r>
              <w:t xml:space="preserve">机制实验、跨群体重复验证和候选集合构建</w:t>
            </w:r>
          </w:p>
        </w:tc>
        <w:tc>
          <w:tcPr/>
          <w:p>
            <w:pPr>
              <w:pStyle w:val="Compact"/>
              <w:jc w:val="left"/>
            </w:pPr>
            <w:r>
              <w:t xml:space="preserve">可作为功能注释或 GS 低权重先验</w:t>
            </w:r>
          </w:p>
        </w:tc>
        <w:tc>
          <w:tcPr/>
          <w:p>
            <w:pPr>
              <w:pStyle w:val="Compact"/>
              <w:jc w:val="left"/>
            </w:pPr>
            <w:r>
              <w:t xml:space="preserve">不宜直接用于 MAS；除非进一步升级为明确变异或强靶点证据</w:t>
            </w:r>
          </w:p>
        </w:tc>
      </w:tr>
      <w:tr>
        <w:tc>
          <w:tcPr/>
          <w:p>
            <w:pPr>
              <w:pStyle w:val="Compact"/>
              <w:jc w:val="left"/>
            </w:pPr>
            <w:r>
              <w:t xml:space="preserve">gene/target-level A，variant-level B–C</w:t>
            </w:r>
          </w:p>
        </w:tc>
        <w:tc>
          <w:tcPr/>
          <w:p>
            <w:pPr>
              <w:pStyle w:val="Compact"/>
              <w:jc w:val="left"/>
            </w:pPr>
            <w:r>
              <w:t xml:space="preserve">机制研究、编辑靶点评估、生物安全评估</w:t>
            </w:r>
          </w:p>
        </w:tc>
        <w:tc>
          <w:tcPr/>
          <w:p>
            <w:pPr>
              <w:pStyle w:val="Compact"/>
              <w:jc w:val="left"/>
            </w:pPr>
            <w:r>
              <w:t xml:space="preserve">可开展编辑研究试点、疾病风险评估或监管和市场环境扫描</w:t>
            </w:r>
          </w:p>
        </w:tc>
        <w:tc>
          <w:tcPr/>
          <w:p>
            <w:pPr>
              <w:pStyle w:val="Compact"/>
              <w:jc w:val="left"/>
            </w:pPr>
            <w: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p>
            <w:pPr>
              <w:pStyle w:val="Compact"/>
              <w:jc w:val="left"/>
            </w:pPr>
            <w:r>
              <w:t xml:space="preserve">C 级候选线索</w:t>
            </w:r>
          </w:p>
        </w:tc>
        <w:tc>
          <w:tcPr/>
          <w:p>
            <w:pPr>
              <w:pStyle w:val="Compact"/>
              <w:jc w:val="left"/>
            </w:pPr>
            <w:r>
              <w:t xml:space="preserve">假设生成、候选清单构建、低权重功能注释</w:t>
            </w:r>
          </w:p>
        </w:tc>
        <w:tc>
          <w:tcPr/>
          <w:p>
            <w:pPr>
              <w:pStyle w:val="Compact"/>
              <w:jc w:val="left"/>
            </w:pPr>
            <w:r>
              <w:t xml:space="preserve">一般不进入育种决策</w:t>
            </w:r>
          </w:p>
        </w:tc>
        <w:tc>
          <w:tcPr/>
          <w:p>
            <w:pPr>
              <w:pStyle w:val="Compact"/>
              <w:jc w:val="left"/>
            </w:pPr>
            <w:r>
              <w:t xml:space="preserve">不适合直接应用</w:t>
            </w:r>
          </w:p>
        </w:tc>
      </w:tr>
    </w:tbl>
    <w:p>
      <w:pPr>
        <w:pStyle w:val="BodyText"/>
      </w:pPr>
      <w: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pPr>
      <w:r>
        <w:t xml:space="preserve">表 8 中工具选择呈现一个隐含规律：</w:t>
      </w:r>
      <w:r>
        <w:rPr>
          <w:b/>
          <w:bCs/>
        </w:rPr>
        <w:t xml:space="preserve">variant-level A + T2</w:t>
      </w:r>
      <w:r>
        <w:t xml:space="preserve"> </w:t>
      </w:r>
      <w:r>
        <w:t xml:space="preserve">时，因果变异明确，可使用 MAS 作单点选择；</w:t>
      </w:r>
      <w:r>
        <w:rPr>
          <w:b/>
          <w:bCs/>
        </w:rPr>
        <w:t xml:space="preserve">variant-level B+ + T2</w:t>
      </w:r>
      <w:r>
        <w:t xml:space="preserve"> </w:t>
      </w:r>
      <w: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pPr>
      <w:r>
        <w:t xml:space="preserve">6.1 MAS：少数强证据主效位点和品种特征管理</w:t>
      </w:r>
    </w:p>
    <w:p>
      <w:pPr>
        <w:pStyle w:val="FirstParagraph"/>
      </w:pPr>
      <w:r>
        <w:t xml:space="preserve">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pPr>
      <w: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pPr>
      <w: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pPr>
      <w:r>
        <w:t xml:space="preserve">对于 B+ 位点，MAS 应更加谨慎。IGF2BP1 启动子缺失、rs734209466–IGFBP2/IGFBP5 调控链、TSHR 驯化相关变异以及部分受体型抗病位点，虽然具有较强机制证据或候选价值，但仍不宜直接作为 MAS 标记。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pPr>
      <w:r>
        <w:t xml:space="preserve">6.2 GS：复杂经济性状改良的主干</w:t>
      </w:r>
    </w:p>
    <w:p>
      <w:pPr>
        <w:pStyle w:val="FirstParagraph"/>
      </w:pPr>
      <w:r>
        <w:t xml:space="preserve">对于生长、饲料效率、产蛋持续性、肉质、蛋壳强度、复杂抗病性和地方适应等多基因经济性状，基因组选择仍应是主要改良工具。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pPr>
      <w:r>
        <w:t xml:space="preserve">GS 的优势在于不要求每个位点都被证明为因果变异，而是利用全基因组标记捕捉整体遗传值。对于高度多基因性状，GS 比 MAS 更符合遗传结构。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pPr>
      <w:r>
        <w:t xml:space="preserve">证据成熟度框架可以增强 GS，而不是与 GS 对立。B+ 或高可信 B 级位点可以作为功能先验，用于构建加权 GS 模型、贝叶斯模型或功能注释增强模型。比如，IGF2BP1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pPr>
      <w:r>
        <w:t xml:space="preserve">这类功能先验必须有权重边界。例如，在腹脂沉积 GS 模型中，rs734209466–IGFBP2/IGFBP5 区域具有具体候选变异和较强机制证据，可作为高权重先验位点，但其权重上限不应超过该位点在交叉验证中显示的解释力。在产蛋持续性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pPr>
      <w:r>
        <w:t xml:space="preserve">GS 的另一个关键前提是高质量表型。复杂性状的遗传评估不能只依赖更密集的基因型或更多多组学数据。饲料效率需要标准化个体采食记录，产蛋持续性需要纵向记录，肉质需要一致的屠宰和测定流程，抗病性状需要明确感染模型和终点，地方适应需要共同环境或跨环境表型。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pPr>
      <w:r>
        <w:t xml:space="preserve">6.3 基因编辑：功能验证工具与少数关键靶点突破</w:t>
      </w:r>
    </w:p>
    <w:p>
      <w:pPr>
        <w:pStyle w:val="FirstParagraph"/>
      </w:pPr>
      <w:r>
        <w:t xml:space="preserve">基因编辑在家鸡遗传研究中的价值首先是功能验证，其次才是潜在育种工具。PGC 介导编辑、内源等位基因替换、结构变异重建、靶点敲除或敲入，可以帮助研究者判断候选变异或基因是否真正影响目标表型。对于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pPr>
      <w: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pPr>
      <w:r>
        <w:t xml:space="preserve">就证据非对称性而言，ANP32A 是</w:t>
      </w:r>
      <w:r>
        <w:t xml:space="preserve"> </w:t>
      </w:r>
      <w:r>
        <w:rPr>
          <w:b/>
          <w:bCs/>
        </w:rPr>
        <w:t xml:space="preserve">gene/target-level A + variant-level B–C</w:t>
      </w:r>
      <w:r>
        <w:t xml:space="preserve"> </w:t>
      </w:r>
      <w:r>
        <w:t xml:space="preserve">的极端非对称情形：编辑层面证据强，但自然群体可育种变异证据弱；TVB/NHE1 则代表非对称程度较轻的情形，靶点功能证据和自然变异证据部分重叠。就监管路径而言，ANP32A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pPr>
      <w: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pPr>
      <w: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pPr>
      <w:r>
        <w:t xml:space="preserve">基因编辑的 T 轴评估至少涉及三个独立维度。第一是监管路径。不同国家和地区对禽类基因编辑产品的监管态度差异很大，目标市场选择直接决定编辑应用的可行边界。中文行业读者在制定编辑应用策略时，应优先评估国内主流市场和目标出口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pPr>
      <w:r>
        <w:t xml:space="preserve">6.4 具体情景：代表性位点应该怎么用</w:t>
      </w:r>
    </w:p>
    <w:p>
      <w:pPr>
        <w:pStyle w:val="FirstParagraph"/>
      </w:pPr>
      <w:r>
        <w:t xml:space="preserve">将前文代表性位点放入育种决策框架，可以更清楚地看到不同证据等级对应的不同用途。</w:t>
      </w:r>
    </w:p>
    <w:p>
      <w:pPr>
        <w:pStyle w:val="BodyText"/>
      </w:pPr>
      <w:r>
        <w:rPr>
          <w:b/>
          <w:bCs/>
        </w:rPr>
        <w:t xml:space="preserve">SLCO1B3 EAV-HP 插入：variant-level A / T2 的成熟 MAS 应用。</w:t>
      </w:r>
      <w:r>
        <w:br/>
      </w:r>
      <w:r>
        <w:t xml:space="preserve">SLCO1B3 EAV-HP 插入是本文讨论中较成熟的 MAS 案例。其分型可通过常规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w:t>
      </w:r>
    </w:p>
    <w:p>
      <w:pPr>
        <w:pStyle w:val="BodyText"/>
      </w:pPr>
      <w:r>
        <w:t xml:space="preserve">与 SLCO1B3 这种已经达到 T2 的成熟应用案例不同，多数复杂经济性状的代表位点目前仍停留在 B+ 或 B 级。</w:t>
      </w:r>
    </w:p>
    <w:p>
      <w:pPr>
        <w:pStyle w:val="BodyText"/>
      </w:pPr>
      <w:r>
        <w:rPr>
          <w:b/>
          <w:bCs/>
        </w:rPr>
        <w:t xml:space="preserve">IGF2BP1 启动子缺失：variant-level B+ / T0 的验证优先位点。</w:t>
      </w:r>
      <w:r>
        <w:br/>
      </w:r>
      <w:r>
        <w:t xml:space="preserve">IGF2BP1 启动子缺失目前定位为 variant-level B+ / T0，不宜直接进入 MAS。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pPr>
      <w:r>
        <w:rPr>
          <w:b/>
          <w:bCs/>
        </w:rPr>
        <w:t xml:space="preserve">rs734209466–IGFBP2/IGFBP5 调控链：variant-level B+ / T0 的高优先级调控候选。</w:t>
      </w:r>
      <w:r>
        <w:br/>
      </w:r>
      <w:r>
        <w:t xml:space="preserve">该调控链具有较完整的非编码调控机制证据，定位为 variant-level B+ / T0。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pPr>
      <w:r>
        <w:rPr>
          <w:b/>
          <w:bCs/>
        </w:rPr>
        <w:t xml:space="preserve">PHIP 非编码变异：variant-level B / T0 的产蛋机制候选。</w:t>
      </w:r>
      <w:r>
        <w:br/>
      </w:r>
      <w:r>
        <w:t xml:space="preserve">PHIP 可以用于卵巢功能机制研究、目标群体验证和功能实验设计，但不宜写成产蛋数量标记。PHIP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pPr>
      <w:r>
        <w:t xml:space="preserve">以上四个位点（SLCO1B3、IGF2BP1、IGFBP2/IGFBP5、PHIP）都属于 variant-level 评级，应用决策围绕变异本身展开。MHC-B 则代表另一种证据形态：单倍型层面证据强于单一变异。</w:t>
      </w:r>
    </w:p>
    <w:p>
      <w:pPr>
        <w:pStyle w:val="BodyText"/>
      </w:pPr>
      <w:r>
        <w:rPr>
          <w:b/>
          <w:bCs/>
        </w:rPr>
        <w:t xml:space="preserve">MHC-B 单倍型：haplotype/region-level B+ / T1 的特定疾病风险层。</w:t>
      </w:r>
      <w:r>
        <w:br/>
      </w:r>
      <w:r>
        <w:t xml:space="preserve">MHC-B 适合用于特定疾病背景下的风险评估和育种辅助决策，但不宜作为普适抗病标记。haplotype-level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pPr>
      <w:r>
        <w:t xml:space="preserve">MHC-B 的复杂性来自单倍型的多基因构成。ANP32A 则展示另一种复杂性——同一位点在 gene/target-level 与 variant-level 之间给出截然不同的证据强度。</w:t>
      </w:r>
    </w:p>
    <w:p>
      <w:pPr>
        <w:pStyle w:val="BodyText"/>
      </w:pPr>
      <w:r>
        <w:rPr>
          <w:b/>
          <w:bCs/>
        </w:rPr>
        <w:t xml:space="preserve">ANP32A：gene/target-level A 与 variant-level B–C 并存的非对称证据。</w:t>
      </w:r>
      <w:r>
        <w:br/>
      </w:r>
      <w:r>
        <w:t xml:space="preserve">ANP32A 在禽流感宿主因子研究中具有强功能价值，可作为基因编辑抗病策略和病毒适配机制研究的核心靶点；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pPr>
      <w:r>
        <w:t xml:space="preserve">本节六个位点对应五种典型证据组合：</w:t>
      </w:r>
      <w:r>
        <w:rPr>
          <w:b/>
          <w:bCs/>
        </w:rPr>
        <w:t xml:space="preserve">variant-level A + T2</w:t>
      </w:r>
      <w:r>
        <w:t xml:space="preserve"> </w:t>
      </w:r>
      <w:r>
        <w:t xml:space="preserve">的成熟应用（SLCO1B3）；</w:t>
      </w:r>
      <w:r>
        <w:rPr>
          <w:b/>
          <w:bCs/>
        </w:rPr>
        <w:t xml:space="preserve">variant-level B+ + T0</w:t>
      </w:r>
      <w:r>
        <w:t xml:space="preserve"> </w:t>
      </w:r>
      <w:r>
        <w:t xml:space="preserve">的验证优先对象（IGF2BP1 和 rs734209466–IGFBP2/IGFBP5，分别代表生长方向和脂肪沉积方向的不同应用决策）；</w:t>
      </w:r>
      <w:r>
        <w:rPr>
          <w:b/>
          <w:bCs/>
        </w:rPr>
        <w:t xml:space="preserve">variant-level B + T0</w:t>
      </w:r>
      <w:r>
        <w:t xml:space="preserve"> </w:t>
      </w:r>
      <w:r>
        <w:t xml:space="preserve">的机制候选（PHIP）；</w:t>
      </w:r>
      <w:r>
        <w:rPr>
          <w:b/>
          <w:bCs/>
        </w:rPr>
        <w:t xml:space="preserve">haplotype-level B+ + T1</w:t>
      </w:r>
      <w:r>
        <w:t xml:space="preserve"> </w:t>
      </w:r>
      <w:r>
        <w:t xml:space="preserve">的风险层管理（MHC-B）；以及</w:t>
      </w:r>
      <w:r>
        <w:t xml:space="preserve"> </w:t>
      </w:r>
      <w:r>
        <w:rPr>
          <w:b/>
          <w:bCs/>
        </w:rPr>
        <w:t xml:space="preserve">gene/target-level A + variant-level B–C + T0–T1</w:t>
      </w:r>
      <w:r>
        <w:t xml:space="preserve"> </w:t>
      </w:r>
      <w: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pPr>
      <w: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pPr>
      <w: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pPr>
      <w:r>
        <w:t>参考文献</w:t>
      </w:r>
    </w:p>
    <w:p>
      <w:pPr>
        <w:pStyle w:val="BodyText"/>
      </w:pPr>
      <w:r>
        <w:t>Animal QTLdb. Chicken QTLdb summary data by year and release. Release 58 (Dec. 29, 2025). https://www.animalgenome.org/cgi-bin/QTLdb/GG/summary?statu=&amp;summ=year. Accessed May 31, 2026.</w:t>
      </w:r>
    </w:p>
    <w:p>
      <w:pPr>
        <w:pStyle w:val="BodyText"/>
      </w:pPr>
      <w:r>
        <w:t>Dorshorst, B., Molin, A.-M., Rubin, C.-J., et al. 2011. A complex genomic rearrangement involving the endothelin 3 locus causes dermal hyperpigmentation in the chicken. PLoS Genetics 7:e1002412. https://doi.org/10.1371/journal.pgen.1002412.</w:t>
      </w:r>
    </w:p>
    <w:p>
      <w:pPr>
        <w:pStyle w:val="BodyText"/>
      </w:pPr>
      <w:r>
        <w:t>Elferink, M. G., Vallee, A. A., Jungerius, A. P., Crooijmans, R. P. M. A., and Groenen, M. A. M. 2008. Partial duplication of the PRLR and SPEF2 genes at the late feathering locus in chicken. BMC Genomics 9:391. https://doi.org/10.1186/1471-2164-9-391.</w:t>
      </w:r>
    </w:p>
    <w:p>
      <w:pPr>
        <w:pStyle w:val="BodyText"/>
      </w:pPr>
      <w:r>
        <w:t>Eriksson, J., Larson, G., Gunnarsson, U., et al. 2008. Identification of the yellow skin gene reveals a hybrid origin of the domestic chicken. PLoS Genetics 4:e1000010. https://doi.org/10.1371/journal.pgen.1000010.</w:t>
      </w:r>
    </w:p>
    <w:p>
      <w:pPr>
        <w:pStyle w:val="BodyText"/>
      </w:pPr>
      <w:r>
        <w:t>Fleiss, J. L. 1971. Measuring nominal scale agreement among many raters. Psychological Bulletin 76:378-382. https://doi.org/10.1037/h0031619.</w:t>
      </w:r>
    </w:p>
    <w:p>
      <w:pPr>
        <w:pStyle w:val="BodyText"/>
      </w:pPr>
      <w:r>
        <w:t>Giambartolomei, C., Vukcevic, D., Schadt, E. E., et al. 2014. Bayesian test for colocalisation between pairs of genetic association studies using summary statistics. PLoS Genetics 10:e1004383. https://doi.org/10.1371/journal.pgen.1004383.</w:t>
      </w:r>
    </w:p>
    <w:p>
      <w:pPr>
        <w:pStyle w:val="BodyText"/>
      </w:pPr>
      <w:r>
        <w:t>Guyatt, G. H., Oxman, A. D., Vist, G. E., et al. 2008. GRADE: an emerging consensus on rating quality of evidence and strength of recommendations. BMJ 336:924-926. https://doi.org/10.1136/bmj.39489.470347.AD.</w:t>
      </w:r>
    </w:p>
    <w:p>
      <w:pPr>
        <w:pStyle w:val="BodyText"/>
      </w:pPr>
      <w:r>
        <w:t>Hormozdiari, F., van de Bunt, M., Segre, A. V., et al. 2016. Colocalization of GWAS and eQTL signals detects target genes. American Journal of Human Genetics 99:1245-1260. https://doi.org/10.1016/j.ajhg.2016.10.003.</w:t>
      </w:r>
    </w:p>
    <w:p>
      <w:pPr>
        <w:pStyle w:val="BodyText"/>
      </w:pPr>
      <w:r>
        <w:t>Hu, Z.-L., Park, C. A., and Reecy, J. M. 2016. Developmental progress and current status of the Animal QTLdb. Nucleic Acids Research 44:D827-D833. https://doi.org/10.1093/nar/gkv1233.</w:t>
      </w:r>
    </w:p>
    <w:p>
      <w:pPr>
        <w:pStyle w:val="BodyText"/>
      </w:pPr>
      <w:r>
        <w:t>Idoko-Akoh, A., Goldhill, D. H., Sheppard, C. M., et al. 2023. Creating resistance to avian influenza infection through genome editing of the ANP32 gene family. Nature Communications 14:6136. https://doi.org/10.1038/s41467-023-41476-3.</w:t>
      </w:r>
    </w:p>
    <w:p>
      <w:pPr>
        <w:pStyle w:val="BodyText"/>
      </w:pPr>
      <w:r>
        <w:t>Inoue, F., and Ahituv, N. 2015. Decoding enhancers using massively parallel reporter assays. Genomics 106:159-164. https://doi.org/10.1016/j.ygeno.2015.06.005.</w:t>
      </w:r>
    </w:p>
    <w:p>
      <w:pPr>
        <w:pStyle w:val="BodyText"/>
      </w:pPr>
      <w:r>
        <w:t>Kampmann, M. 2018. CRISPRi and CRISPRa screens in mammalian cells for precision biology and medicine. ACS Chemical Biology 13:406-416. https://doi.org/10.1021/acschembio.7b00657.</w:t>
      </w:r>
    </w:p>
    <w:p>
      <w:pPr>
        <w:pStyle w:val="BodyText"/>
      </w:pPr>
      <w:r>
        <w:t>McHugh, M. L. 2012. Interrater reliability: the kappa statistic. Biochemia Medica 22:276-282. https://doi.org/10.11613/BM.2012.031.</w:t>
      </w:r>
    </w:p>
    <w:p>
      <w:pPr>
        <w:pStyle w:val="BodyText"/>
      </w:pPr>
      <w:r>
        <w:t>Rehm, H. L., Berg, J. S., Brooks, L. D., et al. 2015. ClinGen--the Clinical Genome Resource. New England Journal of Medicine 372:2235-2242. https://doi.org/10.1056/NEJMsr1406261.</w:t>
      </w:r>
    </w:p>
    <w:p>
      <w:pPr>
        <w:pStyle w:val="BodyText"/>
      </w:pPr>
      <w:r>
        <w:t>Rice, E. S., Alberdi, A., Alfieri, J., et al. 2023. A pangenome graph reference of 30 chicken genomes allows genotyping of large and complex structural variants. BMC Biology 21:267. https://doi.org/10.1186/s12915-023-01758-0.</w:t>
      </w:r>
    </w:p>
    <w:p>
      <w:pPr>
        <w:pStyle w:val="BodyText"/>
      </w:pPr>
      <w: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BodyText"/>
      </w:pPr>
      <w:r>
        <w:t>Shen, L., Bai, X., Zhao, L., et al. 2024. Integrative 3D genomics with multi-omics analysis and functional validation of genetic regulatory mechanisms of abdominal fat deposition in chickens. Nature Communications 15:9274. https://doi.org/10.1038/s41467-024-53692-6.</w:t>
      </w:r>
    </w:p>
    <w:p>
      <w:pPr>
        <w:pStyle w:val="BodyText"/>
      </w:pPr>
      <w: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BodyText"/>
      </w:pPr>
      <w:r>
        <w:t>van de Lavoir, M.-C., Diamond, J. H., Leighton, P. A., et al. 2006. Germline transmission of genetically modified primordial germ cells. Nature 441:766-769. https://doi.org/10.1038/nature04831.</w:t>
      </w:r>
    </w:p>
    <w:p>
      <w:pPr>
        <w:pStyle w:val="BodyText"/>
      </w:pPr>
      <w:r>
        <w:t>Wang, D., Zhu, Y., Dong, J., Zhi, Y., Wei, G., Kang, X., and Liu, X. 2025. Exploring the functional variations of key candidate genes affecting egg production by hypothalamic-pituitary-ovarian axis in chickens. Poultry Science 104:105027. https://doi.org/10.1016/j.psj.2025.105027.</w:t>
      </w:r>
    </w:p>
    <w:p>
      <w:pPr>
        <w:pStyle w:val="BodyText"/>
      </w:pPr>
      <w:r>
        <w:t>Wang, Z., Qu, L., Yao, J., et al. 2013. An EAV-HP insertion in 5 flanking region of SLCO1B3 causes blue eggshell in the chicken. PLoS Genetics 9:e1003183. https://doi.org/10.1371/journal.pgen.1003183.</w:t>
      </w:r>
    </w:p>
    <w:p>
      <w:pPr>
        <w:pStyle w:val="BodyText"/>
      </w:pPr>
      <w:r>
        <w:t>Whyte, J., Glover, J. D., Woodcock, M., et al. 2015. FGF, insulin, and SMAD signaling cooperate for avian primordial germ cell self-renewal. Stem Cell Reports 5:1171-1182. https://doi.org/10.1016/j.stemcr.2015.10.008.</w:t>
      </w:r>
    </w:p>
    <w:p>
      <w:pPr>
        <w:pStyle w:val="BodyText"/>
      </w:pPr>
      <w:r>
        <w:t>Wright, D., Boije, H., Meadows, J. R. S., et al. 2009. Copy number variation in intron 1 of SOX5 causes the pea-comb phenotype in chickens. PLoS Genetics 5:e1000512. https://doi.org/10.1371/journal.pgen.1000512.</w:t>
      </w:r>
    </w:p>
    <w:p>
      <w:pPr>
        <w:pStyle w:val="BodyText"/>
      </w:pPr>
      <w:r>
        <w:t>Zhu, Z., Zhang, F., Hu, H., et al. 2016. Integration of summary data from GWAS and eQTL studies predicts complex trait gene targets. Nature Genetics 48:481-487. https://doi.org/10.1038/ng.3538.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