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 xml:space="preserve">7 瓶颈、未来方向与结论</w:t>
      </w:r>
    </w:p>
    <w:p>
      <w:pPr>
        <w:pStyle w:val="BodyText"/>
      </w:pPr>
      <w: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pPr>
      <w:r>
        <w:t xml:space="preserve">7.1 证据格局背后的三类瓶颈</w:t>
      </w:r>
    </w:p>
    <w:p>
      <w:pPr>
        <w:pStyle w:val="BodyText"/>
      </w:pPr>
      <w:r>
        <w:t xml:space="preserve">家鸡复杂经济性状证据上限偏低，不是研究投入不足的简单结果，而是三类结构性瓶颈共同作用的产物。</w:t>
      </w:r>
    </w:p>
    <w:p>
      <w:pPr>
        <w:pStyle w:val="BodyText"/>
      </w:pPr>
      <w: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pPr>
      <w: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pPr>
      <w: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pPr>
      <w:r>
        <w:t xml:space="preserve">7.2 最可能改变证据分布的方向</w:t>
      </w:r>
    </w:p>
    <w:p>
      <w:pPr>
        <w:pStyle w:val="BodyText"/>
      </w:pPr>
      <w:r>
        <w:t xml:space="preserve">与上述瓶颈相对，未来若干进展有可能系统性地改变家鸡候选位点的证据分布。它们的共同特征是：改变的不是候选信号的数量，而是证据沿四个维度向上移动的能力。</w:t>
      </w:r>
    </w:p>
    <w:p>
      <w:pPr>
        <w:pStyle w:val="BodyText"/>
      </w:pPr>
      <w: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pPr>
      <w: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pPr>
      <w: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pPr>
      <w: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pPr>
      <w:r>
        <w:t xml:space="preserve">7.3 结论</w:t>
      </w:r>
    </w:p>
    <w:p>
      <w:pPr>
        <w:pStyle w:val="BodyText"/>
      </w:pPr>
      <w: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pPr>
      <w: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pPr>
      <w: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pPr>
      <w:r>
        <w:t>参考文献</w:t>
      </w:r>
    </w:p>
    <w:p>
      <w:pPr>
        <w:pStyle w:val="BodyText"/>
      </w:pPr>
      <w:r>
        <w:t>Animal QTLdb. Chicken QTLdb summary data by year and release. Release 58 (Dec. 29, 2025). https://www.animalgenome.org/cgi-bin/QTLdb/GG/summary?statu=&amp;summ=year. Accessed May 31, 2026.</w:t>
      </w:r>
    </w:p>
    <w:p>
      <w:pPr>
        <w:pStyle w:val="BodyText"/>
      </w:pPr>
      <w:r>
        <w:t>Dorshorst, B., Molin, A.-M., Rubin, C.-J., et al. 2011. A complex genomic rearrangement involving the endothelin 3 locus causes dermal hyperpigmentation in the chicken. PLoS Genetics 7:e1002412. https://doi.org/10.1371/journal.pgen.1002412.</w:t>
      </w:r>
    </w:p>
    <w:p>
      <w:pPr>
        <w:pStyle w:val="BodyText"/>
      </w:pPr>
      <w:r>
        <w:t>Elferink, M. G., Vallee, A. A., Jungerius, A. P., Crooijmans, R. P. M. A., and Groenen, M. A. M. 2008. Partial duplication of the PRLR and SPEF2 genes at the late feathering locus in chicken. BMC Genomics 9:391. https://doi.org/10.1186/1471-2164-9-391.</w:t>
      </w:r>
    </w:p>
    <w:p>
      <w:pPr>
        <w:pStyle w:val="BodyText"/>
      </w:pPr>
      <w:r>
        <w:t>Eriksson, J., Larson, G., Gunnarsson, U., et al. 2008. Identification of the yellow skin gene reveals a hybrid origin of the domestic chicken. PLoS Genetics 4:e1000010. https://doi.org/10.1371/journal.pgen.1000010.</w:t>
      </w:r>
    </w:p>
    <w:p>
      <w:pPr>
        <w:pStyle w:val="BodyText"/>
      </w:pPr>
      <w:r>
        <w:t>Fleiss, J. L. 1971. Measuring nominal scale agreement among many raters. Psychological Bulletin 76:378-382. https://doi.org/10.1037/h0031619.</w:t>
      </w:r>
    </w:p>
    <w:p>
      <w:pPr>
        <w:pStyle w:val="BodyText"/>
      </w:pPr>
      <w:r>
        <w:t>Giambartolomei, C., Vukcevic, D., Schadt, E. E., et al. 2014. Bayesian test for colocalisation between pairs of genetic association studies using summary statistics. PLoS Genetics 10:e1004383. https://doi.org/10.1371/journal.pgen.1004383.</w:t>
      </w:r>
    </w:p>
    <w:p>
      <w:pPr>
        <w:pStyle w:val="BodyText"/>
      </w:pPr>
      <w:r>
        <w:t>Guyatt, G. H., Oxman, A. D., Vist, G. E., et al. 2008. GRADE: an emerging consensus on rating quality of evidence and strength of recommendations. BMJ 336:924-926. https://doi.org/10.1136/bmj.39489.470347.AD.</w:t>
      </w:r>
    </w:p>
    <w:p>
      <w:pPr>
        <w:pStyle w:val="BodyText"/>
      </w:pPr>
      <w:r>
        <w:t>Hormozdiari, F., van de Bunt, M., Segre, A. V., et al. 2016. Colocalization of GWAS and eQTL signals detects target genes. American Journal of Human Genetics 99:1245-1260. https://doi.org/10.1016/j.ajhg.2016.10.003.</w:t>
      </w:r>
    </w:p>
    <w:p>
      <w:pPr>
        <w:pStyle w:val="BodyText"/>
      </w:pPr>
      <w:r>
        <w:t>Hu, Z.-L., Park, C. A., and Reecy, J. M. 2016. Developmental progress and current status of the Animal QTLdb. Nucleic Acids Research 44:D827-D833. https://doi.org/10.1093/nar/gkv1233.</w:t>
      </w:r>
    </w:p>
    <w:p>
      <w:pPr>
        <w:pStyle w:val="BodyText"/>
      </w:pPr>
      <w:r>
        <w:t>Idoko-Akoh, A., Goldhill, D. H., Sheppard, C. M., et al. 2023. Creating resistance to avian influenza infection through genome editing of the ANP32 gene family. Nature Communications 14:6136. https://doi.org/10.1038/s41467-023-41476-3.</w:t>
      </w:r>
    </w:p>
    <w:p>
      <w:pPr>
        <w:pStyle w:val="BodyText"/>
      </w:pPr>
      <w:r>
        <w:t>Inoue, F., and Ahituv, N. 2015. Decoding enhancers using massively parallel reporter assays. Genomics 106:159-164. https://doi.org/10.1016/j.ygeno.2015.06.005.</w:t>
      </w:r>
    </w:p>
    <w:p>
      <w:pPr>
        <w:pStyle w:val="BodyText"/>
      </w:pPr>
      <w:r>
        <w:t>Kampmann, M. 2018. CRISPRi and CRISPRa screens in mammalian cells for precision biology and medicine. ACS Chemical Biology 13:406-416. https://doi.org/10.1021/acschembio.7b00657.</w:t>
      </w:r>
    </w:p>
    <w:p>
      <w:pPr>
        <w:pStyle w:val="BodyText"/>
      </w:pPr>
      <w:r>
        <w:t>McHugh, M. L. 2012. Interrater reliability: the kappa statistic. Biochemia Medica 22:276-282. https://doi.org/10.11613/BM.2012.031.</w:t>
      </w:r>
    </w:p>
    <w:p>
      <w:pPr>
        <w:pStyle w:val="BodyText"/>
      </w:pPr>
      <w:r>
        <w:t>Rehm, H. L., Berg, J. S., Brooks, L. D., et al. 2015. ClinGen--the Clinical Genome Resource. New England Journal of Medicine 372:2235-2242. https://doi.org/10.1056/NEJMsr1406261.</w:t>
      </w:r>
    </w:p>
    <w:p>
      <w:pPr>
        <w:pStyle w:val="BodyText"/>
      </w:pPr>
      <w:r>
        <w:t>Rice, E. S., Alberdi, A., Alfieri, J., et al. 2023. A pangenome graph reference of 30 chicken genomes allows genotyping of large and complex structural variants. BMC Biology 21:267. https://doi.org/10.1186/s12915-023-01758-0.</w:t>
      </w:r>
    </w:p>
    <w:p>
      <w:pPr>
        <w:pStyle w:val="BodyText"/>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BodyText"/>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BodyText"/>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BodyText"/>
      </w:pPr>
      <w:r>
        <w:t>van de Lavoir, M.-C., Diamond, J. H., Leighton, P. A., et al. 2006. Germline transmission of genetically modified primordial germ cells. Nature 441:766-769. https://doi.org/10.1038/nature04831.</w:t>
      </w:r>
    </w:p>
    <w:p>
      <w:pPr>
        <w:pStyle w:val="BodyText"/>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BodyText"/>
      </w:pPr>
      <w:r>
        <w:t>Wang, Z., Qu, L., Yao, J., et al. 2013. An EAV-HP insertion in 5 flanking region of SLCO1B3 causes blue eggshell in the chicken. PLoS Genetics 9:e1003183. https://doi.org/10.1371/journal.pgen.1003183.</w:t>
      </w:r>
    </w:p>
    <w:p>
      <w:pPr>
        <w:pStyle w:val="BodyText"/>
      </w:pPr>
      <w:r>
        <w:t>Whyte, J., Glover, J. D., Woodcock, M., et al. 2015. FGF, insulin, and SMAD signaling cooperate for avian primordial germ cell self-renewal. Stem Cell Reports 5:1171-1182. https://doi.org/10.1016/j.stemcr.2015.10.008.</w:t>
      </w:r>
    </w:p>
    <w:p>
      <w:pPr>
        <w:pStyle w:val="BodyText"/>
      </w:pPr>
      <w:r>
        <w:t>Wright, D., Boije, H., Meadows, J. R. S., et al. 2009. Copy number variation in intron 1 of SOX5 causes the pea-comb phenotype in chickens. PLoS Genetics 5:e1000512. https://doi.org/10.1371/journal.pgen.1000512.</w:t>
      </w:r>
    </w:p>
    <w:p>
      <w:pPr>
        <w:pStyle w:val="BodyText"/>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