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家鸡候选位点的证据成熟度分级、功能验证与育种转化：从主效表型到复杂经济性状</w:t>
      </w:r>
    </w:p>
    <w:p>
      <w:pPr>
        <w:jc w:val="center"/>
      </w:pPr>
      <w:r>
        <w:rPr>
          <w:rFonts w:ascii="Times New Roman" w:hAnsi="Times New Roman" w:eastAsia="Noto Serif CJK SC"/>
          <w:sz w:val="22"/>
        </w:rPr>
        <w:t>董一行</w:t>
      </w:r>
    </w:p>
    <w:p>
      <w:pPr>
        <w:ind w:firstLine="0"/>
      </w:pPr>
      <w:r>
        <w:t>摘要：家鸡基因组学研究已积累大量 GWAS、QTL、选择信号和多组学候选结果，但候选信号数量增加并不意味着因果机制明确或育种价值可用。本文提出 A/B/C 证据成熟度框架，将候选位点评价限定为四个证据维度——变异明确度、统计重复性与稳健性、分子机制支持和功能验证强度——并把目标育种群体、预测增益、多性状平衡、动物福利和监管可接受性置于独立的 T0/T1/T2 产业适用性轴。与既有多组学或候选基因综述不同，本文重点不是扩展候选基因清单，而是判断某一信号目前应作为 C 级线索、B/B+ 级验证优先对象，还是可作为 A 级强证据案例进入进一步转化评估。现有证据显示，SLCO1B3、BCDO2 和 EDN3 等自然变异案例可作为主效或寡基因表型的 A 级样板；IGF2BP1 启动子缺失更适合作为 B+ 或接近 A 级的结构变异证据模型，仍需目标群体和多性状评估；ANP32A 编辑研究属于基因/靶点层面的强功能证据，但其病毒逃逸、补偿通路、福利和监管问题应在产业轴上单独评估。本文据此比较生长、繁殖产蛋、蛋品质、抗病免疫、特色表型和地方适应信号，强调复杂经济性状长期改良仍应以 GS 和多性状选择指数为主干，MAS 和编辑应聚焦少数高可信主效位点、风险位点或关键功能靶点。</w:t>
      </w:r>
    </w:p>
    <w:p>
      <w:pPr>
        <w:ind w:firstLine="0"/>
      </w:pPr>
      <w:r>
        <w:rPr>
          <w:rFonts w:ascii="Times New Roman" w:hAnsi="Times New Roman" w:eastAsia="Noto Serif CJK SC"/>
        </w:rPr>
        <w:t>关键词：家鸡；复杂性状；候选位点；证据成熟度；精准育种</w:t>
      </w:r>
    </w:p>
    <w:p>
      <w:pPr>
        <w:pStyle w:val="Heading1"/>
      </w:pPr>
      <w:r>
        <w:rPr>
          <w:rFonts w:ascii="Times New Roman" w:hAnsi="Times New Roman" w:eastAsia="Noto Serif CJK SC"/>
        </w:rPr>
        <w:t>1 引言</w:t>
      </w:r>
    </w:p>
    <w:p>
      <w:pPr/>
      <w:r>
        <w:t>家鸡在肉类和蛋类供给中占有重要地位，是全球农业生产中最重要的家禽之一[1–2]。同时，鸡胚发育过程易观察、易操作，家鸡也因繁殖周期短、遗传资源丰富而长期用于发育生物学、农业遗传学和比较生物学研究[3–4]；近年来，鸡胚模型还被用于免疫相关研究[5]。这种食品动物和实验模型的双重属性，使家鸡复杂性状研究既面向生产效率、繁殖性能、蛋品质、抗病免疫和环境适应等育种需求，也能够借助基因组学、功能基因组学和基因编辑等工具推进机制解析。随着研究重心从候选区域发现转向因果解释和育种应用，当前更关键的问题不再是报告更多关联区间或候选基因，而是判断这些信号是否具有可重复、可解释、可验证并最终服务育种决策的证据基础。</w:t>
      </w:r>
    </w:p>
    <w:p>
      <w:pPr/>
      <w:r>
        <w:t>随着遗传图谱、参考基因组和高密度 SNP 分型平台的建立，家鸡复杂性状研究逐步从连锁分析和 QTL 定位进入全基因组关联分析阶段。早期分子标记研究为家禽遗传定位和标记辅助选择提供了工具基础[6]，微卫星图谱和共识连锁图谱进一步奠定了染色体定位框架[7–8]。随后，QTL 研究证明体型、脂肪沉积、蛋壳性状等生产性状能够被定位到特定染色体区段[9–12]。鸡参考基因组和全基因组 SNP 变异图谱的发布，为后续变异检测和跨研究比较提供了统一坐标[13–14]；高密度 SNP 连锁图谱以及 60K、600K SNP 芯片的建立，则显著提高了家鸡群体分型密度[15–17]。在此基础上，产蛋和蛋品质、抗体反应、肉品质等性状的 GWAS 研究相继报道了多个候选区域[18–20]。这些研究显著扩展了家鸡复杂性状的候选位点库，但多数结果仍停留在统计关联或邻近基因注释层面，为后续因果变异解析、功能验证和育种转化提出了新的证据要求。</w:t>
      </w:r>
    </w:p>
    <w:p>
      <w:pPr/>
      <w:r>
        <w:rPr>
          <w:rFonts w:ascii="Times New Roman" w:hAnsi="Times New Roman" w:eastAsia="Noto Serif CJK SC"/>
        </w:rPr>
        <w:t>然而，候选信号数量的增加并不等于因果机制已经明确。多数 GWAS 或 QTL 结果首先提供的是统计关联区间；在缺乏精细定位、独立重复、分子功能验证和目标群体验证时，显著 SNP 附近的邻近基因或高低表型组间的差异表达基因只能作为候选线索，而不宜直接写成因果基因。相较之下，少数案例已经形成了较完整的“变异—功能—表型”证据链。例如，IGF2BP1 启动子缺失通过泛基因组分析被发现，并与体型增大及转录活性变化相关[21]；SLCO1B3 5′侧翼区 EAV-HP 插入可导致其在壳腺中特异表达，从而解释蓝壳性状[22]；BCDO2 调控变异与黄色皮肤形成有关[23]；EDN3 复杂结构变异可通过异常表达导致纤维黑变[24]。此外，ANP32A 编辑研究提供了宿主因子影响禽流感病毒复制的体内功能证据，但这类强功能证据仍需与病原逃逸、遗传背景和产业转化风险分开评价[25]。这些案例共同说明，家鸡复杂性状研究需要从“报告候选区域”进一步转向“评价证据成熟度”。</w:t>
      </w:r>
    </w:p>
    <w:p>
      <w:pPr/>
      <w:r>
        <w:t>后关联阶段的新资源为候选信号的证据升级提供了条件，但它们的作用并不相同。泛基因组和图泛基因组能够突破单一参考基因组限制，尤其有助于发现结构变异、拷贝数变异、大片段插入缺失和参考序列缺失区域；IGF2BP1 启动子缺失和鸡图泛基因组研究分别说明，这类资源可以把部分候选区域推进到更明确的变异层面[21,26]。功能注释资源则主要用于解释非编码信号：FAANG 注释提供跨物种和家畜功能元件参考[27]，鸡调控元件图谱和多组织染色质开放图谱进一步为组织特异性调控解释提供依据[28–29]。在具体性状中，腹脂沉积研究展示了 3D 基因组、多组学整合和功能验证联合解析调控变异的价值[30]，产蛋性状研究提示非编码变异可通过下丘脑—垂体—卵巢轴相关基因调控影响繁殖表型[31]，ChickenGTEx 则为多组织表达遗传调控和分子 QTL 共定位提供了系统资源[32]。单细胞和细胞图谱进一步把候选基因解释推进到细胞类型层面，例如鸡胚性腺分化、卵巢左右不对称发育、骨骼肌发育和马立克氏病感染免疫反应等研究分别揭示了不同组织或疾病场景下的细胞异质性[33–36]。这些资源能够提高候选信号的解释力和验证优先级，但通常不能单独证明因果关系；真正的证据升级仍需要等位基因特异表达、报告基因、细胞模型、PGC 介导编辑、CRISPRa/i 扰动或体内模型等功能实验支持[37–39]。</w:t>
      </w:r>
    </w:p>
    <w:p>
      <w:pPr/>
      <w:r>
        <w:t>从育种转化角度看，候选位点的证据强度应决定其进入选择体系的方式。标记辅助选择更适合效应明确、检测方便且与目标表型稳定相关的主效变异或品种特征管理；早期分子标记研究为家禽 MAS 提供了方法基础，性连锁矮小等经典主效性状也说明少数明确位点可以被用于群体管理[6,40]。对于生长、饲料效率、产蛋持续性、肉质和抗病性等多基因复杂经济性状，基因组选择通常比单个位点选择更符合其遗传结构；其理论基础来自全基因组标记预测和数量遗传模型[41–42]，在家禽产业和产蛋性状预测中已有应用研究[43–44]，整合谱系和基因组信息的关系矩阵方法则为相关模型提供了基础[45]。基因编辑和 PGC 相关体系为机制明确的关键位点提供了更直接的功能验证和定向改造路径[37–39,46]，但编辑证据仍需经过目标群体、多性状、福利和监管评估后，才能进入实际育种决策。因而，MAS、GS 和基因编辑并非前后替代关系，而应分别对应不同证据等级和育种任务：MAS 管理少数强证据主效位点，GS 承担复杂经济性状的长期改良，基因编辑主要用于高可信位点验证和少数关键性状突破。</w:t>
      </w:r>
    </w:p>
    <w:p>
      <w:pPr/>
      <w:r>
        <w:t>本文采用叙述性综述与证据成熟度评价相结合的方式，而非系统综述或 meta 分析。文献检索主要覆盖 2004—2026 年正式发表或可检索的同行评议研究，检索入口包括 Web of Science、PubMed、Google Scholar、ScienceDirect 和主要期刊官网；关键词围绕 chicken、poultry、GWAS、QTL、pan-genome、structural variant、eQTL、single-cell、genome editing、genomic selection、egg production、feed efficiency 和 disease resistance 等方向展开，并结合 backward/forward citation tracking 补充关键研究。纳入原则是优先讨论能够提供代表性证据链、方法边界或育种转化信息的研究，而不是穷尽所有候选基因列表；排除原则包括仅有低分辨率候选区且缺少可解释证据、表型定义不清、群体结构控制不足、或与本文证据分级问题关联较弱的报道。对于作者本人或同组工作，本文按同一评分规则处理：例如 PHIP 非编码变异虽具有基因和细胞层面的机制线索，但缺少体内因果验证、商业群体稳定性和目标育种群体验证，因此在本文中保守判为 B 级，而不是 A 级或默认 B+。由此，本文关注的不是增加候选基因数量，而是把证据来源、证据强度和应用边界写清楚。</w:t>
      </w:r>
    </w:p>
    <w:p>
      <w:r>
        <w:t>为降低选择性叙述偏倚，本文对代表性位点采用同一四维评分口径：先判断变异或单倍型是否明确，再判断是否有独立重复或跨阶段支持，随后评价分子机制是否超越最近基因注释，最后区分报告基因/细胞模型等中等功能证据与内源编辑、自然突变/导入、体内模型或救援实验等强功能证据。代表性位点的 V1–V4 评分、A/B/C 等级、T 轴状态及“为何不能升为更高等级”的理由在表 3 中集中列出。需要强调的是，这一流程用于提高透明度和可复核性，并不等同于系统综述中的穷尽性筛选。</w:t>
      </w:r>
    </w:p>
    <w:p>
      <w:r>
        <w:t>需要首先明确的是，将统计关联与功能因果分层、按证据强度分级并非本文首创。人类遗传学中已经形成了 ACMG/AMP 变异致病性解释、ClinGen 基因—疾病关联有效性评价、post-GWAS 功能解析路线、ENCODE/IGVF 功能证据整合以及 Open Targets 证据打分等成熟体系[47–53]。本文的增量不在于发明新的证据哲学，而在于将这些思路显式转化到家禽育种语境：一是把品系背景异质性、地方品种结构和商业核心群体差异作为评价边界；二是把参考基因组偏倚、结构变异和泛基因组资源纳入候选位点评价；三是把 PGC 编辑可及性、体内功能验证、GS/MAS/编辑工具选择、动物福利和监管风险连接到同一决策语言。</w:t>
      </w:r>
    </w:p>
    <w:p>
      <w:r>
        <w:t>与近期家禽多组学、表型多样性或免疫遗传综述相比，本文也有不同定位。相关综述已经系统总结了生长调控多组学证据、家鸡表型多样性的遗传基础以及 MHC 与免疫性状的关系[54–56]；本文不重复铺陈所有资源和候选位点，而是以“证据分级—验证投入—育种工具选择”为主线，重点回答某一候选位点目前应被视为线索、验证优先对象，还是具备进入目标群体验证和转化评估的基础。换言之，本文的增量不是提出更多候选基因，而是把 discovery evidence、functional evidence 和 breeding applicability 明确分离，避免把 GWAS 邻近注释、差异表达或通路富集直接解释为因果位点或可用育种标记。</w:t>
      </w:r>
    </w:p>
    <w:p>
      <w:pPr/>
      <w:r>
        <w:t>本文的核心目标，是把“发现关联信号”与“证明功能变异”明确区分开来，并进一步建立候选位点证据成熟度与育种转化之间的对应关系。本文首先提出家鸡候选位点 A/B/C 证据成熟度框架，以变异明确度、统计重复性、分子机制支持和功能验证强度四个证据维度评价候选信号，并以独立的 T0/T1/T2 产业适用性轴记录目标育种群体验证和应用风险；随后梳理参考基因组、泛基因组、结构变异、功能注释、ChickenGTEx、单细胞和基因编辑等资源如何推动证据升级；再按生长与饲料效率、繁殖产蛋与蛋品质、抗病免疫、特色表型和地方适应等方向比较代表性位点的证据成熟度；最后讨论不同证据等级下 MAS、GS 和基因编辑的适用边界。通过这一框架，本文试图回答一个更接近育种决策的问题：在大量 GWAS、QTL、选择信号和多组学候选结果已经出现之后，哪些证据只能作为候选线索，哪些证据值得优先功能验证，哪些结果具备进一步进入目标育种群体验证和转化评估的基础。</w:t>
      </w:r>
    </w:p>
    <w:p>
      <w:pPr>
        <w:ind w:firstLine="0"/>
        <w:jc w:val="center"/>
      </w:pPr>
      <w:r>
        <w:rPr>
          <w:rFonts w:ascii="Times New Roman" w:hAnsi="Times New Roman" w:eastAsia="Noto Serif CJK SC"/>
          <w:i/>
          <w:color w:val="787878"/>
          <w:sz w:val="18"/>
        </w:rPr>
        <w:t>【图 1 占位：建议重绘为英文矢量图】</w:t>
      </w:r>
    </w:p>
    <w:p>
      <w:pPr>
        <w:pStyle w:val="Caption_CN"/>
      </w:pPr>
      <w:r>
        <w:t>图 1 家鸡候选信号的证据升级与育种转化流程。QTL、GWAS、选择扫描和重测序通常首先提供候选区域或候选变异；长读长测序、泛基因组和图泛基因组有助于补全结构变异、转座子插入、拷贝数变异和参考缺失序列；ChickenGTEx、染色质开放、三维基因组和单细胞图谱可增强组织、细胞类型和调控机制解释；报告基因、等位基因特异表达、细胞模型、PGC 介导编辑和体内模型则用于功能验证。A/B/C 证据轴描述变异—功能—表型证据链的成熟度，T0/T1/T2 产业适用性轴单独记录目标育种群体、多性状、福利、监管和经济风险。候选信号只有同时完成证据成熟度评价和产业适用性评估后，才适合进一步进入 MAS、GS 或基因编辑等育种转化流程。</w:t>
      </w:r>
    </w:p>
    <w:p>
      <w:pPr>
        <w:pStyle w:val="Heading1"/>
      </w:pPr>
      <w:r>
        <w:rPr>
          <w:rFonts w:ascii="Times New Roman" w:hAnsi="Times New Roman" w:eastAsia="Noto Serif CJK SC"/>
        </w:rPr>
        <w:t>2 候选位点证据成熟度框架：从关联信号到育种相关证据</w:t>
      </w:r>
    </w:p>
    <w:p>
      <w:pPr/>
      <w:r>
        <w:t>后关联阶段的核心问题，不是能否继续发现更多候选区域，而是如何判断这些候选信号的证据成熟度。若不区分统计关联、表达相关、调控解释、功能验证和目标群体育种价值，不同性状、不同研究和不同育种场景之间就很难比较。本文将候选位点的证据成熟度划分为 A、B、C 三档，用于区分强功能证据、重复性或机制性证据以及候选线索。为避免“目标群体适用性”既作为证据输入又作为应用前置条件造成循环，修订后的框架将 A/B/C 限定为四个证据维度，并把目标育种群体效应、预测增益、多性状平衡、动物福利、监管路径和市场接受度作为独立产业适用性轴处理。</w:t>
      </w:r>
    </w:p>
    <w:p>
      <w:pPr>
        <w:pStyle w:val="Heading2"/>
      </w:pPr>
      <w:r>
        <w:rPr>
          <w:rFonts w:ascii="Times New Roman" w:hAnsi="Times New Roman" w:eastAsia="Noto Serif CJK SC"/>
        </w:rPr>
        <w:t>2.1 评价维度与 A/B/C 分级</w:t>
      </w:r>
    </w:p>
    <w:p>
      <w:pPr/>
      <w:r>
        <w:t>为提高候选位点评价的透明度和可复核性，本文采用四个证据维度评估候选位点：变异明确度、统计重复性与稳健性、分子机制支持和功能验证强度。每个维度按 0/1/2 分离散评分：0 分表示缺失或仅有弱相关证据，1 分表示存在有限但尚不充分的支持，2 分表示达到较强或直接支持。目标育种群体适用性不再计入 A/B/C，而以 T0/T1/T2 后缀单独报告，用于记录产业应用风险。</w:t>
      </w:r>
    </w:p>
    <w:p>
      <w:pPr/>
      <w:r>
        <w:t>分级逻辑采用“硬性门槛 + 总分”的方式，而不是简单专家印象。C 级为默认等级：单一 GWAS、QTL、选择信号、差异表达、通路富集或最近基因注释，在缺少独立重复和功能支撑时均归为 C。B 级通常要求四个证据维度总分达到 4–6 分，并且至少具备统计重复性 1 分以及分子机制或功能验证 1 分；若总分较高但尚缺体内、内源或自然变异层面的强验证，可标为 B+，用于表示强验证优先级而非准 A 级。A 级要求总分通常达到 7 分以上，且必须具备内源编辑、自然突变/导入、体内模型、救援实验或等价强功能证据，即功能验证维度达到 2 分，并形成一致的“变异—功能—表型”链条。报告基因、普通过表达/敲低、细胞模型或 CRISPRa/i 阳性结果通常只能构成 B/B+ 证据，除非进一步证明内源变异或体内表型后果。</w:t>
      </w:r>
    </w:p>
    <w:p>
      <w:pPr/>
      <w:r>
        <w:t>需要强调的是，A/B/C 表示证据轴上的成熟度，不等同于商业应用成熟度。T0 表示尚未在目标育种群体中验证，T1 表示在一个目标群体或目标环境中初步验证了等位基因频率、效应方向或潜在风险，T2 表示完成跨世代、跨环境或真实育种流程中的预测增益、多性状、福利、监管和经济可行性评估。因此，一个位点可以被写作 A-T0、A-T1 或 B-T0。本文还区分 variant-level A evidence 与 gene/target-level A evidence：前者要求自然变异或单倍型与表型之间形成较完整证据链；后者可由编辑或体内模型证明基因功能，但不能自动等同于自然群体中的可育种变异。ANP32A 在基因/靶点层面可归为强功能证据，但其病毒逃逸、ANP32 家族补偿、动物福利和监管风险应在产业轴上单独说明，而不再使用将证据轴与产业轴合并的混合标签。</w:t>
      </w:r>
    </w:p>
    <w:p>
      <w:pPr>
        <w:pStyle w:val="Caption_CN"/>
        <w:ind w:firstLine="0"/>
      </w:pPr>
      <w:r>
        <w:t>表 1 家鸡候选位点证据成熟度评分表与产业适用性轴</w:t>
      </w:r>
    </w:p>
    <w:tbl>
      <w:tblPr>
        <w:tblStyle w:val="TableGrid"/>
        <w:tblW w:type="auto" w:w="0"/>
        <w:jc w:val="center"/>
        <w:tblLayout w:type="autofit"/>
        <w:tblLook w:firstColumn="1" w:firstRow="1" w:lastColumn="0" w:lastRow="0" w:noHBand="0" w:noVBand="1" w:val="04A0"/>
      </w:tblPr>
      <w:tblGrid>
        <w:gridCol w:w="1837"/>
        <w:gridCol w:w="1837"/>
        <w:gridCol w:w="1837"/>
        <w:gridCol w:w="1837"/>
        <w:gridCol w:w="1837"/>
      </w:tblGrid>
      <w:tr>
        <w:trPr>
          <w:tblHeader w:val="true"/>
          <w:cantSplit/>
        </w:trPr>
        <w:tc>
          <w:tcPr>
            <w:tcW w:type="dxa" w:w="1837"/>
            <w:vAlign w:val="center"/>
            <w:shd w:fill="D9EAF7"/>
          </w:tcPr>
          <w:p>
            <w:r>
              <w:rPr>
                <w:sz w:val="14"/>
              </w:rPr>
              <w:t>评分项</w:t>
            </w:r>
          </w:p>
        </w:tc>
        <w:tc>
          <w:tcPr>
            <w:tcW w:type="dxa" w:w="1837"/>
            <w:vAlign w:val="center"/>
            <w:shd w:fill="D9EAF7"/>
          </w:tcPr>
          <w:p>
            <w:r>
              <w:rPr>
                <w:sz w:val="14"/>
              </w:rPr>
              <w:t>0 分</w:t>
            </w:r>
          </w:p>
        </w:tc>
        <w:tc>
          <w:tcPr>
            <w:tcW w:type="dxa" w:w="1837"/>
            <w:vAlign w:val="center"/>
            <w:shd w:fill="D9EAF7"/>
          </w:tcPr>
          <w:p>
            <w:r>
              <w:rPr>
                <w:sz w:val="14"/>
              </w:rPr>
              <w:t>1 分</w:t>
            </w:r>
          </w:p>
        </w:tc>
        <w:tc>
          <w:tcPr>
            <w:tcW w:type="dxa" w:w="1837"/>
            <w:vAlign w:val="center"/>
            <w:shd w:fill="D9EAF7"/>
          </w:tcPr>
          <w:p>
            <w:r>
              <w:rPr>
                <w:sz w:val="14"/>
              </w:rPr>
              <w:t>2 分</w:t>
            </w:r>
          </w:p>
        </w:tc>
        <w:tc>
          <w:tcPr>
            <w:tcW w:type="dxa" w:w="1837"/>
            <w:vAlign w:val="center"/>
            <w:shd w:fill="D9EAF7"/>
          </w:tcPr>
          <w:p>
            <w:r>
              <w:rPr>
                <w:sz w:val="14"/>
              </w:rPr>
              <w:t>判定说明</w:t>
            </w:r>
          </w:p>
        </w:tc>
      </w:tr>
      <w:tr>
        <w:trPr>
          <w:cantSplit/>
        </w:trPr>
        <w:tc>
          <w:tcPr>
            <w:tcW w:type="dxa" w:w="1837"/>
            <w:vAlign w:val="center"/>
          </w:tcPr>
          <w:p>
            <w:r>
              <w:rPr>
                <w:sz w:val="14"/>
              </w:rPr>
              <w:t>V1 变异明确度</w:t>
            </w:r>
          </w:p>
        </w:tc>
        <w:tc>
          <w:tcPr>
            <w:tcW w:type="dxa" w:w="1837"/>
            <w:vAlign w:val="center"/>
          </w:tcPr>
          <w:p>
            <w:r>
              <w:rPr>
                <w:sz w:val="14"/>
              </w:rPr>
              <w:t>仅有关联区间、候选基因或最近基因注释；因果变异未知。</w:t>
            </w:r>
          </w:p>
        </w:tc>
        <w:tc>
          <w:tcPr>
            <w:tcW w:type="dxa" w:w="1837"/>
            <w:vAlign w:val="center"/>
          </w:tcPr>
          <w:p>
            <w:r>
              <w:rPr>
                <w:sz w:val="14"/>
              </w:rPr>
              <w:t>存在可信候选变异、单倍型或结构变异，但 LD、分型或因果方向仍未充分排除。</w:t>
            </w:r>
          </w:p>
        </w:tc>
        <w:tc>
          <w:tcPr>
            <w:tcW w:type="dxa" w:w="1837"/>
            <w:vAlign w:val="center"/>
          </w:tcPr>
          <w:p>
            <w:r>
              <w:rPr>
                <w:sz w:val="14"/>
              </w:rPr>
              <w:t>具体等位变异、结构变异或单倍型明确，分型可靠，效应方向清楚。</w:t>
            </w:r>
          </w:p>
        </w:tc>
        <w:tc>
          <w:tcPr>
            <w:tcW w:type="dxa" w:w="1837"/>
            <w:vAlign w:val="center"/>
          </w:tcPr>
          <w:p>
            <w:r>
              <w:rPr>
                <w:sz w:val="14"/>
              </w:rPr>
              <w:t>A 级至少要求 V1≥1；主效结构变异若同时有功能证据可计 2 分。</w:t>
            </w:r>
          </w:p>
        </w:tc>
      </w:tr>
      <w:tr>
        <w:trPr>
          <w:cantSplit/>
        </w:trPr>
        <w:tc>
          <w:tcPr>
            <w:tcW w:type="dxa" w:w="1837"/>
            <w:vAlign w:val="center"/>
          </w:tcPr>
          <w:p>
            <w:r>
              <w:rPr>
                <w:sz w:val="14"/>
              </w:rPr>
              <w:t>V2 统计重复性与稳健性</w:t>
            </w:r>
          </w:p>
        </w:tc>
        <w:tc>
          <w:tcPr>
            <w:tcW w:type="dxa" w:w="1837"/>
            <w:vAlign w:val="center"/>
          </w:tcPr>
          <w:p>
            <w:r>
              <w:rPr>
                <w:sz w:val="14"/>
              </w:rPr>
              <w:t>单一群体或单一研究；样本量、表型定义或群体结构控制不足。</w:t>
            </w:r>
          </w:p>
        </w:tc>
        <w:tc>
          <w:tcPr>
            <w:tcW w:type="dxa" w:w="1837"/>
            <w:vAlign w:val="center"/>
          </w:tcPr>
          <w:p>
            <w:r>
              <w:rPr>
                <w:sz w:val="14"/>
              </w:rPr>
              <w:t>一个独立群体、相关性状/阶段、同研究跨批次或有限外部重复支持，方向基本一致。</w:t>
            </w:r>
          </w:p>
        </w:tc>
        <w:tc>
          <w:tcPr>
            <w:tcW w:type="dxa" w:w="1837"/>
            <w:vAlign w:val="center"/>
          </w:tcPr>
          <w:p>
            <w:r>
              <w:rPr>
                <w:sz w:val="14"/>
              </w:rPr>
              <w:t>≥2 个独立群体、研究或世代重复，方向一致，并明确控制群体结构和主要混杂因素。</w:t>
            </w:r>
          </w:p>
        </w:tc>
        <w:tc>
          <w:tcPr>
            <w:tcW w:type="dxa" w:w="1837"/>
            <w:vAlign w:val="center"/>
          </w:tcPr>
          <w:p>
            <w:r>
              <w:rPr>
                <w:sz w:val="14"/>
              </w:rPr>
              <w:t>B 级通常要求 V2≥1；方向不一致或表型不可比时不计重复性分。</w:t>
            </w:r>
          </w:p>
        </w:tc>
      </w:tr>
      <w:tr>
        <w:trPr>
          <w:cantSplit/>
        </w:trPr>
        <w:tc>
          <w:tcPr>
            <w:tcW w:type="dxa" w:w="1837"/>
            <w:vAlign w:val="center"/>
          </w:tcPr>
          <w:p>
            <w:r>
              <w:rPr>
                <w:sz w:val="14"/>
              </w:rPr>
              <w:t>V3 分子机制支持</w:t>
            </w:r>
          </w:p>
        </w:tc>
        <w:tc>
          <w:tcPr>
            <w:tcW w:type="dxa" w:w="1837"/>
            <w:vAlign w:val="center"/>
          </w:tcPr>
          <w:p>
            <w:r>
              <w:rPr>
                <w:sz w:val="14"/>
              </w:rPr>
              <w:t>仅最近基因、通路富集或普通表达差异；无等位基因层面证据。</w:t>
            </w:r>
          </w:p>
        </w:tc>
        <w:tc>
          <w:tcPr>
            <w:tcW w:type="dxa" w:w="1837"/>
            <w:vAlign w:val="center"/>
          </w:tcPr>
          <w:p>
            <w:r>
              <w:rPr>
                <w:sz w:val="14"/>
              </w:rPr>
              <w:t>目标组织/细胞类型表达、开放染色质、3D 互作、调控元件或发育阶段证据与候选信号相符。</w:t>
            </w:r>
          </w:p>
        </w:tc>
        <w:tc>
          <w:tcPr>
            <w:tcW w:type="dxa" w:w="1837"/>
            <w:vAlign w:val="center"/>
          </w:tcPr>
          <w:p>
            <w:r>
              <w:rPr>
                <w:sz w:val="14"/>
              </w:rPr>
              <w:t>与 eQTL/sQTL/mQTL 等存在统计学共定位，或有方向一致的 ASE/等位调控证据；例如 coloc PP4≥0.8 或 SMR/HEIDI 支持[57–58]。</w:t>
            </w:r>
          </w:p>
        </w:tc>
        <w:tc>
          <w:tcPr>
            <w:tcW w:type="dxa" w:w="1837"/>
            <w:vAlign w:val="center"/>
          </w:tcPr>
          <w:p>
            <w:r>
              <w:rPr>
                <w:sz w:val="14"/>
              </w:rPr>
              <w:t>空间重叠不能单独使 C 升 B；必须证明同一或高度一致的遗传信号。</w:t>
            </w:r>
          </w:p>
        </w:tc>
      </w:tr>
      <w:tr>
        <w:trPr>
          <w:cantSplit/>
        </w:trPr>
        <w:tc>
          <w:tcPr>
            <w:tcW w:type="dxa" w:w="1837"/>
            <w:vAlign w:val="center"/>
          </w:tcPr>
          <w:p>
            <w:r>
              <w:rPr>
                <w:sz w:val="14"/>
              </w:rPr>
              <w:t>V4 功能验证强度</w:t>
            </w:r>
          </w:p>
        </w:tc>
        <w:tc>
          <w:tcPr>
            <w:tcW w:type="dxa" w:w="1837"/>
            <w:vAlign w:val="center"/>
          </w:tcPr>
          <w:p>
            <w:r>
              <w:rPr>
                <w:sz w:val="14"/>
              </w:rPr>
              <w:t>无扰动实验；仅相关性观察。</w:t>
            </w:r>
          </w:p>
        </w:tc>
        <w:tc>
          <w:tcPr>
            <w:tcW w:type="dxa" w:w="1837"/>
            <w:vAlign w:val="center"/>
          </w:tcPr>
          <w:p>
            <w:r>
              <w:rPr>
                <w:sz w:val="14"/>
              </w:rPr>
              <w:t>报告基因、MPRA、过表达/敲低、细胞模型、体外病毒复制或 CRISPRa/i 筛选支持。</w:t>
            </w:r>
          </w:p>
        </w:tc>
        <w:tc>
          <w:tcPr>
            <w:tcW w:type="dxa" w:w="1837"/>
            <w:vAlign w:val="center"/>
          </w:tcPr>
          <w:p>
            <w:r>
              <w:rPr>
                <w:sz w:val="14"/>
              </w:rPr>
              <w:t>内源变异编辑、自然突变/导入、PGC 编辑、体内模型或救援实验能连接分子效应与表型。</w:t>
            </w:r>
          </w:p>
        </w:tc>
        <w:tc>
          <w:tcPr>
            <w:tcW w:type="dxa" w:w="1837"/>
            <w:vAlign w:val="center"/>
          </w:tcPr>
          <w:p>
            <w:r>
              <w:rPr>
                <w:sz w:val="14"/>
              </w:rPr>
              <w:t>A 级必须 V4=2 或具有等价强功能证据；体外阳性通常只能支撑 B/B+。</w:t>
            </w:r>
          </w:p>
        </w:tc>
      </w:tr>
      <w:tr>
        <w:trPr>
          <w:cantSplit/>
        </w:trPr>
        <w:tc>
          <w:tcPr>
            <w:tcW w:type="dxa" w:w="1837"/>
            <w:vAlign w:val="center"/>
          </w:tcPr>
          <w:p>
            <w:r>
              <w:rPr>
                <w:sz w:val="14"/>
              </w:rPr>
              <w:t>T 产业适用性轴（不计入 A/B/C）</w:t>
            </w:r>
          </w:p>
        </w:tc>
        <w:tc>
          <w:tcPr>
            <w:tcW w:type="dxa" w:w="1837"/>
            <w:vAlign w:val="center"/>
          </w:tcPr>
          <w:p>
            <w:r>
              <w:rPr>
                <w:sz w:val="14"/>
              </w:rPr>
              <w:t>T0：目标育种群体中未验证。</w:t>
            </w:r>
          </w:p>
        </w:tc>
        <w:tc>
          <w:tcPr>
            <w:tcW w:type="dxa" w:w="1837"/>
            <w:vAlign w:val="center"/>
          </w:tcPr>
          <w:p>
            <w:r>
              <w:rPr>
                <w:sz w:val="14"/>
              </w:rPr>
              <w:t>T1：在一个目标群体或目标环境中初步验证等位基因频率、效应或风险。</w:t>
            </w:r>
          </w:p>
        </w:tc>
        <w:tc>
          <w:tcPr>
            <w:tcW w:type="dxa" w:w="1837"/>
            <w:vAlign w:val="center"/>
          </w:tcPr>
          <w:p>
            <w:r>
              <w:rPr>
                <w:sz w:val="14"/>
              </w:rPr>
              <w:t>T2：跨世代、跨环境或真实育种流程验证，并评估预测增益、多性状、福利、监管和经济权重。</w:t>
            </w:r>
          </w:p>
        </w:tc>
        <w:tc>
          <w:tcPr>
            <w:tcW w:type="dxa" w:w="1837"/>
            <w:vAlign w:val="center"/>
          </w:tcPr>
          <w:p>
            <w:r>
              <w:rPr>
                <w:sz w:val="14"/>
              </w:rPr>
              <w:t>报告格式如 A-T0、B-T1；T 轴决定应用风险，不改变证据轴等级。</w:t>
            </w:r>
          </w:p>
        </w:tc>
      </w:tr>
    </w:tbl>
    <w:p>
      <w:pPr>
        <w:pStyle w:val="Caption_CN"/>
        <w:ind w:firstLine="0"/>
      </w:pPr>
      <w:r>
        <w:t>注：C 级通常为总分 0–3 分或仅有单一发现信号；B 级通常为总分 4–6 分，且 V2≥1 并具备 V3 或 V4 支持；B+ 用于总分较高、机制证据较强但缺少内源、体内或自然变异层面强验证的候选位点；variant-level A 通常要求总分≥7 分、V4=2 且“变异—功能—表型”链条一致；gene/target-level A 可由体内编辑或强扰动证据支持，但必须单独说明其不是自然变异育种可用性的直接证明。上述规则用于提高透明度，不替代研究者对表型质量、群体结构和生物学合理性的记录与审查。</w:t>
      </w:r>
    </w:p>
    <w:p>
      <w:pPr>
        <w:pStyle w:val="Heading2"/>
      </w:pPr>
      <w:r>
        <w:rPr>
          <w:rFonts w:ascii="Times New Roman" w:hAnsi="Times New Roman" w:eastAsia="Noto Serif CJK SC"/>
        </w:rPr>
        <w:t>2.2 代表性证据层级与边界案例</w:t>
      </w:r>
    </w:p>
    <w:p>
      <w:pPr/>
      <w:r>
        <w:rPr>
          <w:rFonts w:ascii="Times New Roman" w:hAnsi="Times New Roman" w:eastAsia="Noto Serif CJK SC"/>
        </w:rPr>
        <w:t>这一框架的意义，不在于简单给候选位点贴上 A、B、C 标签，而在于把不同研究结果从“可报道”推进到“可判断”。显著 SNP 附近存在候选基因，并不说明该基因就是因果基因；某个基因在高低表型组之间差异表达，也不能直接证明其驱动表型形成。更稳妥的做法，是先判断证据成熟度，再决定后续验证强度和育种转化路径。</w:t>
      </w:r>
    </w:p>
    <w:p>
      <w:pPr/>
      <w:r>
        <w:t>A 级证据代表强功能支持，但不等于无条件育种可用。对于自然变异位点，A 级通常要求相对明确的候选变异或单倍型，并在表达、调控活性、组织特异性、自然突变、体内模型或编辑实验中获得功能支持。SLCO1B3 5′侧翼区 EAV-HP 插入可导致其在壳腺中特异表达，从而解释蓝壳性状[22]；BCDO2 调控变异与黄色皮肤形成有关[23]；EDN3 复杂结构变异可通过异常表达导致纤维黑变[24]。这些案例的共同点不是“显著区域附近有候选基因”，而是变异类型、功能后果和表型联系相对清楚。IGF2BP1 启动子缺失通过泛基因组分析被发现，并与体型增大及转录活性变化相关[21]，可作为结构变异证据升级的 B+ 或接近 A 级样板；但若严格执行 V4=2 门槛，在缺少内源编辑、导入或更强体内因果验证前，不宜与 SLCO1B3、BCDO2 或 EDN3 完全等同。ANP32A 编辑研究也提供了宿主因子影响禽流感病毒复制的强功能证据[25]，因此可作为 gene/target-level A；但其广谱性、病毒逃逸、补偿机制和监管可接受性属于 T 轴问题，不应混入 A/B/C 证据等级。</w:t>
      </w:r>
    </w:p>
    <w:p>
      <w:pPr/>
      <w:r>
        <w:t>B 级证据的价值在于提高验证优先级，而不是直接给出确定性因果结论。PHIP 内含子 chr3:79510218A&gt;T 属于产蛋性状中机制线索较强的非编码候选变异[31]；PRLR 附近区域、NCAPG-FAM184B 区段和部分 GGAZ 信号在产蛋相关 GWAS 中具有一定重复性[59–60]；rs734209466–IGFBP2/IGFBP5 调控链为腹脂沉积提供了多组学和细胞证据[30]；MHC-B 相关单倍型在多种疾病或免疫结局中反复出现[54,61–63]。这些信号可归为 B 级或 B+ 级证据，适合作为精细定位、跨群体验证、GS 加权先验和功能实验优先对象。需要注意的是，PHIP 虽然机制线索较强，但目前主要为基因和细胞层面的证据，尚缺体内因果验证、商业群体稳定性和目标育种群体效应评估，因此本文保守判为 B，而不是 B+ 或 A。</w:t>
      </w:r>
    </w:p>
    <w:p>
      <w:pPr/>
      <w:r>
        <w:t>C 级证据并非没有价值，但它主要提供机制假设和后续实验入口。单一 GWAS、单一 QTL、单一 RNA-seq、选择信号、通路富集或低分辨率候选区都可能帮助构建候选基因集合；问题在于，这类结果通常缺少跨群体重复、变异解析和功能支撑，不能直接用于育种决策。ChickenGTEx、单细胞图谱、染色质开放图谱和 3D 基因组资源可以提高 C 级信号的解释力，但这些资源本身不应被简单包装成因果证明。更合理的用法，是先检验候选信号是否与目标组织或目标细胞类型中的分子 QTL、ASE、染色质状态或扰动结果形成统计学一致的证据链，而不是仅凭“附近有开放染色质”或“该细胞类型表达”就升级。</w:t>
      </w:r>
    </w:p>
    <w:p>
      <w:pPr>
        <w:pStyle w:val="Heading2"/>
      </w:pPr>
      <w:r>
        <w:rPr>
          <w:rFonts w:ascii="Times New Roman" w:hAnsi="Times New Roman" w:eastAsia="Noto Serif CJK SC"/>
        </w:rPr>
        <w:t>2.3 证据成熟度与后续研究投入</w:t>
      </w:r>
    </w:p>
    <w:p>
      <w:pPr/>
      <w:r>
        <w:t>证据成熟度应直接服务于研究设计和育种风险控制。对 C 级结果，后续重点应放在扩大样本量、标准化表型、跨群体重复和严格的多组学共定位上；对 B/B+ 结果，重点是精细定位、等位基因特异表达、报告基因、细胞模型、PGC 介导编辑或 CRISPRa/i 扰动；对 A 级结果，重点不再是证明该变异“有功能”，而是进入 T 轴评估，包括目标群体效应、预测增益、多性状平衡、遗传多样性、动物福利和监管可接受性。</w:t>
      </w:r>
    </w:p>
    <w:p>
      <w:pPr/>
      <w:r>
        <w:t>因此，A/B/C 分级不只是文献归类工具，而是一套把证据强度和后续投入显式对应起来的决策语言。每个被评估位点原则上应同时报告四维得分和 T 轴状态，例如 PHIP 可写作 B[(V1=1,V2=1,V3=2,V4=1)-T0/T1]，IGF2BP1 可写作 B+[(V1=2,V2=1,V3=2,V4=1)-T1]，ANP32A 可写作 gene/target-level A[(V1=2,V2=1,V3=1,V4=2)-T0/T1 high risk]。这种写法能解释为什么某一维证据强但另一维不足时不能机械升级，也能避免把“目标群体尚未验证”同时作为扣分项和产业前置条件。</w:t>
      </w:r>
    </w:p>
    <w:p>
      <w:pPr>
        <w:pStyle w:val="Heading2"/>
      </w:pPr>
      <w:r>
        <w:t>2.4 框架限制、盲分级与评估者一致性</w:t>
      </w:r>
    </w:p>
    <w:p>
      <w:r>
        <w:t>需要承认的是，本文目前提供的是叙述性综述中的操作性 rubric，而不是已经完成外部验证的客观量表。全文代表性案例的分级由作者依据公开文献、表 1 规则和表 3 的逐项评分给出，尚未经过多名独立评估者对同一位点集的盲分级和一致性检验。因此，本文将框架定位为“提高透明度和可复核性的启发式判断辅助”，而不是已验证的客观量表。若后续将该框架用于数据库建设、指南制定或正式标注，建议预先注册评分规则，选取至少 15–20 个覆盖主效表型、产蛋、生长、饲料效率和抗病性状的位点，由 ≥2 位独立评估者盲法评分，报告加权 Cohen’s kappa、组内相关系数或分歧仲裁记录。只有在评估者间一致性达到可接受水平后，才能把该框架进一步称为稳定的评价量表。</w:t>
      </w:r>
    </w:p>
    <w:p>
      <w:pPr>
        <w:ind w:firstLine="0"/>
        <w:jc w:val="center"/>
      </w:pPr>
      <w:r>
        <w:rPr>
          <w:rFonts w:ascii="Times New Roman" w:hAnsi="Times New Roman" w:eastAsia="Noto Serif CJK SC"/>
          <w:i/>
          <w:color w:val="787878"/>
          <w:sz w:val="18"/>
        </w:rPr>
        <w:t>【图 2 占位：建议重绘为英文矢量图或决策树】</w:t>
      </w:r>
    </w:p>
    <w:p>
      <w:pPr>
        <w:pStyle w:val="Caption_CN"/>
      </w:pPr>
      <w:r>
        <w:t>图 2 证据等级—工具选择的双轴决策图。横轴为 A/B/C 证据成熟度，基于变异明确度、统计重复性、分子机制支持和功能验证强度四个维度评分；纵轴为 T0/T1/T2 产业适用性，记录目标育种群体效应、预测增益、多性状平衡、动物福利、监管路径和市场接受度。C 级主要用于提出候选线索，B/B+ 级用于精细定位、功能实验优先级排序和 GS 加权先验，variant-level A 才进入功能标记、主效位点管理或编辑靶点评估。SLCO1B3、BCDO2 和 EDN3 可作为主效或寡基因表型的 variant-level A 样板；IGF2BP1 更适合作为 B+ 或接近 A 级的结构变异证据模型；PHIP、MHC-B、rs734209466–IGFBP2/IGFBP5 等多为 B/B+ 级验证优先对象；ANP32A 属于 gene/target-level A，但产业轴仍需单独标注高风险。</w:t>
      </w:r>
    </w:p>
    <w:p>
      <w:pPr>
        <w:pStyle w:val="Heading1"/>
      </w:pPr>
      <w:r>
        <w:rPr>
          <w:rFonts w:ascii="Times New Roman" w:hAnsi="Times New Roman" w:eastAsia="Noto Serif CJK SC"/>
        </w:rPr>
        <w:t>3 家鸡遗传解析资源：从候选发现到证据升级</w:t>
      </w:r>
    </w:p>
    <w:p>
      <w:pPr/>
      <w:r>
        <w:rPr>
          <w:rFonts w:ascii="Times New Roman" w:hAnsi="Times New Roman" w:eastAsia="Noto Serif CJK SC"/>
        </w:rPr>
        <w:t>家鸡复杂性状研究已从低密度标记和单一候选基因分析，进入全基因组变异发现、多组学注释和功能验证共同参与的阶段。本章不再按技术发展史展开，而是按照证据链环节归纳关键资源的作用：QTL、GWAS、选择扫描和重测序主要用于发现候选信号；长读长测序、泛基因组和图泛基因组有助于补全结构变异和参考缺失序列；功能注释、ChickenGTEx、染色质开放、三维基因组和单细胞图谱则用于解释候选变异可能发生作用的组织、细胞类型和调控机制。换言之，这些资源的核心价值不是简单增加候选基因数量，而是帮助候选信号从 C 级线索逐步进入 B 级机制支持，甚至为后续 A 级功能验证提供靶点。</w:t>
      </w:r>
    </w:p>
    <w:p>
      <w:pPr>
        <w:pStyle w:val="Heading2"/>
      </w:pPr>
      <w:r>
        <w:rPr>
          <w:rFonts w:ascii="Times New Roman" w:hAnsi="Times New Roman" w:eastAsia="Noto Serif CJK SC"/>
        </w:rPr>
        <w:t>3.1 从 QTL/GWAS 信号到待验证候选位点</w:t>
      </w:r>
    </w:p>
    <w:p>
      <w:pPr/>
      <w:r>
        <w:rPr>
          <w:rFonts w:ascii="Times New Roman" w:hAnsi="Times New Roman" w:eastAsia="Noto Serif CJK SC"/>
        </w:rPr>
        <w:t>QTL 和 GWAS 仍是家鸡复杂性状候选信号发现的基础工具。QTL 定位依赖实验群体中的重组事件，能够证明体型、脂肪沉积、蛋壳质量和免疫反应等性状具有可定位遗传基础[9–12]；GWAS 则利用自然群体或育种群体中的历史重组，在更高分辨率上识别与生产、繁殖、肉质、蛋品质、抗病和适应性相关的关联信号[18–20]。因此，QTL 和 GWAS 的主要贡献是确定“哪里可能存在遗传信号”，而不是直接证明“哪个变异导致了表型”。</w:t>
      </w:r>
    </w:p>
    <w:p>
      <w:pPr/>
      <w:r>
        <w:rPr>
          <w:rFonts w:ascii="Times New Roman" w:hAnsi="Times New Roman" w:eastAsia="Noto Serif CJK SC"/>
        </w:rPr>
        <w:t>这类统计关联结果通常应被视为 C 级或 C/B 级证据。传统 QTL 候选区间受群体规模、重组次数和标记密度限制，往往包含大量基因；GWAS 虽然分辨率更高，但仍容易受到连锁不平衡、群体结构、样本量、表型定义和环境差异影响。尤其在家鸡中，商业品系、地方品种、实验资源群体和野生近缘群体的遗传背景差异较大，同一显著区域在不同群体中未必具有相同因果变异。因此，显著 SNP 附近最近基因、候选区间内功能相关基因或高低表型组差异表达基因，只能作为后续验证入口，而不应直接写成因果基因。</w:t>
      </w:r>
    </w:p>
    <w:p>
      <w:pPr/>
      <w:r>
        <w:rPr>
          <w:rFonts w:ascii="Times New Roman" w:hAnsi="Times New Roman" w:eastAsia="Noto Serif CJK SC"/>
        </w:rPr>
        <w:t>从证据升级角度看，QTL/GWAS 结果需要通过三个步骤提高可信度：第一，跨群体、跨研究或相关性状重复，以排除单一群体偶然信号；第二，与结构变异、表达数量性状位点、染色质开放、三维互作或细胞类型表达证据共定位，以提高机制合理性；第三，通过等位基因特异表达、报告基因、细胞模型、内源编辑或体内模型验证功能后果。只有完成这些步骤后，候选信号才可能从 C 级候选线索升级为 B 级机制证据，甚至进一步进入 A 级功能支持证据。</w:t>
      </w:r>
    </w:p>
    <w:p>
      <w:pPr>
        <w:pStyle w:val="Heading2"/>
      </w:pPr>
      <w:r>
        <w:rPr>
          <w:rFonts w:ascii="Times New Roman" w:hAnsi="Times New Roman" w:eastAsia="Noto Serif CJK SC"/>
        </w:rPr>
        <w:t>3.2 参考基因组、泛基因组与结构变异</w:t>
      </w:r>
    </w:p>
    <w:p>
      <w:pPr/>
      <w:r>
        <w:t>参考基因组为家鸡遗传解析提供了统一坐标。2004 年发布的鸡参考基因组和全基因组 SNP 图谱，为后续变异检测、芯片开发和跨研究比较奠定了基础[13–14]；随后，长读长测序、Hi-C 和光学图谱等技术进一步提高了家鸡参考组装连续性和注释完整性[64]。不过，单一线性参考基因组仍不能完全代表家鸡内部丰富的遗传背景。商业肉鸡、蛋鸡、地方鸡、观赏鸡、红原鸡及其他野生近缘类群之间存在大量可变序列，常规 SNP 芯片和短读长比对容易低估插入、缺失、拷贝数变异、倒位、转座子插入和参考缺失序列。</w:t>
      </w:r>
    </w:p>
    <w:p>
      <w:pPr/>
      <w:r>
        <w:rPr>
          <w:rFonts w:ascii="Times New Roman" w:hAnsi="Times New Roman" w:eastAsia="Noto Serif CJK SC"/>
        </w:rPr>
        <w:t>结构变异在家鸡复杂性状中不应被视为 SNP 分析后的补充材料，而应作为重要变异类别纳入解析。许多主效表型或强效调控案例本身就与插入、缺失、拷贝数变化或复杂重排有关，例如 SLCO1B3 附近 EAV-HP 插入、EDN3 复杂结构变异以及 IGF2BP1 启动子缺失等。尤其是 IGF2BP1 启动子缺失案例表明，影响商业肉鸡体型的关键变异可能隐藏在传统 SNP 芯片和单一参考基因组不易捕获的序列空间中[21]。</w:t>
      </w:r>
    </w:p>
    <w:p>
      <w:pPr/>
      <w:r>
        <w:rPr>
          <w:rFonts w:ascii="Times New Roman" w:hAnsi="Times New Roman" w:eastAsia="Noto Serif CJK SC"/>
        </w:rPr>
        <w:t>泛基因组和图泛基因组正是为了减轻参考偏倚而出现。鸡泛基因组研究揭示了家鸡群体中广泛存在的基因内容变异和参考缺失序列，并鉴定出与体型相关的 IGF2BP1 启动子缺失[21]；图泛基因组进一步通过多参考路径表示复杂变异，可降低短读长比对中的参考偏倚，提高大型和复杂结构变异分型能力[26]。因此，在后关联阶段，泛基因组和结构变异资源的作用不是单纯发现更多“新候选基因”，而是把部分低分辨率候选区域推进到更明确的变异层面。它们通常可以把 C 级关联信号升级为更强的 B 级候选证据，但是否进入 A 级仍取决于后续功能验证。</w:t>
      </w:r>
    </w:p>
    <w:p>
      <w:pPr>
        <w:pStyle w:val="Heading2"/>
      </w:pPr>
      <w:r>
        <w:rPr>
          <w:rFonts w:ascii="Times New Roman" w:hAnsi="Times New Roman" w:eastAsia="Noto Serif CJK SC"/>
        </w:rPr>
        <w:t>3.3 功能注释、ChickenGTEx 与细胞类型证据</w:t>
      </w:r>
    </w:p>
    <w:p>
      <w:pPr/>
      <w:r>
        <w:rPr>
          <w:rFonts w:ascii="Times New Roman" w:hAnsi="Times New Roman" w:eastAsia="Noto Serif CJK SC"/>
        </w:rPr>
        <w:t>候选变异能否被解释为功能变异，关键在于它是否能够连接到基因表达、调控元件、细胞类型和表型形成过程。早期 GWAS 常以“显著 SNP 附近最近基因”提出候选基因，这种做法直观，但容易忽略远程增强子、组织特异性调控、非编码 RNA 和染色质互作。随着功能基因组资源积累，家鸡复杂性状研究正在从“邻近基因解释”转向更具体的调控机制解释。</w:t>
      </w:r>
    </w:p>
    <w:p>
      <w:pPr/>
      <w:r>
        <w:t>FAANG 框架、多组织染色质开放图谱和鸡调控元件图谱为非编码变异解释提供了基础[27–29]。这些资源可用于判断 GWAS 信号是否落在启动子、增强子、开放染色质区域或其他潜在调控元件中。腹脂沉积和产蛋相关研究已经显示，关键变异可能通过组织特异性增强子活性、转录因子结合或染色质互作影响远端基因表达，而不一定位于编码区[30–31]。因此，功能注释资源的主要价值在于为候选变异提供组织和调控语境，使单一关联信号具有更强机制解释力。</w:t>
      </w:r>
    </w:p>
    <w:p>
      <w:pPr/>
      <w:r>
        <w:t>ChickenGTEx 和多组织分子 QTL 资源进一步提高了遗传信号解释分辨率[32]。eQTL、sQTL 和其他分子 QTL 可帮助判断某一变异是否在特定组织中影响表达或剪接。对于繁殖、产蛋、蛋品质、免疫和代谢性状，这一点尤其重要，因为这些性状依赖下丘脑、垂体、卵巢、肝脏、壳腺、膨大部、骨骼肌、脂肪和免疫器官之间的协同调控。需要收紧的是，GWAS 信号与表达或剪接 QTL 的“共定位”不能仅指空间重叠或 LD 邻近，而应尽量采用统计学共定位或因果方向检验，例如 coloc 后验概率 PP4 达到较高阈值、SMR/HEIDI 支持同一信号，或有方向一致的 ASE/等位调控证据[57–58]。只有达到这类要求时，单一 C 级候选线索才更适合升级为 B 级机制支持。</w:t>
      </w:r>
    </w:p>
    <w:p>
      <w:pPr/>
      <w:r>
        <w:t>单细胞组学把解释尺度推进到细胞类型层面。鸡胚性腺和卵巢非对称发育研究显示，生殖发育具有明确的细胞类型和发育阶段特异性[33–34]；胚胎骨骼肌、老龄蛋鸡膨大部以及马立克氏病感染后免疫器官的单细胞或多组学研究，也把肌肉发育、蛋白品质下降和感染反应定位到更具体的细胞群[35–36,65]。不过，单细胞图谱本身主要回答“候选基因可能在哪类细胞中起作用”，不能单独证明自然遗传变异导致群体表型差异。只有当单细胞证据与遗传变异、统计共定位、ASE、染色质开放、三维互作或扰动实验形成同向证据链时，才更适合作为候选位点证据升级的依据。</w:t>
      </w:r>
    </w:p>
    <w:p>
      <w:pPr/>
      <w:r>
        <w:t>非编码 RNA、DNA 甲基化和多层调控网络也为复杂性状解释提供了补充。家鸡 lncRNA 和蛋白编码基因注释图谱、DNA 甲基化资源、脂肪沉积相关 lncRNA/circRNA 图谱以及 IMFNCR–PPARG 轴等研究，说明非编码调控可能参与骨骼肌发育、脂肪沉积和肉质形成[66–71]。近期基于高级互交系的遗传调控图谱进一步显示，复杂性状往往由多组织调控变异和小效应网络共同塑造，可为 GWAS 信号精细解释和证据升级提供补充[72]。这些资源适合用于候选变异优先级排序和机制假设生成，但不宜被简单包装成新的因果证据。</w:t>
      </w:r>
    </w:p>
    <w:p>
      <w:pPr>
        <w:pStyle w:val="Heading2"/>
      </w:pPr>
      <w:r>
        <w:rPr>
          <w:rFonts w:ascii="Times New Roman" w:hAnsi="Times New Roman" w:eastAsia="Noto Serif CJK SC"/>
        </w:rPr>
        <w:t>3.4 方法学小结：不同资源对应不同证据层级</w:t>
      </w:r>
    </w:p>
    <w:p>
      <w:pPr/>
      <w:r>
        <w:t>家鸡复杂性状研究的方法学瓶颈正在发生转移：发现关联信号已经相对容易，真正困难的是为关联信号分配机制权重，并判断其是否值得投入功能验证和育种转化。QTL、GWAS、选择扫描和重测序主要产生候选区域或候选变异；长读长测序、泛基因组和图泛基因组有助于补全结构变异、转座子插入和参考缺失序列；ChickenGTEx、染色质开放、三维基因组和单细胞资源主要提供组织、细胞类型和调控机制解释；而强证据仍需要报告基因、等位基因特异表达、细胞模型、自然突变、PGC 介导编辑或体内模型等更直接的功能支持。</w:t>
      </w:r>
    </w:p>
    <w:p>
      <w:pPr/>
      <w:r>
        <w:rPr>
          <w:rFonts w:ascii="Times New Roman" w:hAnsi="Times New Roman" w:eastAsia="Noto Serif CJK SC"/>
        </w:rPr>
        <w:t>因此，第 3 章的重点不是展示“家鸡已有多少组学资源”，而是说明不同资源在证据链中的位置：有的扩大候选空间，有的提高变异分辨率，有的增强调控解释，有的提供功能验证入口。后续性状章节也应按这个逻辑展开，不再按候选基因数量评价研究进展，而按证据链完整度比较不同性状和代表位点的成熟度。</w:t>
      </w:r>
    </w:p>
    <w:p>
      <w:pPr>
        <w:pStyle w:val="Heading1"/>
      </w:pPr>
      <w:r>
        <w:rPr>
          <w:rFonts w:ascii="Times New Roman" w:hAnsi="Times New Roman" w:eastAsia="Noto Serif CJK SC"/>
        </w:rPr>
        <w:t>4 主要复杂性状候选位点的证据成熟度比较</w:t>
      </w:r>
    </w:p>
    <w:p>
      <w:pPr/>
      <w:r>
        <w:rPr>
          <w:rFonts w:ascii="Times New Roman" w:hAnsi="Times New Roman" w:eastAsia="Noto Serif CJK SC"/>
        </w:rPr>
        <w:t>家鸡复杂性状涉及生产性能、繁殖产蛋、蛋品质、抗病免疫、特色表型和环境适应等多个方向。不同性状之间的遗传结构、表型记录难度和功能验证条件差异很大，因此不能简单按照“报道候选基因数量”评价研究进展。一般而言，羽色、皮肤颜色、蛋壳颜色和部分外貌表型更容易形成主效变异和表型之间的清晰证据链；而生长、饲料效率、产蛋持续性、抗病性和地方适应等性状多受多基因、小效应、环境互作和管理条件影响，证据成熟度通常较低。</w:t>
      </w:r>
    </w:p>
    <w:p>
      <w:pPr/>
      <w:r>
        <w:t>本章按照前文提出的 A/B/C 证据成熟度框架，比较不同性状中代表性候选位点的证据强度。重点不在于穷尽所有报道过的候选基因，而在于回答三个问题：第一，哪些位点已经具有较完整的“变异—功能—表型”证据链；第二，哪些信号具有重复性或机制支持，适合进入精细定位和功能验证；第三，哪些结果目前仍主要是候选线索，不宜直接作为因果结论或育种标记使用。一个需要正面承认的结论是：目前 A 级证据主要集中在主效、寡基因或结构变异表型，真正多基因复杂经济性状通常只能达到 B/B+ 级，这一差异本身构成家鸡精准育种策略的重要依据。</w:t>
      </w:r>
    </w:p>
    <w:p>
      <w:pPr>
        <w:pStyle w:val="Heading2"/>
      </w:pPr>
      <w:r>
        <w:rPr>
          <w:rFonts w:ascii="Times New Roman" w:hAnsi="Times New Roman" w:eastAsia="Noto Serif CJK SC"/>
        </w:rPr>
        <w:t>4.1 生长、胴体、脂肪沉积与饲料效率</w:t>
      </w:r>
    </w:p>
    <w:p>
      <w:pPr/>
      <w:r>
        <w:t>生长速度、胴体组成、胸肌产量、脂肪沉积和饲料效率是肉鸡育种中的核心经济性状。长期选择显著提高了现代肉鸡的生长速度和产肉性能，但也带来腹脂沉积、骨骼负担、肉质异常和福利风险等问题[55,73]。因此，这一领域的遗传解析不能只关注促进增重的候选基因，还需要解释生长速度、组织分配、代谢效率、肉质稳定性和健康约束之间的遗传关系。</w:t>
      </w:r>
    </w:p>
    <w:p>
      <w:pPr/>
      <w:r>
        <w:t>早期 QTL 研究证明体型和脂肪沉积可以被定位到特定染色体区段[10–11]，后续 GWAS、重测序和多组学研究进一步报道了与腹脂、体组成、胸肌发育、肉质和饲料效率相关的候选区域[20,74–77]。MSTN、IGF1、IGF1R、GHR、MYOD 家族和 MYF 家族等经典成肌或生长相关基因为理解骨骼肌发育提供了基础框架[55,78]。不过，这些基因多数仍主要来自通路知识、关联信号或表达差异，不能因为其生物学功能合理就直接归为因果位点。相较之下，IGF2BP1 启动子缺失是目前生长和体型性状中证据较强的案例：该结构变异通过泛基因组分析被发现，可提高 IGF2BP1 转录活性，并与商业肉鸡体型增大相关[21]。这一案例的价值在于，它把参考缺失变异、表达调控和体型表型连接在一起，明显强于单纯“显著 SNP 附近存在候选基因”的证据；但若严格要求 V4=2，其仍应被写作 B+ 或接近 A 级的结构变异证据模型，而不是已经完成目标育种群体应用验证的 A-T2 位点。</w:t>
      </w:r>
    </w:p>
    <w:p>
      <w:pPr/>
      <w:r>
        <w:t>脂肪沉积体现了从单一候选基因解释转向调控网络解析的趋势。腹脂过度沉积会降低饲料转化效率和胴体加工价值，而适度肌内脂肪又与嫩度、多汁性和风味有关。GWAS、重测序和多组学研究已经识别出多个与腹脂或肌内脂肪相关的区域[30,74]。其中，rs734209466 被报道为等位基因特异性增强子，可能通过远程调控 IGFBP2 和 IGFBP5 影响脂前体细胞分化与增殖[30]。这一证据链已经超越普通 GWAS 信号，具有增强子活性、三维调控和细胞功能支持，适合作为 B 级偏强证据；但在缺少内源编辑、跨群体验证和目标育种群体效应评估前，还不宜直接写成可用于 MAS 的功能变异。</w:t>
      </w:r>
    </w:p>
    <w:p>
      <w:pPr/>
      <w:r>
        <w:t>肌内脂肪和肉质相关研究中，FABP3、FABP4、PPARG、LPL、H-FABP、CAPN1、CAST 和 ADSL 等基因经常被作为候选基因讨论[79–82]。这些基因具有一定生物学合理性，但大多数仍属于候选线索或重复关联层面。相对而言，lncRNA IMFNCR–PPARG 轴通过 miRNA 海绵机制影响脂肪细胞分化，为肌内脂肪和肉质形成提供了较清晰的细胞模型证据[71]。不过，该证据主要说明调控轴具有功能作用，尚未充分证明自然群体中的具体变异如何驱动肉质差异，因此更适合归为 B 级机制证据，而不是 A 级因果位点。</w:t>
      </w:r>
    </w:p>
    <w:p>
      <w:pPr/>
      <w:r>
        <w:t>饲料效率具有较高经济价值，但表型测定成本高，且容易受饲粮、日龄、环境、健康状态和管理条件影响。饲料转化率、剩余采食量和剩余采食增重等指标通常由多基因小效应共同控制，单个位点解释方差有限，更适合通过 GS 长期累积改良，而不适合依赖少数主效标记[75,83–84]。近年来，宿主基因组与肠道微生物组联合研究为饲料效率提供了新视角，mGWAS 和宿主—微生物互作分析提示肠道菌群可能参与饲料利用差异[85–86]。但菌群组成高度受饲粮、日龄、环境和管理影响，微生物组信号的可重复性和可遗传性通常弱于宿主基因组主效信号，因此更适合作为肠道健康、代谢效率和饲料利用的中间表型，而不能直接替代基于宿主基因组和长期表型记录的遗传评估。</w:t>
      </w:r>
    </w:p>
    <w:p>
      <w:pPr/>
      <w:r>
        <w:rPr>
          <w:rFonts w:ascii="Times New Roman" w:hAnsi="Times New Roman" w:eastAsia="Noto Serif CJK SC"/>
        </w:rPr>
        <w:t>证据判定。生长、胴体、脂肪沉积和饲料效率性状的证据成熟度可分为三类。第一，IGF2BP1 启动子缺失已经具有较清晰的“结构变异—表达调控—体型表型”证据链，可作为 B+ 或接近 A 级的强证据案例；但由于仍需更强内源/体内因果验证、目标育种群体等位基因频率、效应稳定性和多性状影响评估，本文不把它写成无条件 A 级或 T2 案例。第二，rs734209466–IGFBP2/IGFBP5 和 IMFNCR–PPARG 等调控链具有较强机制线索，适合归为 B 级或 B 级偏强证据，用于精细定位、功能验证和 GS 先验，而不宜直接作为确定性 MAS 标记。第三，饲料效率相关的大量微效位点和宿主—微生物关联多属于 B/C 级证据，价值在于改进 GS 模型、标准化采食表型、建立代谢中间表型和设计长期验证，而不是短期转化为少数主效标记。</w:t>
      </w:r>
    </w:p>
    <w:p>
      <w:pPr>
        <w:pStyle w:val="Heading2"/>
      </w:pPr>
      <w:r>
        <w:rPr>
          <w:rFonts w:ascii="Times New Roman" w:hAnsi="Times New Roman" w:eastAsia="Noto Serif CJK SC"/>
        </w:rPr>
        <w:t>4.2 繁殖产蛋与蛋品质</w:t>
      </w:r>
    </w:p>
    <w:p>
      <w:pPr/>
      <w:r>
        <w:rPr>
          <w:rFonts w:ascii="Times New Roman" w:hAnsi="Times New Roman" w:eastAsia="Noto Serif CJK SC"/>
        </w:rPr>
        <w:t>繁殖产蛋和蛋品质性状直接决定蛋鸡生产效率和产品一致性，但其遗传解析比单一外貌表型更复杂。开产日龄、产蛋数、产蛋持续性、连产节律、蛋重、蛋壳强度、蛋壳颜色和内部蛋品质分别受下丘脑—垂体—卵巢轴、肝脏脂质代谢、输卵管分泌、壳腺矿化、膨大部蛋白合成以及年龄和营养状态共同影响。因此，这类性状的遗传研究不应只围绕某一时间点的累计产蛋数寻找候选基因，而应同时考虑组织特异性、产蛋阶段、年龄效应和纵向表型记录。</w:t>
      </w:r>
    </w:p>
    <w:p>
      <w:pPr/>
      <w:r>
        <w:t>多组织和多组学研究正在改变产蛋性状的解释方式。高产与低产蛋鸡比较研究显示，下丘脑、垂体、卵巢和肝脏之间存在与产蛋差异相关的调控网络，相关候选因子涉及 GnRH 分泌、促性腺激素表达、颗粒细胞功能和组织间代谢通讯[87]。ChickenGTEx 以及产蛋阶段特异 ChickenGTEx 资源进一步为区分“邻近候选基因”和“组织或阶段特异性调控证据”提供了依据[32,88]。这类证据能够增强产蛋信号的机制解释力，但如果缺少具体变异解析、体内验证或目标育种群体验证，仍主要属于 B 级或 C/B 级证据。</w:t>
      </w:r>
    </w:p>
    <w:p>
      <w:pPr/>
      <w:r>
        <w:t>在目前产蛋性状候选位点中，PHIP 内含子位点 chr3:79510218A&gt;T 是机制深度相对较高的案例。该非编码变异可能增强 FOXI1 结合，上调 PHIP 表达，并促进颗粒细胞增殖和孕酮分泌[31]。这一证据链将非编码变异、转录因子结合、基因表达和细胞功能连接起来，强于多数仅基于 GWAS 邻近注释的候选基因。但按表 1 的硬性门槛，PHIP 尚缺体内因果验证、内源编辑或目标育种群体稳定性证据，因而本文保守判为 B 级：它值得进入跨品种重复、不同产蛋阶段验证、内源表达验证和目标群体效应评估，但不宜直接写成 A 级功能位点或 MAS 标记。</w:t>
      </w:r>
    </w:p>
    <w:p>
      <w:pPr/>
      <w:r>
        <w:t>跨研究比较显示，产蛋性状的稳定重复信号并不多。GGA1 上 PRLR 附近区域、GGA4 上 NCAPG-FAM184B 区段以及 GGAZ 上部分区域在多个产蛋 GWAS 中反复出现[59–60]。这些区域说明产蛋性状存在一定可重复遗传信号，但多数情况下仍未明确具体因果变异、靶组织和作用阶段。不同地方品种或资源群体中报道的 GAL、CENPF、GPC2 等候选基因，多数仍来自单一群体、单一时间窗口或邻近基因注释[89–93]。这种“少数稳定区域 + 大量群体特异候选”的格局，提示下一阶段产蛋研究应优先解决表型定义不统一、产蛋阶段差异、遗传背景依赖和跨群体验证不足等问题[60,94–96]。</w:t>
      </w:r>
    </w:p>
    <w:p>
      <w:pPr/>
      <w:r>
        <w:t>蛋壳品质体现了典型的组织特异性和年龄依赖性。蛋壳强度、厚度和破损率具有可遗传变异，并受钙离子转运、碳酸盐供应、壳基质蛋白沉积和壳腺上皮分泌共同影响，CALB1、CA2、OC-116、OCX-32 和 OCX-36 等基因或蛋白参与蛋壳形成过程[97–100]。延长产蛋周期和后期产蛋背景下，蛋壳品质下降还可能与壳腺和肾脏增强子元件变化有关[99,101]。这些结果为蛋壳品质提供了重要生物学解释，但多数仍属于组织表达、功能注释或候选通路层面的 B/C 级证据，需要进一步连接具体自然变异、调控活性和目标群体表型。</w:t>
      </w:r>
    </w:p>
    <w:p>
      <w:pPr/>
      <w:r>
        <w:t>与复杂产蛋性能不同，蓝壳性状是较清楚的主效调控变异案例。SLCO1B3 5′侧翼区 EAV-HP 插入可导致其在壳腺中特异表达，并促进胆绿素沉积，从而解释蓝壳表型[22]；HMOX1 高表达则与胆绿素生成增加有关[102]。因此，SLCO1B3 可作为蛋壳颜色中的 A 级证据案例，但它的适用边界必须写清楚：蓝壳位点可用于品种鉴定、产品一致性和蛋壳颜色管理，却不能外推为提高产蛋数、蛋壳强度或整体蛋品质的功能位点。</w:t>
      </w:r>
    </w:p>
    <w:p>
      <w:pPr/>
      <w:r>
        <w:t>内部蛋品质研究也开始从整体指标进入组织和细胞类型解释阶段。老龄蛋鸡蛋白品质下降与膨大部功能、蛋白分泌、氧化应激和上皮细胞状态有关，多组学和单细胞研究提示 CISD1、NQO2、SLC22A23、CMTM6 以及 ADAMTSL1 高表达上皮细胞等可能参与蛋白品质下降[65,103–104]。这些发现适合用于构建蛋白品质下降的候选机制网络，但目前仍不宜直接归为因果位点。后续需要把膨大部细胞类型证据与自然遗传变异、eQTL/sQTL、蛋白功能和长期产蛋阶段表型结合起来，才能进一步提升证据成熟度。</w:t>
      </w:r>
    </w:p>
    <w:p>
      <w:pPr/>
      <w:r>
        <w:t>证据判定。繁殖产蛋和蛋品质性状的主要难点是时间性、组织依赖性和表型定义复杂。PHIP 已把非编码变异、转录因子结合、表达变化和颗粒细胞功能连接起来，但仍保守判为 B 级；PRLR、NCAPG-FAM184B 和 GGAZ 等重复区域说明跨研究稳定信号存在，但仍缺少因果变异、靶组织和作用阶段确认，适合归为 B 级证据；多数单一品种产蛋 GWAS、单一 RNA-seq 和通路富集结果仍应作为 C 级候选线索。蛋壳颜色中的 SLCO1B3 插入属于较清楚的 A 级特色表型案例，但其效应边界限于蓝壳形成和壳色管理，不能外推到产蛋数、蛋壳强度、内部蛋品质或整体繁殖性能。对育种实践而言，产蛋性状的评价重点不应局限于累计产蛋数，而应扩展到纵向产蛋曲线、开产日龄、连产节律、后期持续性、蛋壳稳定性和内部蛋品质，并把 HPO 轴、肝脏、壳腺和膨大部的组织特异性证据纳入 GS、功能标记评估和目标群体验证。</w:t>
      </w:r>
    </w:p>
    <w:p>
      <w:pPr>
        <w:pStyle w:val="Heading2"/>
      </w:pPr>
      <w:r>
        <w:rPr>
          <w:rFonts w:ascii="Times New Roman" w:hAnsi="Times New Roman" w:eastAsia="Noto Serif CJK SC"/>
        </w:rPr>
        <w:t>4.3 抗病与免疫性状</w:t>
      </w:r>
    </w:p>
    <w:p>
      <w:pPr/>
      <w:r>
        <w:t>抗病与免疫性状具有突出的生产和公共卫生意义，但也是最容易出现证据外推风险的复杂性状之一。马立克氏病、新城疫、禽流感、球虫病、传染性支气管炎和沙门氏菌定植等问题长期影响家禽生产。遗传改良不能替代疫苗、生物安全、饲养管理和病原监测，但可以通过提高宿主基础抗性、免疫应答稳定性和感染后恢复能力，为疾病防控提供长期遗传支撑[54,61,105]。与生长或蛋品质不同，抗病性状的表型终点高度依赖病原株、感染剂量、免疫程序、日龄、母源抗体、饲养环境和生产损失定义。因此，抗病候选位点评价不能只看“是否显著关联”，还必须同时考虑感染模型、病原载量、免疫病理、排菌或排毒、生产性能损失和恢复能力。</w:t>
      </w:r>
    </w:p>
    <w:p>
      <w:pPr/>
      <w:r>
        <w:t>鸡主要组织相容性复合体是抗病遗传研究中的经典区域。MHC 位于 16 号染色体，其中 MHC-B 单倍型与多种病毒、细菌和寄生虫感染结局有关，长期被视为家鸡抗病遗传中的重要候选系统[54,61]。近年研究也显示，MHC-B 以及相关同种异体抗原系统与球虫病易感性、生长性能以及传染性支气管炎病毒感染后的临床症状和病毒清除能力有关[62–63]。然而，MHC-B 的作用强烈依赖疾病类型、病原株、遗传背景和环境条件，且非 MHC 区域、先天免疫通路、黏膜屏障和细胞免疫反应同样影响感染结局[61,106]。因此，MHC-B 更适合归为 B 级重复性证据：它是抗病遗传研究和风险管理的重要入口，但不宜直接写成确定性抗病标记或独立育种方案。</w:t>
      </w:r>
    </w:p>
    <w:p>
      <w:pPr/>
      <w:r>
        <w:t>马立克氏病是研究较深入的抗病模型之一。疫苗防控在产业中十分重要，但宿主遗传背景仍会影响感染后病毒复制、肿瘤形成和疾病进展[107]。QTL 和候选基因研究表明，马立克氏病抗性受多个染色体区域和多基因效应控制[108]；单细胞转录组进一步揭示，抗病与易感鸡在感染后 T 细胞、巨噬细胞和粒细胞等免疫细胞组成及转录反应上存在差异[36]。这些结果说明，马立克氏病抗性不能简化为单个位点或单一免疫指标，而应作为多基因、多细胞类型和感染过程动态调控的 B 级证据体系处理。其育种价值更适合通过抗病 GS、疫苗反应评估和标准化感染终点联合推进，而不是依赖少数候选标记。</w:t>
      </w:r>
    </w:p>
    <w:p>
      <w:pPr/>
      <w:r>
        <w:t>新城疫和禽流感代表了两类不同证据路径。新城疫病毒抗体应答 GWAS 说明，宿主对疫苗或感染诱导的免疫反应具有可检测遗传基础[19]；但抗体水平受免疫程序、日龄、母源抗体、环境暴露和检测时间影响，通常更适合作为 B/C 级免疫反应线索，而不是直接等同于临床抗病性。禽流感方向则出现了更强的功能验证案例：ANP32A 编辑鸡在低剂量 H9N2 挑战下表现出抗性增强，但高剂量下仍可能出现突破感染，病毒也可能通过适应性变化利用其他 ANP32 家族成员完成复制[25]。因此，ANP32A 应写作 gene/target-level A 强功能证据，而不是自然变异位点层面的 A 级育种标记；其病毒逃逸、宿主因子补偿、遗传背景依赖和监管问题应记录在 T 轴，而不应作为 A/B/C 的混合标签。</w:t>
      </w:r>
    </w:p>
    <w:p>
      <w:pPr/>
      <w:r>
        <w:t>球虫病和传染性支气管炎进一步说明，抗病表型需要多终点评价。球虫病防控涉及肠道上皮损伤、细胞免疫、细胞因子反应、病灶评分、卵囊排出量和感染后生长性能[62,109]。传染性支气管炎病毒感染则同时涉及呼吸道症状、病毒复制、组织损伤和免疫清除，不同 MHC-B 单倍型鸡在临床表现和病毒清除能力上存在差异[63]。这类研究能为抗病位点提供重复性或机制支持，但如果缺少统一感染模型、病原载量记录、生产损失测定和跨群体验证，就不宜直接上升为 A 级因果证据。</w:t>
      </w:r>
    </w:p>
    <w:p>
      <w:pPr/>
      <w:r>
        <w:t>沙门氏菌定植和排菌性状与食品安全直接相关，其遗传解析不仅要记录感染或携带状态，还应结合肠道定植量、排菌量、肠道屏障、黏膜免疫和生产性能损失。已有综述和 QTL 研究表明，沙门氏菌抗性或携带状态存在宿主遗传控制，并且部分 QTL 可在实验和商业鸡群中得到确认[110–112]。不过，沙门氏菌相关性状容易受到菌株、接种剂量、肠道菌群、日龄和环境暴露影响，因此更适合归为 B/C 级到 B 级证据。这类信号的当前价值主要在于食品安全性状建模、抗病 GS、肠道屏障机制研究和多环境验证，而不是直接筛选单一功能标记。</w:t>
      </w:r>
    </w:p>
    <w:p>
      <w:pPr/>
      <w:r>
        <w:t>证据判定。抗病与免疫性状的核心特点是病原依赖性、环境敏感性和表型终点复杂。ANP32A 是目前抗病方向中功能验证最强的案例之一，可在基因/靶点证据轴上归为 A 级，但产业轴仍应标注为 T0/T1 的高风险状态，需评估病毒逃逸、多宿主因子补偿、遗传背景、动物福利和监管可接受性；它不应被直接写成自然变异层面的功能标记或成熟抗病育种方案。MHC-B 具有长期重复证据，并与多种感染或免疫结局相关，适合归为 B 级证据，用于风险管理、抗病 GS 先验和目标群体验证，而不宜作为万能抗病标记。马立克氏病、球虫病、传染性支气管炎、新城疫抗体反应和沙门氏菌定植多数属于 B 级或 B/C 级证据，后续应优先推进标准化感染模型、病原载量或排菌量记录、免疫细胞响应、多性状生产损失和跨群体验证。总体而言，抗病遗传改良应以 GS 和综合健康性状选择为主，少数强功能靶点可作为机制验证或编辑靶点评估对象，但不宜用单个位点替代疫苗、生物安全和综合疾病管理。</w:t>
      </w:r>
    </w:p>
    <w:p>
      <w:pPr>
        <w:pStyle w:val="Heading2"/>
      </w:pPr>
      <w:r>
        <w:rPr>
          <w:rFonts w:ascii="Times New Roman" w:hAnsi="Times New Roman" w:eastAsia="Noto Serif CJK SC"/>
        </w:rPr>
        <w:t>4.4 特色表型与地方适应性状</w:t>
      </w:r>
    </w:p>
    <w:p>
      <w:pPr/>
      <w:r>
        <w:t>羽色、皮肤颜色、蛋壳颜色、冠型和羽毛形态等特色表型不是本文讨论的主体，但它们对候选位点证据分级具有重要参照价值。与生长、产蛋、饲料效率和抗病性等多基因经济性状相比，许多可见表型具有更清楚的变异类型、组织表达后果和表型对应关系，因此可作为判断 A 级证据链应达到何种深度的机制样板[56]。换言之，这些性状的价值不在于代表复杂经济性状本身，而在于说明一个候选位点从“关联信号”走向“功能证据”通常需要哪些环节。</w:t>
      </w:r>
    </w:p>
    <w:p>
      <w:pPr/>
      <w:r>
        <w:t>颜色相关性状提供了较清楚的强证据案例。BCDO2 调控变异与黄色皮肤形成有关，并连接了家鸡黄色皮肤表型与灰原鸡遗传渗入[23]；EDN3 复杂结构变异通过异常高表达导致纤维黑变，是结构变异改变发育过程和色素细胞分布的典型案例[24]；PMEL17/PMEL 相关变异则与显性白、Dun 和 Smoky 等羽色表型有关[113]。这些案例的共同点是，变异类型、组织或细胞作用路径和表型结果相对清楚，因而可作为 A 级或接近 A 级证据链的参照。但其外推边界同样必须写清楚：BCDO2 只说明黄肤形成机制，不能外推到肉质或生长优势；EDN3 只说明纤维黑变机制，不能外推到综合健康或抗病性；这些 A 级案例的意义主要是校准证据深度，而不是替代复杂经济性状本身的证据。</w:t>
      </w:r>
    </w:p>
    <w:p>
      <w:pPr/>
      <w:r>
        <w:t>冠型和羽毛附属结构也展示了主效位点如何影响发育形态。Pea-comb、Rose-comb、Duplex-comb 和 Crest 等冠型或头部形态分别涉及 SOX5、MNR2、EOMES 和 HOXC10 等发育调控位点[114–117]；Muff and beard 和 Frizzle 分别涉及 HOXB8 和 KRT75[118–119]；Naked neck、Scaleless 和 Silky 则分别涉及 BMP12/GDF7、FGF20 和 PDSS2 等位点[120–122]。这些表型多具有较强遗传效应和直观表型读数，因此有助于理解主效变异、结构变异或调控变异如何塑造可见性状。不过，它们不能简单外推到生长、产蛋、饲料效率或抗病等复杂经济性状，因为后者通常具有更强的多基因背景、环境依赖性和性状间权衡。</w:t>
      </w:r>
    </w:p>
    <w:p>
      <w:pPr/>
      <w:r>
        <w:t>地方品种和环境适应性状提供了另一类证据。长期处于高海拔、寒冷、热应激、病原压力和粗放管理条件下的地方鸡种，保留了丰富的适应性遗传多样性[123–125]。藏鸡高海拔适应研究提示，钙信号通路、RYR2、CAMK2D 以及能量代谢重塑可能参与低氧适应[126–129]；俄罗斯白鸡和其他北方地方品种显示出与脂质代谢、体温维持和非颤抖产热相关的候选信号[130–132]；裸颈鸡通过减少羽毛覆盖改善热环境下散热，是外貌性状、热调节和生产适应联系相对直接的例子[120,133–134]。这些案例说明，地方品种不仅是遗传多样性资源，也是发现适应性等位变异和抗逆机制的重要入口。</w:t>
      </w:r>
    </w:p>
    <w:p>
      <w:pPr/>
      <w:r>
        <w:t>然而，地方适应信号的证据成熟度整体仍低于主效特色表型。非洲地方鸡研究提示，热应激、降雨、海拔、土地利用、病原压力和管理制度可能共同塑造适应性信号[123–124,135–136]；中国地方鸡和 Wenchang 鸡等资源研究也为地方适应和遗传资源保护提供了全基因组线索[125,137]。但这类研究多数仍以群体基因组、选择扫描、环境关联或差异表达为主，极易受到群体结构、遗传漂变、迁徙历史和共同环境混杂影响。因而，选择信号 + 环境关联通常只能支撑 C 或 C/B 级线索；若要升级到稳定 B 级，至少应在共同环境试验、互易移栽、标准化热/冷/低氧/病原挑战或目标群体导入验证中观察到方向一致的生理和生产表型，并尽量连接表达调控或功能扰动证据。</w:t>
      </w:r>
    </w:p>
    <w:p>
      <w:pPr/>
      <w:r>
        <w:t>证据判定。特色表型和地方适应性状应分开评价。BCDO2、EDN3、SLCO1B3 以及部分冠型和羽毛形态位点可作为 A 级证据链校准样板，因为其变异类型、表达后果和表型联系相对明确；但这些 A 级结论只适用于相应可见表型，不能外推到产蛋、生长、肉质、饲料效率或抗病性。Naked neck 等表型在热调节方面具有较清楚的生物学解释，但仍需根据目标环境和生产性能综合评估。相比之下，高海拔、冷适应、热适应、病原压力和粗放管理相关地方适应信号，多数仍停留在选择信号、环境关联或候选基因阶段，适合归为 C 级或 C/B 级证据。后续研究应把地方品种保护、共同环境试验、跨环境表型测定、适应性生理指标、表达调控证据和核心育种群体 GS 结合起来，使地方资源价值从“描述差异”转向“验证可用差异”。</w:t>
      </w:r>
    </w:p>
    <w:p>
      <w:pPr>
        <w:pStyle w:val="Heading2"/>
      </w:pPr>
      <w:r>
        <w:rPr>
          <w:rFonts w:ascii="Times New Roman" w:hAnsi="Times New Roman" w:eastAsia="Noto Serif CJK SC"/>
        </w:rPr>
        <w:t>4.5 本章小结</w:t>
      </w:r>
    </w:p>
    <w:p>
      <w:pPr/>
      <w:r>
        <w:t>本章比较了不同性状中候选位点的证据成熟度。一个关键结论是，当前真正达到 variant-level A 的家鸡案例主要集中在主效、寡基因或结构变异表型，例如 SLCO1B3 与蓝壳、BCDO2 与黄肤、EDN3 与纤维黑变等；IGF2BP1 与体型可作为 B+ 或接近 A 级的结构变异证据模型，ANP32A 则属于功能验证较强但产业轴风险较高的 gene/target-level A 案例。相比之下，饲料效率、产蛋持续性、肉质、复杂抗病性和地方适应等多基因经济性状，尽管已有大量 GWAS、QTL、选择信号和多组学线索，但多数现实上仍停留在 B/B+ 或 C/B 级。</w:t>
      </w:r>
    </w:p>
    <w:p>
      <w:pPr/>
      <w:r>
        <w:t>这一分布并不削弱框架价值，反而提示育种策略应与遗传结构匹配：主效或寡基因特色表型可在强证据基础上考虑 MAS、品种特征管理或编辑靶点评估；复杂经济性状则应以 GS、标准化表型记录、目标群体参考群和多性状选择指数为主干，B/B+ 级候选位点主要用于机制解释、功能验证优先级和 GS 先验，而不应被提前包装为功能标记。换言之，A 级证据链目前主要是校准样板，复杂经济性状的最高现实证据等级通常是 B/B+；这一“证据上限”正是本文希望突出的育种转化信息。</w:t>
      </w:r>
    </w:p>
    <w:p>
      <w:pPr/>
      <w:r>
        <w:rPr>
          <w:rFonts w:ascii="Times New Roman" w:hAnsi="Times New Roman" w:eastAsia="Noto Serif CJK SC"/>
        </w:rPr>
        <w:t>特色表型因主效位点和结构变异较多，可用于校准 A 级证据链；地方适应性状则更多体现为选择信号、环境关联和资源群体差异，适合作为适应性等位变异发现平台和后续验证设计基础。由此可见，家鸡复杂性状研究应从“候选基因数量”转向“证据成熟度比较”：C 级信号用于提出假设，B 级信号用于验证优先级排序和 GS 先验，A 级位点才适合进一步评估为功能标记、主效位点管理对象或编辑靶点候选。</w:t>
      </w:r>
    </w:p>
    <w:p>
      <w:pPr>
        <w:pStyle w:val="Heading1"/>
      </w:pPr>
      <w:r>
        <w:rPr>
          <w:rFonts w:ascii="Times New Roman" w:hAnsi="Times New Roman" w:eastAsia="Noto Serif CJK SC"/>
        </w:rPr>
        <w:t>5 功能验证：候选位点证据升级的实验路径</w:t>
      </w:r>
    </w:p>
    <w:p>
      <w:pPr/>
      <w:r>
        <w:rPr>
          <w:rFonts w:ascii="Times New Roman" w:hAnsi="Times New Roman" w:eastAsia="Noto Serif CJK SC"/>
        </w:rPr>
        <w:t>功能验证是候选位点从 C 级或 B 级走向 A 级的关键环节，但不同实验方法提供的证据强度并不相同。家鸡具有胚胎可操作性和 PGC 介导遗传修饰优势，适合开展报告基因、细胞模型、胚胎操作、转基因和基因编辑验证[37–39,46]。然而，功能验证不能只回答“某个基因是否有生物学作用”，还应尽量回答“自然群体中的具体变异是否通过明确机制影响目标表型”。因此，本文将功能验证分为三个层级：低到中等证据主要用于提出机制线索，中等证据用于验证调控活性和细胞功能，强证据则需要内源变异、体内模型或目标群体验证支持。</w:t>
      </w:r>
    </w:p>
    <w:p>
      <w:pPr>
        <w:pStyle w:val="Heading2"/>
      </w:pPr>
      <w:r>
        <w:rPr>
          <w:rFonts w:ascii="Times New Roman" w:hAnsi="Times New Roman" w:eastAsia="Noto Serif CJK SC"/>
        </w:rPr>
        <w:t>5.1 验证层级不能混用</w:t>
      </w:r>
    </w:p>
    <w:p>
      <w:pPr/>
      <w:r>
        <w:rPr>
          <w:rFonts w:ascii="Times New Roman" w:hAnsi="Times New Roman" w:eastAsia="Noto Serif CJK SC"/>
        </w:rPr>
        <w:t>体外过表达、敲低或通路干预可以说明某个基因具有影响细胞增殖、分化、分泌、代谢或免疫反应的潜力，但不能直接证明自然群体中的等位变异驱动了性状差异。例如，某个基因在高低表型组中差异表达，或在脂肪细胞、成肌细胞、颗粒细胞和免疫细胞中影响细胞表型，只能说明该基因具有功能相关性；如果缺少候选变异、等位基因特异表达、调控活性差异和群体表型支持，就不应直接写成因果位点。</w:t>
      </w:r>
    </w:p>
    <w:p>
      <w:pPr/>
      <w:r>
        <w:rPr>
          <w:rFonts w:ascii="Times New Roman" w:hAnsi="Times New Roman" w:eastAsia="Noto Serif CJK SC"/>
        </w:rPr>
        <w:t>报告基因实验可用于验证启动子、增强子或非编码变异的调控活性差异。IGF2BP1 启动子缺失和 PHIP 非编码变异相关研究均体现了这类方法的价值[21,31]。但报告基因实验通常发生在外源质粒和特定细胞环境中，可能脱离内源染色质结构、远程互作和组织发育背景。因此，报告基因阳性结果更适合作为 B 级机制支持，而不是单独构成 variant-level A 证据。若要进一步升级证据，还需要结合内源表达、等位基因特异表达、目标组织表达、染色质状态、内源变异扰动和表型关联。</w:t>
      </w:r>
    </w:p>
    <w:p>
      <w:pPr/>
      <w:r>
        <w:t>细胞模型适合初步验证候选基因或调控轴对脂肪生成、肌肉发育、卵泡颗粒细胞功能、免疫细胞反应和病毒复制的影响。例如，IMFNCR–PPARG 轴为肌内脂肪和肉质形成提供了较清晰的细胞模型证据[71]。不过，细胞模型难以完全代表体内发育环境、组织互作、内分泌调控、免疫状态和长期选择效应。因此，细胞实验阳性结果应被解释为机制支持，而不是直接等同于自然变异的群体因果证据。</w:t>
      </w:r>
    </w:p>
    <w:p>
      <w:pPr>
        <w:pStyle w:val="Heading2"/>
      </w:pPr>
      <w:r>
        <w:rPr>
          <w:rFonts w:ascii="Times New Roman" w:hAnsi="Times New Roman" w:eastAsia="Noto Serif CJK SC"/>
        </w:rPr>
        <w:t>5.2 从调控活性到内源证据：B 级向 A 级升级的关键</w:t>
      </w:r>
    </w:p>
    <w:p>
      <w:pPr/>
      <w:r>
        <w:rPr>
          <w:rFonts w:ascii="Times New Roman" w:hAnsi="Times New Roman" w:eastAsia="Noto Serif CJK SC"/>
        </w:rPr>
        <w:t>对后关联时代的多数候选位点而言，最关键的验证不是泛泛证明“基因有功能”，而是证明“具体变异影响了目标组织中的分子过程”。因此，B 级候选信号向 A 级升级时，应优先考虑以下几类证据。</w:t>
      </w:r>
    </w:p>
    <w:p>
      <w:pPr/>
      <w:r>
        <w:rPr>
          <w:rFonts w:ascii="Times New Roman" w:hAnsi="Times New Roman" w:eastAsia="Noto Serif CJK SC"/>
        </w:rPr>
        <w:t>第一，等位基因特异表达可以判断杂合个体中两个等位基因是否存在表达偏倚。如果候选变异与目标组织中的等位基因表达差异一致，并且该表达差异与表型方向相符，其证据强度通常高于普通 RNA-seq 差异表达。</w:t>
      </w:r>
    </w:p>
    <w:p>
      <w:pPr/>
      <w:r>
        <w:rPr>
          <w:rFonts w:ascii="Times New Roman" w:hAnsi="Times New Roman" w:eastAsia="Noto Serif CJK SC"/>
        </w:rPr>
        <w:t>第二，内源调控证据可以把候选变异与染色质开放、转录因子结合、增强子活性、三维互作和靶基因表达联系起来。对于多数非编码 GWAS 信号，只有证明候选变异位于目标组织或目标细胞类型的功能元件中，并能影响相关基因表达，才有可能从 C 级候选线索升级为 B 级机制证据。</w:t>
      </w:r>
    </w:p>
    <w:p>
      <w:pPr/>
      <w:r>
        <w:rPr>
          <w:rFonts w:ascii="Times New Roman" w:hAnsi="Times New Roman" w:eastAsia="Noto Serif CJK SC"/>
        </w:rPr>
        <w:t>第三，细胞扰动和内源编辑可以进一步检验候选基因或调控元件的功能方向。CRISPRa/i 可以上调或抑制内源基因或调控元件，适合判断候选区域是否影响目标细胞状态；碱基编辑或片段编辑则更接近自然变异验证，但在家鸡中仍受细胞类型、编辑效率、PGC 操作、胚胎发育和种系传递效率限制[37–39,46]。</w:t>
      </w:r>
    </w:p>
    <w:p>
      <w:pPr/>
      <w:r>
        <w:rPr>
          <w:rFonts w:ascii="Times New Roman" w:hAnsi="Times New Roman" w:eastAsia="Noto Serif CJK SC"/>
        </w:rPr>
        <w:t>因此，真正有说服力的功能验证应尽量形成连续证据链：候选变异定位 → 目标组织表达或染色质证据 → 调控活性变化 → 内源表达变化 → 细胞或体内表型变化 → 目标群体效应验证。缺少其中任何一环时，结论都应保持保守。</w:t>
      </w:r>
    </w:p>
    <w:p>
      <w:pPr>
        <w:pStyle w:val="Heading2"/>
      </w:pPr>
      <w:r>
        <w:rPr>
          <w:rFonts w:ascii="Times New Roman" w:hAnsi="Times New Roman" w:eastAsia="Noto Serif CJK SC"/>
        </w:rPr>
        <w:t>5.3 高通量筛选适合排序，不宜替代因果验证</w:t>
      </w:r>
    </w:p>
    <w:p>
      <w:pPr/>
      <w:r>
        <w:t>随着候选非编码变异和调控元件数量迅速增加，逐个开展传统功能实验并不现实。MPRA 可用于批量测试大量候选变异或调控元件的活性差异[138]；CRISPR screen 和 CRISPRa/i 可用于筛选基因或调控元件的功能效应[139–140]；单细胞 CRISPR 扰动和 Perturb-seq 可以把基因扰动与细胞状态变化连接起来[141–142]。这些方法的价值在于从大量候选变异、候选基因或调控元件中筛选更值得验证的对象，而不是直接给出育种结论。</w:t>
      </w:r>
    </w:p>
    <w:p>
      <w:pPr/>
      <w:r>
        <w:rPr>
          <w:rFonts w:ascii="Times New Roman" w:hAnsi="Times New Roman" w:eastAsia="Noto Serif CJK SC"/>
        </w:rPr>
        <w:t>高通量筛选结果通常更适合被视为 B 级证据生成工具。如果一个候选变异在 MPRA 中表现出等位基因调控差异，并且该位点同时与目标组织 eQTL、染色质开放、转录因子结合和群体表型方向一致，那么它可以成为强 B 级候选位点。相反，如果一个信号仅在筛选体系中表现阳性，却缺少自然变异、目标组织表达和表型证据支持，则不宜直接写成因果变异。</w:t>
      </w:r>
    </w:p>
    <w:p>
      <w:pPr/>
      <w:r>
        <w:rPr>
          <w:rFonts w:ascii="Times New Roman" w:hAnsi="Times New Roman" w:eastAsia="Noto Serif CJK SC"/>
        </w:rPr>
        <w:t>对家鸡复杂性状而言，高通量筛选尤其适合三个场景：第一，对 GWAS 峰区内大量非编码变异进行调控活性排序；第二，对 ChickenGTEx、染色质开放和 3D 基因组共定位信号进行功能优先级筛选；第三，对脂肪沉积、卵泡发育、免疫反应和肌肉发育相关候选基因进行细胞类型特异性扰动验证。其目标是缩小验证范围，而不是替代内源编辑、体内模型和目标群体验证。</w:t>
      </w:r>
    </w:p>
    <w:p>
      <w:pPr>
        <w:pStyle w:val="Heading2"/>
      </w:pPr>
      <w:r>
        <w:rPr>
          <w:rFonts w:ascii="Times New Roman" w:hAnsi="Times New Roman" w:eastAsia="Noto Serif CJK SC"/>
        </w:rPr>
        <w:t>5.4 PGC 编辑和体内模型是强证据，但仍需育种评估</w:t>
      </w:r>
    </w:p>
    <w:p>
      <w:pPr/>
      <w:r>
        <w:rPr>
          <w:rFonts w:ascii="Times New Roman" w:hAnsi="Times New Roman" w:eastAsia="Noto Serif CJK SC"/>
        </w:rPr>
        <w:t>PGC 编辑、胚胎操作和种系传递技术为家鸡候选位点功能验证提供了重要优势[37–39,46]。与体外报告基因或细胞模型相比，体内编辑更接近因果验证，因为它可以在完整发育背景、组织互作和生理环境中观察候选基因或候选变异的功能后果。ANP32A 编辑鸡在禽流感抗性研究中提供了典型例子，说明改变宿主关键因子可以直接影响病毒复制和感染结局[25]。</w:t>
      </w:r>
    </w:p>
    <w:p>
      <w:pPr/>
      <w:r>
        <w:rPr>
          <w:rFonts w:ascii="Times New Roman" w:hAnsi="Times New Roman" w:eastAsia="Noto Serif CJK SC"/>
        </w:rPr>
        <w:t>但体内编辑也不能自动等同于育种可用。首先，编辑模型常在特定遗传背景下建立，其效应未必能稳定外推到商业肉鸡、蛋鸡或地方品种。其次，编辑可能带来多效性、补偿通路、脱靶风险或生长、繁殖、免疫和福利方面的非目标影响。第三，抗病编辑尤其需要考虑病原逃逸、病毒适应、免疫生态和疫病管理体系。ANP32A 案例虽然具有强功能验证价值，但高剂量突破感染和病毒可能利用其他 ANP32 家族成员的现象提示，单位点编辑不能直接等同于稳定、广谱、产业可用的抗病方案[25]。</w:t>
      </w:r>
    </w:p>
    <w:p>
      <w:pPr/>
      <w:r>
        <w:rPr>
          <w:rFonts w:ascii="Times New Roman" w:hAnsi="Times New Roman" w:eastAsia="Noto Serif CJK SC"/>
        </w:rPr>
        <w:t>因此，体内编辑应被定位为 A 级功能证据的重要来源，而不是产业成熟度的直接证明。一个候选位点即使在编辑模型中表现出明确功能，也仍需经过目标育种群体验证、多性状影响评估、遗传背景稳定性检验、动物福利评估和监管路径评估，才能进入实际育种决策。</w:t>
      </w:r>
    </w:p>
    <w:p>
      <w:pPr>
        <w:pStyle w:val="Heading2"/>
      </w:pPr>
      <w:r>
        <w:rPr>
          <w:rFonts w:ascii="Times New Roman" w:hAnsi="Times New Roman" w:eastAsia="Noto Serif CJK SC"/>
        </w:rPr>
        <w:t>5.5 本章小结</w:t>
      </w:r>
    </w:p>
    <w:p>
      <w:pPr/>
      <w:r>
        <w:t>功能验证的关键不是把实验方法越堆越多，而是明确每类证据在评分表中的位置。RNA-seq、通路富集、染色质开放、单细胞图谱和 3D 基因组主要贡献 V3 机制分；报告基因、等位基因特异表达、细胞模型、MPRA、CRISPRa/i 和 Perturb-seq 主要贡献 V3/V4 的中等证据；PGC 编辑、内源变异、体内模型和救援实验才更接近 V4=2。目标群体验证、多性状、福利和监管评估则进入 T 轴，不能与 A/B/C 证据轴混为一谈。</w:t>
      </w:r>
    </w:p>
    <w:p>
      <w:pPr/>
      <w:r>
        <w:t>因此，功能验证应服务于证据升级，而不是制造新的候选基因清单。对 C 级信号，重点是重复验证和严格共定位；对 B/B+ 级信号，重点是调控活性、内源表达、细胞功能和体内因果验证；对 A 级候选位点，重点是目标群体效应、多性状平衡和育种应用边界。</w:t>
      </w:r>
    </w:p>
    <w:p>
      <w:pPr>
        <w:pStyle w:val="Heading1"/>
      </w:pPr>
      <w:r>
        <w:rPr>
          <w:rFonts w:ascii="Times New Roman" w:hAnsi="Times New Roman" w:eastAsia="Noto Serif CJK SC"/>
        </w:rPr>
        <w:t>6 育种转化：基于证据成熟度的精准育种决策</w:t>
      </w:r>
    </w:p>
    <w:p>
      <w:pPr/>
      <w:r>
        <w:rPr>
          <w:rFonts w:ascii="Times New Roman" w:hAnsi="Times New Roman" w:eastAsia="Noto Serif CJK SC"/>
        </w:rPr>
        <w:t>家鸡复杂性状遗传发现能否进入育种应用，取决于三个条件：候选位点证据成熟度是否足够，性状遗传结构是否适合单个位点干预，以及目标育种群体中是否能够获得稳定选择增益。一个候选位点即使具有统计显著性或机制合理性，也不一定具备育种可用性；相反，一个变异即使具有较强功能证据，也仍需评估等位基因频率、效应稳定性、遗传背景依赖、多性状影响、动物福利和监管可接受性。因此，育种转化不应被理解为把 GWAS 位点直接转化为标记，而应理解为一个从证据成熟度到工具选择、再到目标群体验证的决策过程。</w:t>
      </w:r>
    </w:p>
    <w:p>
      <w:pPr>
        <w:pStyle w:val="Heading2"/>
      </w:pPr>
      <w:r>
        <w:rPr>
          <w:rFonts w:ascii="Times New Roman" w:hAnsi="Times New Roman" w:eastAsia="Noto Serif CJK SC"/>
        </w:rPr>
        <w:t>6.1 从证据成熟度到育种工具</w:t>
      </w:r>
    </w:p>
    <w:p>
      <w:pPr/>
      <w:r>
        <w:t>证据等级应决定育种操作强度。C 级信号不应直接进入选择决策；B/B+ 级信号适合用于精细定位、目标群体验证、功能实验优先级排序和 GS 加权先验；A 级位点可进一步评估为功能标记候选、主效位点管理对象或编辑靶点候选，但仍不能跳过 T 轴评估。</w:t>
      </w:r>
    </w:p>
    <w:p>
      <w:pPr/>
      <w:r>
        <w:rPr>
          <w:rFonts w:ascii="Times New Roman" w:hAnsi="Times New Roman" w:eastAsia="Noto Serif CJK SC"/>
        </w:rPr>
        <w:t>一个稳妥的转化流程可概括为四步。第一，确认候选变异或单倍型是否足够明确，避免把最近基因注释或差异表达基因误当作因果位点。第二，判断目标性状是主效位点驱动，还是多基因、小效应和环境互作共同控制。第三，在目标育种群体中验证效应大小、等位基因频率、连锁背景、遗传背景依赖和多性状影响。第四，比较 MAS、GS、基因编辑和常规选择在成本、预测增益、遗传多样性、福利风险和监管路径上的可行性。只有当“机制上可解释”和“选择中有增益”同时成立时，候选位点才真正完成从后关联信号到育种工具的转化。</w:t>
      </w:r>
    </w:p>
    <w:p>
      <w:pPr>
        <w:pStyle w:val="Heading2"/>
      </w:pPr>
      <w:r>
        <w:rPr>
          <w:rFonts w:ascii="Times New Roman" w:hAnsi="Times New Roman" w:eastAsia="Noto Serif CJK SC"/>
        </w:rPr>
        <w:t>6.2 标记辅助选择：适合少数强证据主效位点</w:t>
      </w:r>
    </w:p>
    <w:p>
      <w:pPr/>
      <w:r>
        <w:t>标记辅助选择适用于效应明确、检测方便、与目标表型稳定相关的主效变异或单倍型。家鸡中一些外貌、蛋壳颜色、皮肤颜色、羽色、冠型和性连锁主效性状，包括矮小和慢羽相关性状，具有较清楚的遗传基础和直观表型终点，因此更适合 MAS 或品种特征管理[6,22–24,40,143]。例如，SLCO1B3 插入可用于蓝壳性状管理，BCDO2 和 EDN3 等位点也可作为特色表型遗传解释和品种鉴定的重要案例。</w:t>
      </w:r>
    </w:p>
    <w:p>
      <w:pPr/>
      <w:r>
        <w:t>但 MAS 不适合承担大多数复杂经济性状的主干改良。生长速度、饲料效率、产蛋持续性、抗病性、肉质和适应性通常由多基因小效应、调控网络和环境互作共同控制，单个位点通常解释方差有限。即使某些区域在 GWAS 中重复出现，也不意味着它们可以直接作为稳定 MAS 标记。对于 B 级信号，例如 PHIP、PRLR、NCAPG-FAM184B、MHC-B 或 rs734209466–IGFBP2/IGFBP5，更稳妥的用途是目标群体验证、精细定位和功能验证，而不是直接进入大规模标记辅助选择[30–31,54,59–63]。</w:t>
      </w:r>
    </w:p>
    <w:p>
      <w:pPr/>
      <w:r>
        <w:rPr>
          <w:rFonts w:ascii="Times New Roman" w:hAnsi="Times New Roman" w:eastAsia="Noto Serif CJK SC"/>
        </w:rPr>
        <w:t>因此，MAS 在本文框架中的定位应比较窄：管理少数 variant-level A 或接近 A 级主效位点，辅助品种特征、性别鉴定、特定表型和少数明确风险位点管理。对复杂经济性状，候选位点更现实的用途通常是 GS 先验、功能验证优先级、风险位点监测或目标群体验证对象；MAS 可以作为 GS 或综合选择指数的补充，而不应替代全基因组选择和长期表型记录。</w:t>
      </w:r>
    </w:p>
    <w:p>
      <w:pPr>
        <w:pStyle w:val="Heading2"/>
      </w:pPr>
      <w:r>
        <w:rPr>
          <w:rFonts w:ascii="Times New Roman" w:hAnsi="Times New Roman" w:eastAsia="Noto Serif CJK SC"/>
        </w:rPr>
        <w:t>6.3 基因组选择：复杂经济性状改良的主干</w:t>
      </w:r>
    </w:p>
    <w:p>
      <w:pPr/>
      <w:r>
        <w:t>基因组选择更适合家鸡复杂经济性状的遗传结构。GS 不要求逐个证明每个 SNP 的因果作用，而是利用全基因组标记捕获累积遗传效应，预测个体的基因组育种值。其理论基础来自全基因组标记预测和数量遗传模型[41–42]，在家禽产业和产蛋性状预测中已有应用研究[43–44]；单步基因组评价等方法也为整合谱系和基因组信息提供了模型基础[45]。</w:t>
      </w:r>
    </w:p>
    <w:p>
      <w:r>
        <w:t>表 2 家禽代表性复杂性状的遗传参数、GS 预测准确度和单位点贡献示例</w:t>
      </w:r>
    </w:p>
    <w:tbl>
      <w:tblPr>
        <w:tblStyle w:val="TableGrid"/>
        <w:tblW w:type="auto" w:w="0"/>
        <w:jc w:val="center"/>
        <w:tblLayout w:type="autofit"/>
        <w:tblLook w:firstColumn="1" w:firstRow="1" w:lastColumn="0" w:lastRow="0" w:noHBand="0" w:noVBand="1" w:val="04A0"/>
      </w:tblPr>
      <w:tblGrid>
        <w:gridCol w:w="1837"/>
        <w:gridCol w:w="1837"/>
        <w:gridCol w:w="1837"/>
        <w:gridCol w:w="1837"/>
        <w:gridCol w:w="1837"/>
      </w:tblGrid>
      <w:tr>
        <w:trPr>
          <w:tblHeader w:val="true"/>
          <w:cantSplit/>
        </w:trPr>
        <w:tc>
          <w:tcPr>
            <w:tcW w:type="dxa" w:w="1837"/>
            <w:vAlign w:val="center"/>
          </w:tcPr>
          <w:p>
            <w:r>
              <w:rPr>
                <w:sz w:val="14"/>
              </w:rPr>
              <w:t>性状/研究场景</w:t>
            </w:r>
          </w:p>
        </w:tc>
        <w:tc>
          <w:tcPr>
            <w:tcW w:type="dxa" w:w="1837"/>
            <w:vAlign w:val="center"/>
          </w:tcPr>
          <w:p>
            <w:r>
              <w:rPr>
                <w:sz w:val="14"/>
              </w:rPr>
              <w:t>遗传力或遗传参数</w:t>
            </w:r>
          </w:p>
        </w:tc>
        <w:tc>
          <w:tcPr>
            <w:tcW w:type="dxa" w:w="1837"/>
            <w:vAlign w:val="center"/>
          </w:tcPr>
          <w:p>
            <w:r>
              <w:rPr>
                <w:sz w:val="14"/>
              </w:rPr>
              <w:t>GS/预测准确度示例</w:t>
            </w:r>
          </w:p>
        </w:tc>
        <w:tc>
          <w:tcPr>
            <w:tcW w:type="dxa" w:w="1837"/>
            <w:vAlign w:val="center"/>
          </w:tcPr>
          <w:p>
            <w:r>
              <w:rPr>
                <w:sz w:val="14"/>
              </w:rPr>
              <w:t>单位点或区域贡献</w:t>
            </w:r>
          </w:p>
        </w:tc>
        <w:tc>
          <w:tcPr>
            <w:tcW w:type="dxa" w:w="1837"/>
            <w:vAlign w:val="center"/>
          </w:tcPr>
          <w:p>
            <w:r>
              <w:rPr>
                <w:sz w:val="14"/>
              </w:rPr>
              <w:t>对转化策略的含义</w:t>
            </w:r>
          </w:p>
        </w:tc>
      </w:tr>
      <w:tr>
        <w:trPr>
          <w:cantSplit/>
        </w:trPr>
        <w:tc>
          <w:tcPr>
            <w:tcW w:type="dxa" w:w="1837"/>
            <w:vAlign w:val="center"/>
          </w:tcPr>
          <w:p>
            <w:r>
              <w:rPr>
                <w:sz w:val="14"/>
              </w:rPr>
              <w:t>黄羽肉鸡生长与饲料转化（GBS 群体）</w:t>
            </w:r>
          </w:p>
        </w:tc>
        <w:tc>
          <w:tcPr>
            <w:tcW w:type="dxa" w:w="1837"/>
            <w:vAlign w:val="center"/>
          </w:tcPr>
          <w:p>
            <w:r>
              <w:rPr>
                <w:sz w:val="14"/>
              </w:rPr>
              <w:t>42 日龄体重 h²≈0.31；84 日龄体重 h²≈0.51；FCR h²≈0.42；ADG h²≈0.42[144]</w:t>
            </w:r>
          </w:p>
        </w:tc>
        <w:tc>
          <w:tcPr>
            <w:tcW w:type="dxa" w:w="1837"/>
            <w:vAlign w:val="center"/>
          </w:tcPr>
          <w:p>
            <w:r>
              <w:rPr>
                <w:sz w:val="14"/>
              </w:rPr>
              <w:t>GBLUP 观察准确度约 0.31–0.45，GFBLUP 约 0.35–0.52[144]</w:t>
            </w:r>
          </w:p>
        </w:tc>
        <w:tc>
          <w:tcPr>
            <w:tcW w:type="dxa" w:w="1837"/>
            <w:vAlign w:val="center"/>
          </w:tcPr>
          <w:p>
            <w:r>
              <w:rPr>
                <w:sz w:val="14"/>
              </w:rPr>
              <w:t>GGA4 主要 QTL 对不同性状遗传力贡献约 14.53%–34.14%，对预测准确度贡献约 23.30%–46.65%[144]</w:t>
            </w:r>
          </w:p>
        </w:tc>
        <w:tc>
          <w:tcPr>
            <w:tcW w:type="dxa" w:w="1837"/>
            <w:vAlign w:val="center"/>
          </w:tcPr>
          <w:p>
            <w:r>
              <w:rPr>
                <w:sz w:val="14"/>
              </w:rPr>
              <w:t>个别大区段能改善预测，但仍应嵌入全基因组模型，而非替代 GS。</w:t>
            </w:r>
          </w:p>
        </w:tc>
      </w:tr>
      <w:tr>
        <w:trPr>
          <w:cantSplit/>
        </w:trPr>
        <w:tc>
          <w:tcPr>
            <w:tcW w:type="dxa" w:w="1837"/>
            <w:vAlign w:val="center"/>
          </w:tcPr>
          <w:p>
            <w:r>
              <w:rPr>
                <w:sz w:val="14"/>
              </w:rPr>
              <w:t>肉鸡饲料效率（综述范围）</w:t>
            </w:r>
          </w:p>
        </w:tc>
        <w:tc>
          <w:tcPr>
            <w:tcW w:type="dxa" w:w="1837"/>
            <w:vAlign w:val="center"/>
          </w:tcPr>
          <w:p>
            <w:r>
              <w:rPr>
                <w:sz w:val="14"/>
              </w:rPr>
              <w:t>FCR h² 约 0.07–0.41；RFI h² 约 0.23–0.49[145]</w:t>
            </w:r>
          </w:p>
        </w:tc>
        <w:tc>
          <w:tcPr>
            <w:tcW w:type="dxa" w:w="1837"/>
            <w:vAlign w:val="center"/>
          </w:tcPr>
          <w:p>
            <w:r>
              <w:rPr>
                <w:sz w:val="14"/>
              </w:rPr>
              <w:t>不同群体和模型差异较大，依赖标准化采食记录和参考群体规模[83–84,145]</w:t>
            </w:r>
          </w:p>
        </w:tc>
        <w:tc>
          <w:tcPr>
            <w:tcW w:type="dxa" w:w="1837"/>
            <w:vAlign w:val="center"/>
          </w:tcPr>
          <w:p>
            <w:r>
              <w:rPr>
                <w:sz w:val="14"/>
              </w:rPr>
              <w:t>报道 QTL 对表型方差贡献约 0.005–0.22，RFI 中较高 QTL 约 0.06–0.22[145]</w:t>
            </w:r>
          </w:p>
        </w:tc>
        <w:tc>
          <w:tcPr>
            <w:tcW w:type="dxa" w:w="1837"/>
            <w:vAlign w:val="center"/>
          </w:tcPr>
          <w:p>
            <w:r>
              <w:rPr>
                <w:sz w:val="14"/>
              </w:rPr>
              <w:t>多基因和环境敏感性强，MAS 风险高，GS 与长期表型记录更适合。</w:t>
            </w:r>
          </w:p>
        </w:tc>
      </w:tr>
      <w:tr>
        <w:trPr>
          <w:cantSplit/>
        </w:trPr>
        <w:tc>
          <w:tcPr>
            <w:tcW w:type="dxa" w:w="1837"/>
            <w:vAlign w:val="center"/>
          </w:tcPr>
          <w:p>
            <w:r>
              <w:rPr>
                <w:sz w:val="14"/>
              </w:rPr>
              <w:t>蛋鸡产蛋数/产蛋性能（京粉 6 号）</w:t>
            </w:r>
          </w:p>
        </w:tc>
        <w:tc>
          <w:tcPr>
            <w:tcW w:type="dxa" w:w="1837"/>
            <w:vAlign w:val="center"/>
          </w:tcPr>
          <w:p>
            <w:r>
              <w:rPr>
                <w:sz w:val="14"/>
              </w:rPr>
              <w:t>总产蛋数在该群体中呈中等遗传力（约 0.35）[44]</w:t>
            </w:r>
          </w:p>
        </w:tc>
        <w:tc>
          <w:tcPr>
            <w:tcW w:type="dxa" w:w="1837"/>
            <w:vAlign w:val="center"/>
          </w:tcPr>
          <w:p>
            <w:r>
              <w:rPr>
                <w:sz w:val="14"/>
              </w:rPr>
              <w:t>PBLUP、GBLUP 和 ssGBLUP 平均准确度分别约 0.536、0.531 和 0.555；ssGBLUP 较 PBLUP 提升约 3.41%[44]</w:t>
            </w:r>
          </w:p>
        </w:tc>
        <w:tc>
          <w:tcPr>
            <w:tcW w:type="dxa" w:w="1837"/>
            <w:vAlign w:val="center"/>
          </w:tcPr>
          <w:p>
            <w:r>
              <w:rPr>
                <w:sz w:val="14"/>
              </w:rPr>
              <w:t>显著 SNP 分布在 GGA4、GGA6、GGA10、GGA18 和 GGA25 等区域[44]</w:t>
            </w:r>
          </w:p>
        </w:tc>
        <w:tc>
          <w:tcPr>
            <w:tcW w:type="dxa" w:w="1837"/>
            <w:vAlign w:val="center"/>
          </w:tcPr>
          <w:p>
            <w:r>
              <w:rPr>
                <w:sz w:val="14"/>
              </w:rPr>
              <w:t>产蛋持续性更适合纵向表型 + GS；候选位点主要用于先验和验证排序。</w:t>
            </w:r>
          </w:p>
        </w:tc>
      </w:tr>
      <w:tr>
        <w:trPr>
          <w:cantSplit/>
        </w:trPr>
        <w:tc>
          <w:tcPr>
            <w:tcW w:type="dxa" w:w="1837"/>
            <w:vAlign w:val="center"/>
          </w:tcPr>
          <w:p>
            <w:r>
              <w:rPr>
                <w:sz w:val="14"/>
              </w:rPr>
              <w:t>白来航蛋壳质量</w:t>
            </w:r>
          </w:p>
        </w:tc>
        <w:tc>
          <w:tcPr>
            <w:tcW w:type="dxa" w:w="1837"/>
            <w:vAlign w:val="center"/>
          </w:tcPr>
          <w:p>
            <w:r>
              <w:rPr>
                <w:sz w:val="14"/>
              </w:rPr>
              <w:t>蛋壳破裂强度 h²≈0.17，动态刚度 h²≈0.34[146]</w:t>
            </w:r>
          </w:p>
        </w:tc>
        <w:tc>
          <w:tcPr>
            <w:tcW w:type="dxa" w:w="1837"/>
            <w:vAlign w:val="center"/>
          </w:tcPr>
          <w:p>
            <w:r>
              <w:rPr>
                <w:sz w:val="14"/>
              </w:rPr>
              <w:t>多性状 single-step GBLUP 和 BayesB 可提高蛋壳质量预测[146]</w:t>
            </w:r>
          </w:p>
        </w:tc>
        <w:tc>
          <w:tcPr>
            <w:tcW w:type="dxa" w:w="1837"/>
            <w:vAlign w:val="center"/>
          </w:tcPr>
          <w:p>
            <w:r>
              <w:rPr>
                <w:sz w:val="14"/>
              </w:rPr>
              <w:t>7 个区域解释 &gt;2% 遗传方差，54 个区域解释 &gt;1% 遗传方差[146]</w:t>
            </w:r>
          </w:p>
        </w:tc>
        <w:tc>
          <w:tcPr>
            <w:tcW w:type="dxa" w:w="1837"/>
            <w:vAlign w:val="center"/>
          </w:tcPr>
          <w:p>
            <w:r>
              <w:rPr>
                <w:sz w:val="14"/>
              </w:rPr>
              <w:t>蛋壳质量为典型多基因性状，应以 GS 和多性状选择为主。</w:t>
            </w:r>
          </w:p>
        </w:tc>
      </w:tr>
      <w:tr>
        <w:trPr>
          <w:cantSplit/>
        </w:trPr>
        <w:tc>
          <w:tcPr>
            <w:tcW w:type="dxa" w:w="1837"/>
            <w:vAlign w:val="center"/>
          </w:tcPr>
          <w:p>
            <w:r>
              <w:rPr>
                <w:sz w:val="14"/>
              </w:rPr>
              <w:t>NDV/AIV 抗体反应</w:t>
            </w:r>
          </w:p>
        </w:tc>
        <w:tc>
          <w:tcPr>
            <w:tcW w:type="dxa" w:w="1837"/>
            <w:vAlign w:val="center"/>
          </w:tcPr>
          <w:p>
            <w:r>
              <w:rPr>
                <w:sz w:val="14"/>
              </w:rPr>
              <w:t>NDV 和 AIV 抗体反应 h² 约 0.48[147]</w:t>
            </w:r>
          </w:p>
        </w:tc>
        <w:tc>
          <w:tcPr>
            <w:tcW w:type="dxa" w:w="1837"/>
            <w:vAlign w:val="center"/>
          </w:tcPr>
          <w:p>
            <w:r>
              <w:rPr>
                <w:sz w:val="14"/>
              </w:rPr>
              <w:t>加入基因组信息可提高预测准确度；家系抽样下 NDV 约 0.086→0.237，AIV 约 0.080→0.347；随机抽样下 NDV 约 0.389→0.427，AIV 约 0.281→0.367[147]</w:t>
            </w:r>
          </w:p>
        </w:tc>
        <w:tc>
          <w:tcPr>
            <w:tcW w:type="dxa" w:w="1837"/>
            <w:vAlign w:val="center"/>
          </w:tcPr>
          <w:p>
            <w:r>
              <w:rPr>
                <w:sz w:val="14"/>
              </w:rPr>
              <w:t>抗体反应不等同临床抗病性，单一位点贡献受免疫程序和病原暴露影响</w:t>
            </w:r>
          </w:p>
        </w:tc>
        <w:tc>
          <w:tcPr>
            <w:tcW w:type="dxa" w:w="1837"/>
            <w:vAlign w:val="center"/>
          </w:tcPr>
          <w:p>
            <w:r>
              <w:rPr>
                <w:sz w:val="14"/>
              </w:rPr>
              <w:t>抗病改良应作为综合健康性状纳入 GS，不宜用抗体单指标或单标记替代疾病管理。</w:t>
            </w:r>
          </w:p>
        </w:tc>
      </w:tr>
    </w:tbl>
    <w:p>
      <w:r>
        <w:t>注：表中数值用于说明家禽复杂经济性状的数量遗传语境，并非跨群体通用参数；不同品系、性别、日龄、表型定义、芯片密度、训练集规模和验证方式会显著影响遗传力和预测准确度。</w:t>
      </w:r>
    </w:p>
    <w:p>
      <w:pPr/>
      <w:r>
        <w:t>对生长、饲料效率、产蛋持续性、肉质、抗病性和环境适应等性状而言，GS 通常比依赖少数候选标记更稳妥。原因在于，这类性状多数受多基因小效应控制，且容易受饲养环境、日龄、营养、病原暴露和管理条件影响。GS 的关键不在于是否拥有高密度 SNP 芯片，而在于是否拥有连续、标准化、高质量的表型记录，是否建立了足够规模的参考群体，以及预测模型是否与目标育种群体匹配[41–45,83–84]。表 2 汇总的代表性定量结果显示，家禽复杂性状的遗传力和预测准确度通常处于低到中等或中等范围，少数 QTL 区域可以贡献一定预测信息，但难以替代全基因组模型。</w:t>
      </w:r>
    </w:p>
    <w:p>
      <w:pPr/>
      <w:r>
        <w:t>多组学、泛基因组和功能注释可以通过三种方式服务 GS。第一，补充常规 SNP 芯片遗漏的结构变异、转座子插入、拷贝数变异和参考缺失序列。第二，为 eQTL、sQTL、染色质开放、3D 互作和组织特异性调控位点分配更高先验权重。第三，把饲料效率、抗病性、产蛋持续性和福利相关性状拆解为更可重复记录的中间表型。但这些先验只有在独立验证群体、跨世代预测或交叉群体预测中提高 GEBV 准确度、实际遗传进展或多性状选择效率时，才具有真正育种意义；否则它们主要提供机制解释和验证优先级排序[21,26–32,72]。</w:t>
      </w:r>
    </w:p>
    <w:p>
      <w:pPr>
        <w:pStyle w:val="Heading2"/>
      </w:pPr>
      <w:r>
        <w:rPr>
          <w:rFonts w:ascii="Times New Roman" w:hAnsi="Times New Roman" w:eastAsia="Noto Serif CJK SC"/>
        </w:rPr>
        <w:t>6.4 基因编辑：功能验证工具与少数关键性状突破路径</w:t>
      </w:r>
    </w:p>
    <w:p>
      <w:pPr/>
      <w:r>
        <w:rPr>
          <w:rFonts w:ascii="Times New Roman" w:hAnsi="Times New Roman" w:eastAsia="Noto Serif CJK SC"/>
        </w:rPr>
        <w:t>基因编辑提供了直接改变候选基因、候选变异或调控元件的可能。家鸡基因编辑依赖 PGC 体系，可在体外对 PGC 进行 CRISPR/Cas9、CRISPRa/i 或相关系统操作，再通过胚胎注射和种系传递获得稳定编辑鸡群[37–39,46]。因此，基因编辑在家鸡复杂性状研究中的首要价值，是为高可信候选位点提供更直接的因果验证，而不是把所有 GWAS 候选基因都转化为编辑靶点。</w:t>
      </w:r>
    </w:p>
    <w:p>
      <w:pPr/>
      <w:r>
        <w:t>抗病性状是当前编辑证据较强的方向之一。ANP32A 编辑鸡在低剂量 H9N2 挑战下表现出抗性增强，说明改变宿主关键因子可以影响病毒复制和感染结局[25]。但高剂量突破感染和病毒可能利用其他 ANP32 家族成员完成复制，也提示单位点编辑不能直接等同于稳定、广谱、产业可用的抗病方案[25]。因此，ANP32A 在本文框架中应写成 gene/target-level A、产业轴 T0/T1 高风险案例，而不是自然变异位点层面的成熟抗病育种方案。</w:t>
      </w:r>
    </w:p>
    <w:p>
      <w:pPr/>
      <w:r>
        <w:t>基因编辑更适合以下几类场景：第一，验证 A 级或 B 级偏强候选位点的因果功能；第二，针对病原入侵受体、关键宿主因子或明确有害突变进行靶点评估；第三，在常规选择难以快速改变的少数关键性状上探索定向突破；第四，用作功能基因组学工具，帮助解释 GWAS 或多组学信号。对于多基因、小效应、强环境依赖的性状，如饲料效率、产蛋持续性、肉质和地方适应，基因编辑通常不应替代 GS 和综合选择指数[25,37–39,46,148]。</w:t>
      </w:r>
    </w:p>
    <w:p>
      <w:pPr/>
      <w:r>
        <w:t>进入应用前，编辑位点还需经过脱靶风险、多效性、遗传背景稳定性、生产性能、繁殖性能、健康福利、食品安全、监管合规和社会接受度评估。尤其对于抗病编辑，还需评估病原逃逸、免疫生态、疫苗策略和生物安全体系。换言之，基因编辑可以提供强功能证据，但不能自动证明产业成熟度[25,46,149–153]。</w:t>
      </w:r>
    </w:p>
    <w:p>
      <w:pPr>
        <w:pStyle w:val="Heading2"/>
      </w:pPr>
      <w:r>
        <w:rPr>
          <w:rFonts w:ascii="Times New Roman" w:hAnsi="Times New Roman" w:eastAsia="Noto Serif CJK SC"/>
        </w:rPr>
        <w:t>6.5 多工具协同：从候选证据到目标群体验证</w:t>
      </w:r>
    </w:p>
    <w:p>
      <w:pPr/>
      <w:r>
        <w:rPr>
          <w:rFonts w:ascii="Times New Roman" w:hAnsi="Times New Roman" w:eastAsia="Noto Serif CJK SC"/>
        </w:rPr>
        <w:t>MAS、GS 和基因编辑不是前后替代关系，而是对应不同证据等级和育种任务。MAS 适合少数主效位点、品种特征和明确风险位点管理；GS 是复杂经济性状长期改良的主干；基因编辑主要用于强候选位点功能验证和少数关键性状突破。三者共同发挥作用的前提，是候选位点证据足够清楚，并且能在目标群体和真实育种流程中经得起验证。</w:t>
      </w:r>
    </w:p>
    <w:p>
      <w:pPr/>
      <w:r>
        <w:t>多组学证据在这个过程中主要发挥“先验排序”作用。ChickenGTEx、单细胞图谱、染色质开放、3D 基因组和泛基因组资源可以帮助识别更可能具有组织特异性功能的变异，从而支持候选位点精细定位、GS 加权和编辑靶点筛选[21,26,30,32]。但这些先验不能脱离育种评估独立成立。若某个功能注释位点不能在独立验证群体中提高预测准确度、选择反应、跨群体稳定性或多性状综合收益，它在育种上仍只能算机制解释或验证优先级，而不是成熟工具。</w:t>
      </w:r>
    </w:p>
    <w:p>
      <w:pPr/>
      <w:r>
        <w:t>因此，一个合理的精准育种转化框架应包括：候选信号发现、证据成熟度评分、功能验证优先级排序、目标育种群体验证、工具选择、经济与福利评估、监管与应用路径评估。证据轴决定候选位点适合进入何种研究强度，产业轴决定其是否可进入真实育种流程。最终是否应用，应由其对 GEBV、实际遗传进展、多性状平衡、遗传多样性、动物福利和生产体系风险的贡献决定。</w:t>
      </w:r>
    </w:p>
    <w:p>
      <w:pPr>
        <w:pStyle w:val="Heading2"/>
      </w:pPr>
      <w:r>
        <w:rPr>
          <w:rFonts w:ascii="Times New Roman" w:hAnsi="Times New Roman" w:eastAsia="Noto Serif CJK SC"/>
        </w:rPr>
        <w:t>6.6 本章小结</w:t>
      </w:r>
    </w:p>
    <w:p>
      <w:pPr/>
      <w:r>
        <w:t>家鸡遗传发现向育种应用的转化，实质上是证据成熟度、性状遗传结构和目标育种体系之间的匹配。MAS 适用于少数强证据主效位点、品种特征和明确风险位点管理；GS 仍是生长、饲料效率、产蛋持续性、肉质、抗病性和适应性等复杂经济性状长期改良的主干；基因编辑则更适合作为功能验证工具和少数关键性状的突破路径。三者不是互相替代关系，而是应按照证据等级、性状结构和 T 轴应用风险分工协同。</w:t>
      </w:r>
    </w:p>
    <w:p>
      <w:pPr/>
      <w:r>
        <w:rPr>
          <w:rFonts w:ascii="Times New Roman" w:hAnsi="Times New Roman" w:eastAsia="Noto Serif CJK SC"/>
        </w:rPr>
        <w:t>因此，精准育种不能停留在“发现候选基因”层面，也不能把功能实验阳性结果直接等同于产业成熟度。C 级信号用于提出假设，B 级信号用于验证优先级排序和 GS 先验，A 级位点才适合进入功能标记或编辑靶点评估。最终是否应用，还必须回到目标育种群体中检验其对 GEBV、实际遗传进展、多性状平衡、遗传多样性、动物福利和生产体系风险的贡献。只有同时满足机制可解释、选择有增益和应用风险可控，候选位点才能真正从后关联证据转化为精准育种工具。</w:t>
      </w:r>
    </w:p>
    <w:p>
      <w:pPr>
        <w:pStyle w:val="Heading1"/>
      </w:pPr>
      <w:r>
        <w:rPr>
          <w:rFonts w:ascii="Times New Roman" w:hAnsi="Times New Roman" w:eastAsia="Noto Serif CJK SC"/>
        </w:rPr>
        <w:t>7 未来优先方向与结论</w:t>
      </w:r>
    </w:p>
    <w:p>
      <w:pPr/>
      <w:r>
        <w:rPr>
          <w:rFonts w:ascii="Times New Roman" w:hAnsi="Times New Roman" w:eastAsia="Noto Serif CJK SC"/>
        </w:rPr>
        <w:t>家鸡复杂性状研究已经积累了大量 GWAS、QTL、选择信号和多组学候选结果，但真正能够进入育种决策的证据仍然有限。未来研究的重点不应继续停留在扩大候选基因列表，而应围绕证据链薄弱环节开展：补全变异空间、提高调控解释能力、标准化复杂表型、开展目标群体验证，并在基因编辑和精准育种应用中同步考虑福利、监管和产业风险。</w:t>
      </w:r>
    </w:p>
    <w:p>
      <w:pPr>
        <w:pStyle w:val="Heading2"/>
      </w:pPr>
      <w:r>
        <w:rPr>
          <w:rFonts w:ascii="Times New Roman" w:hAnsi="Times New Roman" w:eastAsia="Noto Serif CJK SC"/>
        </w:rPr>
        <w:t>7.1 未来需要优先解决的五个问题</w:t>
      </w:r>
    </w:p>
    <w:p>
      <w:pPr/>
      <w:r>
        <w:rPr>
          <w:rFonts w:ascii="Times New Roman" w:hAnsi="Times New Roman" w:eastAsia="Noto Serif CJK SC"/>
        </w:rPr>
        <w:t>第一，需要系统补全结构变异、转座子插入和参考缺失序列。常规 SNP 芯片和短读长测序难以充分捕获插入缺失、拷贝数变异、复杂重排、转座子插入和品种特异序列，而这些变异往往与体型、羽色、冠型、抗病和地方适应等性状有关。IGF2BP1 启动子缺失和鸡图泛基因组研究已经说明，泛基因组和图泛基因组能够把部分传统 GWAS 难以解析的候选区域推进到更明确的变异层面[21,26]。因此，后续研究应将长读长测序、泛基因组、图泛基因组和核心育种群体重测序结合起来，把 SV、TE 和参考缺失序列纳入常规遗传评估，而不是只依赖 SNP 标记。</w:t>
      </w:r>
    </w:p>
    <w:p>
      <w:pPr/>
      <w:r>
        <w:t>第二，需要从“最近基因注释”转向组织和细胞类型支持的调控解释。多数复杂性状关联信号位于非编码区，简单把显著 SNP 附近最近基因写成候选基因，容易造成因果解释偏差。FAANG、鸡调控元件图谱、染色质开放图谱、ChickenGTEx、3D 基因组和单细胞图谱为非编码变异解释提供了新的证据来源[27–32]。未来研究应优先回答候选变异是否位于目标组织或目标细胞类型的功能元件中，是否与 eQTL、sQTL、ASE、染色质开放或三维互作形成统计学一致的证据链，是否能解释目标性状的组织和发育阶段特异性。仅有空间重叠或附近表达不应作为 C 级升 B 级的充分条件；统计共定位、方向一致的等位表达或扰动验证应成为更高等级机制证据的基本门槛[57–58]。</w:t>
      </w:r>
    </w:p>
    <w:p>
      <w:pPr/>
      <w:r>
        <w:t>第三，需要建立跨研究可比较的核心表型体系。许多家鸡复杂性状的证据成熟度低，并不是因为没有基因型数据，而是因为表型定义不统一。产蛋性状受开产日龄、产蛋阶段、连产节律和后期持续性影响；饲料效率受饲粮、日龄、环境和健康状态影响；抗病性状受病原株、感染剂量、免疫程序和生产损失终点影响；福利相关性状则涉及行为、骨骼、代谢、疾病和生产性能之间的权衡。因此，未来研究应建立核心表型集，尤其是纵向产蛋曲线、标准化采食记录、病原载量或排菌量、感染后生产损失、肉质异常、骨骼健康和环境适应指标[83–86,94–96,105–112,154–156]。没有稳定可重复的表型，GWAS、GS、多组学和功能验证都难以形成可比较证据。</w:t>
      </w:r>
    </w:p>
    <w:p>
      <w:pPr/>
      <w:r>
        <w:t>第四，需要把候选位点验证放回目标育种群体。一个位点在实验群体或地方品种中显著，并不意味着它能在商业肉鸡、蛋鸡或兼用型群体中产生稳定选择增益。目标群体中的等位基因频率、连锁背景、遗传背景依赖、多性状影响和经济权重，都会改变候选位点的实际价值。地方鸡和黄羽肉鸡等群体还可能面临参考群体小、表型记录不连续、群体结构复杂和跨品种预测精度下降等问题[144,157]。因此，B 级和 A 级候选位点都应在目标育种群体中验证其对 GEBV、实际遗传进展、多性状平衡、遗传多样性和福利指标的贡献。只有在真实育种体系中表现稳定的证据，才具有转化价值。</w:t>
      </w:r>
    </w:p>
    <w:p>
      <w:pPr/>
      <w:r>
        <w:t>第五，需要把地方资源利用、基因编辑、福利和监管放在同一决策框架中。地方鸡种保存了与抗逆性、抗病性、风味品质、环境适应和特色外貌相关的遗传多样性，但其价值不应只用“能否向商业群体提供某个等位基因”来衡量。许多适应性状依赖遗传背景、生态环境和管理方式，单个位点导入未必能复制原品种表现[123–137]。同时，基因编辑可用于抗病靶点验证、生产方式创新和少数关键性状突破，例如禽白血病病毒受体相关编辑、生物反应器和胚胎期性别管理等方向[148,158–160]；但食品动物基因组改变还必须面对遗传稳定性、脱靶、多效性、健康福利、食品安全、监管合规和社会接受度等问题[149–153]。因此，未来研究应把机制证据、产业成熟度、福利后果和监管边界分开评价，避免把实验性功能验证直接等同于商业应用。</w:t>
      </w:r>
    </w:p>
    <w:p>
      <w:pPr>
        <w:pStyle w:val="Heading2"/>
      </w:pPr>
      <w:r>
        <w:rPr>
          <w:rFonts w:ascii="Times New Roman" w:hAnsi="Times New Roman" w:eastAsia="Noto Serif CJK SC"/>
        </w:rPr>
        <w:t>7.2 结论</w:t>
      </w:r>
    </w:p>
    <w:p>
      <w:pPr/>
      <w:r>
        <w:t>综上，家鸡复杂性状遗传研究正在从“候选基因发现”进入“证据成熟度评价和因果验证”阶段。本文提出的 A/B/C 框架并非取代 ACMG/AMP、ClinGen、GWAS-to-function、ENCODE/IGVF 或 Open Targets 等先例，而是把证据分层思想转化到家鸡候选位点、功能验证和育种工具选择中。真正高价值的遗传发现，应同时回答三个问题：变异在哪里，如何影响性状，能否在目标育种体系中稳定产生价值。如果只能回答第一个问题，该结果通常仍属于 C 级候选线索；如果能够提供重复性、组织特异性、严格共定位或机制解释，则可作为 B/B+ 级验证对象；只有在候选变异或单倍型明确、功能后果清楚，并且表型联系得到强功能支持时，才适合进一步评估为 variant-level A 证据；由体内编辑或强扰动获得的 gene/target-level A 证据则需单独说明其不等同于自然变异的育种可用性。</w:t>
      </w:r>
    </w:p>
    <w:p>
      <w:pPr/>
      <w:r>
        <w:t>本文提出的 A/B/C 证据成熟度框架，并不是为了给候选位点简单贴标签，而是为家鸡复杂性状研究提供一种更透明的共同判断语言。当前证据分布显示，variant-level A 证据链主要出现在主效、寡基因或结构变异表型中，而饲料效率、产蛋持续性、肉质、复杂抗病性和地方适应等真正多基因经济性状多处于 B/B+ 或 C/B 阶段。这意味着复杂经济性状的育种主干仍应是 GS 和多性状选择指数，MAS 和基因编辑则应聚焦少数强证据位点、明确风险位点和可被目标群体验证的应用场景。</w:t>
      </w:r>
    </w:p>
    <w:p>
      <w:pPr/>
      <w:r>
        <w:t>未来家鸡精准育种的核心，不只是发现更多位点，而是建立更可靠、可复核并能服务目标育种群体的证据。泛基因组和长读长测序应补全隐藏变异，ChickenGTEx、染色质开放、3D 基因组和单细胞图谱应改善调控解释，功能验证应把候选信号推向因果证据，GS 应承担复杂经济性状长期改良，MAS 和基因编辑则应聚焦少数强证据位点和明确应用场景。与此同时，本文框架仍需在独立位点集和多评估者盲分级中验证一致性；在此之前，它应被定位为启发式判断辅助，而不是已完全客观化的评价量表。</w:t>
      </w:r>
    </w:p>
    <w:p>
      <w:pPr>
        <w:pStyle w:val="Caption_CN"/>
      </w:pPr>
      <w:r>
        <w:t>表 3 家鸡代表性候选位点的四维评分、产业适用性和转化边界</w:t>
      </w:r>
    </w:p>
    <w:tbl>
      <w:tblPr>
        <w:tblStyle w:val="TableGrid"/>
        <w:tblW w:type="auto" w:w="0"/>
        <w:jc w:val="center"/>
        <w:tblLayout w:type="autofit"/>
        <w:tblLook w:firstColumn="1" w:firstRow="1" w:lastColumn="0" w:lastRow="0" w:noHBand="0" w:noVBand="1" w:val="04A0"/>
      </w:tblPr>
      <w:tblGrid>
        <w:gridCol w:w="1837"/>
        <w:gridCol w:w="1837"/>
        <w:gridCol w:w="1837"/>
        <w:gridCol w:w="1837"/>
        <w:gridCol w:w="1837"/>
      </w:tblGrid>
      <w:tr>
        <w:trPr>
          <w:tblHeader w:val="true"/>
          <w:cantSplit/>
        </w:trPr>
        <w:tc>
          <w:tcPr>
            <w:tcW w:type="dxa" w:w="1837"/>
            <w:vAlign w:val="center"/>
          </w:tcPr>
          <w:p>
            <w:r>
              <w:rPr>
                <w:sz w:val="14"/>
              </w:rPr>
              <w:t>性状/领域</w:t>
            </w:r>
          </w:p>
        </w:tc>
        <w:tc>
          <w:tcPr>
            <w:tcW w:type="dxa" w:w="1837"/>
            <w:vAlign w:val="center"/>
          </w:tcPr>
          <w:p>
            <w:r>
              <w:rPr>
                <w:sz w:val="14"/>
              </w:rPr>
              <w:t>证据单元</w:t>
            </w:r>
          </w:p>
        </w:tc>
        <w:tc>
          <w:tcPr>
            <w:tcW w:type="dxa" w:w="1837"/>
            <w:vAlign w:val="center"/>
          </w:tcPr>
          <w:p>
            <w:r>
              <w:t>四维评分、证据等级与 T 轴</w:t>
            </w:r>
          </w:p>
        </w:tc>
        <w:tc>
          <w:tcPr>
            <w:tcW w:type="dxa" w:w="1837"/>
            <w:vAlign w:val="center"/>
          </w:tcPr>
          <w:p>
            <w:r>
              <w:rPr>
                <w:sz w:val="14"/>
              </w:rPr>
              <w:t>可用场景</w:t>
            </w:r>
          </w:p>
        </w:tc>
        <w:tc>
          <w:tcPr>
            <w:tcW w:type="dxa" w:w="1837"/>
            <w:vAlign w:val="center"/>
          </w:tcPr>
          <w:p>
            <w:r>
              <w:t>为何不是更高等级/下一步验证</w:t>
            </w:r>
          </w:p>
        </w:tc>
      </w:tr>
      <w:tr>
        <w:trPr>
          <w:cantSplit/>
        </w:trPr>
        <w:tc>
          <w:tcPr>
            <w:tcW w:type="dxa" w:w="1837"/>
            <w:vAlign w:val="center"/>
          </w:tcPr>
          <w:p>
            <w:r>
              <w:rPr>
                <w:sz w:val="14"/>
              </w:rPr>
              <w:t>生长/体型</w:t>
            </w:r>
          </w:p>
        </w:tc>
        <w:tc>
          <w:tcPr>
            <w:tcW w:type="dxa" w:w="1837"/>
            <w:vAlign w:val="center"/>
          </w:tcPr>
          <w:p>
            <w:r>
              <w:rPr>
                <w:sz w:val="14"/>
              </w:rPr>
              <w:t>IGF2BP1 启动子缺失；转录活性增强；群体关联[21]</w:t>
            </w:r>
          </w:p>
        </w:tc>
        <w:tc>
          <w:tcPr>
            <w:tcW w:type="dxa" w:w="1837"/>
            <w:vAlign w:val="center"/>
          </w:tcPr>
          <w:p>
            <w:r>
              <w:t>V1=2,V2=1,V3=2,V4=1；B+；T1</w:t>
            </w:r>
          </w:p>
        </w:tc>
        <w:tc>
          <w:tcPr>
            <w:tcW w:type="dxa" w:w="1837"/>
            <w:vAlign w:val="center"/>
          </w:tcPr>
          <w:p>
            <w:r>
              <w:t>体型机制解释；结构变异证据模型；功能标记候选需再验证</w:t>
            </w:r>
          </w:p>
        </w:tc>
        <w:tc>
          <w:tcPr>
            <w:tcW w:type="dxa" w:w="1837"/>
            <w:vAlign w:val="center"/>
          </w:tcPr>
          <w:p>
            <w:r>
              <w:t>缺内源编辑/导入或更强体内因果验证；需目标群体、多性状、骨骼/肉质/福利评估；不能外推为无限制增重。</w:t>
            </w:r>
          </w:p>
        </w:tc>
      </w:tr>
      <w:tr>
        <w:trPr>
          <w:cantSplit/>
        </w:trPr>
        <w:tc>
          <w:tcPr>
            <w:tcW w:type="dxa" w:w="1837"/>
            <w:vAlign w:val="center"/>
          </w:tcPr>
          <w:p>
            <w:r>
              <w:rPr>
                <w:sz w:val="14"/>
              </w:rPr>
              <w:t>脂肪沉积</w:t>
            </w:r>
          </w:p>
        </w:tc>
        <w:tc>
          <w:tcPr>
            <w:tcW w:type="dxa" w:w="1837"/>
            <w:vAlign w:val="center"/>
          </w:tcPr>
          <w:p>
            <w:r>
              <w:rPr>
                <w:sz w:val="14"/>
              </w:rPr>
              <w:t>rs734209466–IGFBP2/IGFBP5 增强子调控链[30]</w:t>
            </w:r>
          </w:p>
        </w:tc>
        <w:tc>
          <w:tcPr>
            <w:tcW w:type="dxa" w:w="1837"/>
            <w:vAlign w:val="center"/>
          </w:tcPr>
          <w:p>
            <w:r>
              <w:t>V1=1,V2=1,V3=2,V4=1；B+；T0/T1</w:t>
            </w:r>
          </w:p>
        </w:tc>
        <w:tc>
          <w:tcPr>
            <w:tcW w:type="dxa" w:w="1837"/>
            <w:vAlign w:val="center"/>
          </w:tcPr>
          <w:p>
            <w:r>
              <w:t>精细定位；GS 先验；功能验证优先</w:t>
            </w:r>
          </w:p>
        </w:tc>
        <w:tc>
          <w:tcPr>
            <w:tcW w:type="dxa" w:w="1837"/>
            <w:vAlign w:val="center"/>
          </w:tcPr>
          <w:p>
            <w:r>
              <w:t>缺内源编辑和跨群体验证；需验证目标群体效应和肉质/脂肪权衡。</w:t>
            </w:r>
          </w:p>
        </w:tc>
      </w:tr>
      <w:tr>
        <w:trPr>
          <w:cantSplit/>
        </w:trPr>
        <w:tc>
          <w:tcPr>
            <w:tcW w:type="dxa" w:w="1837"/>
            <w:vAlign w:val="center"/>
          </w:tcPr>
          <w:p>
            <w:r>
              <w:rPr>
                <w:sz w:val="14"/>
              </w:rPr>
              <w:t>肉质/肌内脂肪</w:t>
            </w:r>
          </w:p>
        </w:tc>
        <w:tc>
          <w:tcPr>
            <w:tcW w:type="dxa" w:w="1837"/>
            <w:vAlign w:val="center"/>
          </w:tcPr>
          <w:p>
            <w:r>
              <w:rPr>
                <w:sz w:val="14"/>
              </w:rPr>
              <w:t>IMFNCR–PPARG 调控轴[71]</w:t>
            </w:r>
          </w:p>
        </w:tc>
        <w:tc>
          <w:tcPr>
            <w:tcW w:type="dxa" w:w="1837"/>
            <w:vAlign w:val="center"/>
          </w:tcPr>
          <w:p>
            <w:r>
              <w:t>V1=0/1,V2=1,V3=2,V4=1；B；T0</w:t>
            </w:r>
          </w:p>
        </w:tc>
        <w:tc>
          <w:tcPr>
            <w:tcW w:type="dxa" w:w="1837"/>
            <w:vAlign w:val="center"/>
          </w:tcPr>
          <w:p>
            <w:r>
              <w:t>机制验证优先对象</w:t>
            </w:r>
          </w:p>
        </w:tc>
        <w:tc>
          <w:tcPr>
            <w:tcW w:type="dxa" w:w="1837"/>
            <w:vAlign w:val="center"/>
          </w:tcPr>
          <w:p>
            <w:r>
              <w:t>细胞模型证据较强，但自然变异、群体效应和目标群体验证不足。</w:t>
            </w:r>
          </w:p>
        </w:tc>
      </w:tr>
      <w:tr>
        <w:trPr>
          <w:cantSplit/>
        </w:trPr>
        <w:tc>
          <w:tcPr>
            <w:tcW w:type="dxa" w:w="1837"/>
            <w:vAlign w:val="center"/>
          </w:tcPr>
          <w:p>
            <w:r>
              <w:rPr>
                <w:sz w:val="14"/>
              </w:rPr>
              <w:t>繁殖产蛋</w:t>
            </w:r>
          </w:p>
        </w:tc>
        <w:tc>
          <w:tcPr>
            <w:tcW w:type="dxa" w:w="1837"/>
            <w:vAlign w:val="center"/>
          </w:tcPr>
          <w:p>
            <w:r>
              <w:rPr>
                <w:sz w:val="14"/>
              </w:rPr>
              <w:t>PHIP 非编码变异；FOXI1 结合、表达和颗粒细胞功能[31]</w:t>
            </w:r>
          </w:p>
        </w:tc>
        <w:tc>
          <w:tcPr>
            <w:tcW w:type="dxa" w:w="1837"/>
            <w:vAlign w:val="center"/>
          </w:tcPr>
          <w:p>
            <w:r>
              <w:t>V1=1,V2=1,V3=2,V4=1；B；T0/T1</w:t>
            </w:r>
          </w:p>
        </w:tc>
        <w:tc>
          <w:tcPr>
            <w:tcW w:type="dxa" w:w="1837"/>
            <w:vAlign w:val="center"/>
          </w:tcPr>
          <w:p>
            <w:r>
              <w:t>机制验证；GS 先验；不直接 MAS</w:t>
            </w:r>
          </w:p>
        </w:tc>
        <w:tc>
          <w:tcPr>
            <w:tcW w:type="dxa" w:w="1837"/>
            <w:vAlign w:val="center"/>
          </w:tcPr>
          <w:p>
            <w:r>
              <w:t>缺体内因果验证、内源编辑和商业群体稳定性；需独立群体、产蛋阶段和 PGC/体内验证。</w:t>
            </w:r>
          </w:p>
        </w:tc>
      </w:tr>
      <w:tr>
        <w:trPr>
          <w:cantSplit/>
        </w:trPr>
        <w:tc>
          <w:tcPr>
            <w:tcW w:type="dxa" w:w="1837"/>
            <w:vAlign w:val="center"/>
          </w:tcPr>
          <w:p>
            <w:r>
              <w:rPr>
                <w:sz w:val="14"/>
              </w:rPr>
              <w:t>繁殖产蛋</w:t>
            </w:r>
          </w:p>
        </w:tc>
        <w:tc>
          <w:tcPr>
            <w:tcW w:type="dxa" w:w="1837"/>
            <w:vAlign w:val="center"/>
          </w:tcPr>
          <w:p>
            <w:r>
              <w:rPr>
                <w:sz w:val="14"/>
              </w:rPr>
              <w:t>PRLR、NCAPG-FAM184B 等重复 GWAS 区域[59–60]</w:t>
            </w:r>
          </w:p>
        </w:tc>
        <w:tc>
          <w:tcPr>
            <w:tcW w:type="dxa" w:w="1837"/>
            <w:vAlign w:val="center"/>
          </w:tcPr>
          <w:p>
            <w:r>
              <w:t>V1=0/1,V2=2,V3=1,V4=0/1；B；T0</w:t>
            </w:r>
          </w:p>
        </w:tc>
        <w:tc>
          <w:tcPr>
            <w:tcW w:type="dxa" w:w="1837"/>
            <w:vAlign w:val="center"/>
          </w:tcPr>
          <w:p>
            <w:r>
              <w:t>精细定位；GS 先验</w:t>
            </w:r>
          </w:p>
        </w:tc>
        <w:tc>
          <w:tcPr>
            <w:tcW w:type="dxa" w:w="1837"/>
            <w:vAlign w:val="center"/>
          </w:tcPr>
          <w:p>
            <w:r>
              <w:t>因果变异、靶组织和作用阶段未清楚；需 eQTL/ASE、精细定位和目标群体验证。</w:t>
            </w:r>
          </w:p>
        </w:tc>
      </w:tr>
      <w:tr>
        <w:trPr>
          <w:cantSplit/>
        </w:trPr>
        <w:tc>
          <w:tcPr>
            <w:tcW w:type="dxa" w:w="1837"/>
            <w:vAlign w:val="center"/>
          </w:tcPr>
          <w:p>
            <w:r>
              <w:rPr>
                <w:sz w:val="14"/>
              </w:rPr>
              <w:t>蛋壳颜色</w:t>
            </w:r>
          </w:p>
        </w:tc>
        <w:tc>
          <w:tcPr>
            <w:tcW w:type="dxa" w:w="1837"/>
            <w:vAlign w:val="center"/>
          </w:tcPr>
          <w:p>
            <w:r>
              <w:rPr>
                <w:sz w:val="14"/>
              </w:rPr>
              <w:t>SLCO1B3 EAV-HP 插入；壳腺特异表达；蓝壳表型[22]</w:t>
            </w:r>
          </w:p>
        </w:tc>
        <w:tc>
          <w:tcPr>
            <w:tcW w:type="dxa" w:w="1837"/>
            <w:vAlign w:val="center"/>
          </w:tcPr>
          <w:p>
            <w:r>
              <w:t>V1=2,V2=2,V3=2,V4=2；variant-level A；T1/T2（限壳色管理）</w:t>
            </w:r>
          </w:p>
        </w:tc>
        <w:tc>
          <w:tcPr>
            <w:tcW w:type="dxa" w:w="1837"/>
            <w:vAlign w:val="center"/>
          </w:tcPr>
          <w:p>
            <w:r>
              <w:t>品种特征管理；颜色一致性</w:t>
            </w:r>
          </w:p>
        </w:tc>
        <w:tc>
          <w:tcPr>
            <w:tcW w:type="dxa" w:w="1837"/>
            <w:vAlign w:val="center"/>
          </w:tcPr>
          <w:p>
            <w:r>
              <w:t>仅限蓝壳/壳色管理；T2 只适用于壳色或品种特征管理场景，不能外推到产蛋数、蛋壳强度或综合蛋品质。</w:t>
            </w:r>
          </w:p>
        </w:tc>
      </w:tr>
      <w:tr>
        <w:trPr>
          <w:cantSplit/>
        </w:trPr>
        <w:tc>
          <w:tcPr>
            <w:tcW w:type="dxa" w:w="1837"/>
            <w:vAlign w:val="center"/>
          </w:tcPr>
          <w:p>
            <w:r>
              <w:rPr>
                <w:sz w:val="14"/>
              </w:rPr>
              <w:t>特色表型</w:t>
            </w:r>
          </w:p>
        </w:tc>
        <w:tc>
          <w:tcPr>
            <w:tcW w:type="dxa" w:w="1837"/>
            <w:vAlign w:val="center"/>
          </w:tcPr>
          <w:p>
            <w:r>
              <w:rPr>
                <w:sz w:val="14"/>
              </w:rPr>
              <w:t>BCDO2 调控变异；黄色皮肤[23]</w:t>
            </w:r>
          </w:p>
        </w:tc>
        <w:tc>
          <w:tcPr>
            <w:tcW w:type="dxa" w:w="1837"/>
            <w:vAlign w:val="center"/>
          </w:tcPr>
          <w:p>
            <w:r>
              <w:t>V1=2,V2=2,V3=2,V4=2；variant-level A；T1</w:t>
            </w:r>
          </w:p>
        </w:tc>
        <w:tc>
          <w:tcPr>
            <w:tcW w:type="dxa" w:w="1837"/>
            <w:vAlign w:val="center"/>
          </w:tcPr>
          <w:p>
            <w:r>
              <w:t>品种鉴定；特色表型管理</w:t>
            </w:r>
          </w:p>
        </w:tc>
        <w:tc>
          <w:tcPr>
            <w:tcW w:type="dxa" w:w="1837"/>
            <w:vAlign w:val="center"/>
          </w:tcPr>
          <w:p>
            <w:r>
              <w:t>A 级样板只适用于黄肤；产业轴不宜默认 T2；不能外推到生长、肉质、健康或抗病性。</w:t>
            </w:r>
          </w:p>
        </w:tc>
      </w:tr>
      <w:tr>
        <w:trPr>
          <w:cantSplit/>
        </w:trPr>
        <w:tc>
          <w:tcPr>
            <w:tcW w:type="dxa" w:w="1837"/>
            <w:vAlign w:val="center"/>
          </w:tcPr>
          <w:p>
            <w:r>
              <w:rPr>
                <w:sz w:val="14"/>
              </w:rPr>
              <w:t>特色表型</w:t>
            </w:r>
          </w:p>
        </w:tc>
        <w:tc>
          <w:tcPr>
            <w:tcW w:type="dxa" w:w="1837"/>
            <w:vAlign w:val="center"/>
          </w:tcPr>
          <w:p>
            <w:r>
              <w:rPr>
                <w:sz w:val="14"/>
              </w:rPr>
              <w:t>EDN3 结构变异；异常表达；纤维黑变[24]</w:t>
            </w:r>
          </w:p>
        </w:tc>
        <w:tc>
          <w:tcPr>
            <w:tcW w:type="dxa" w:w="1837"/>
            <w:vAlign w:val="center"/>
          </w:tcPr>
          <w:p>
            <w:r>
              <w:t>V1=2,V2=2,V3=2,V4=2；variant-level A；T1</w:t>
            </w:r>
          </w:p>
        </w:tc>
        <w:tc>
          <w:tcPr>
            <w:tcW w:type="dxa" w:w="1837"/>
            <w:vAlign w:val="center"/>
          </w:tcPr>
          <w:p>
            <w:r>
              <w:t>机制样板；特色品种管理</w:t>
            </w:r>
          </w:p>
        </w:tc>
        <w:tc>
          <w:tcPr>
            <w:tcW w:type="dxa" w:w="1837"/>
            <w:vAlign w:val="center"/>
          </w:tcPr>
          <w:p>
            <w:r>
              <w:t>A 级样板只适用于纤维黑变；产业轴不宜默认 T2；需评估连锁背景和品种特征保持。</w:t>
            </w:r>
          </w:p>
        </w:tc>
      </w:tr>
      <w:tr>
        <w:trPr>
          <w:cantSplit/>
        </w:trPr>
        <w:tc>
          <w:tcPr>
            <w:tcW w:type="dxa" w:w="1837"/>
            <w:vAlign w:val="center"/>
          </w:tcPr>
          <w:p>
            <w:r>
              <w:rPr>
                <w:sz w:val="14"/>
              </w:rPr>
              <w:t>抗病/禽流感</w:t>
            </w:r>
          </w:p>
        </w:tc>
        <w:tc>
          <w:tcPr>
            <w:tcW w:type="dxa" w:w="1837"/>
            <w:vAlign w:val="center"/>
          </w:tcPr>
          <w:p>
            <w:r>
              <w:rPr>
                <w:sz w:val="14"/>
              </w:rPr>
              <w:t>ANP32A 编辑验证；病毒复制和感染结局[25]</w:t>
            </w:r>
          </w:p>
        </w:tc>
        <w:tc>
          <w:tcPr>
            <w:tcW w:type="dxa" w:w="1837"/>
            <w:vAlign w:val="center"/>
          </w:tcPr>
          <w:p>
            <w:r>
              <w:t>V1=2,V2=1,V3=1,V4=2；gene/target-level A；T0/T1 高风险</w:t>
            </w:r>
          </w:p>
        </w:tc>
        <w:tc>
          <w:tcPr>
            <w:tcW w:type="dxa" w:w="1837"/>
            <w:vAlign w:val="center"/>
          </w:tcPr>
          <w:p>
            <w:r>
              <w:t>强功能证据；编辑靶点评估</w:t>
            </w:r>
          </w:p>
        </w:tc>
        <w:tc>
          <w:tcPr>
            <w:tcW w:type="dxa" w:w="1837"/>
            <w:vAlign w:val="center"/>
          </w:tcPr>
          <w:p>
            <w:r>
              <w:t>这是基因/靶点层面证据，不是自然变异位点层面的成熟育种标记；病毒逃逸、ANP32 家族补偿、遗传背景、福利和监管风险仍需评估。</w:t>
            </w:r>
          </w:p>
        </w:tc>
      </w:tr>
      <w:tr>
        <w:trPr>
          <w:cantSplit/>
        </w:trPr>
        <w:tc>
          <w:tcPr>
            <w:tcW w:type="dxa" w:w="1837"/>
            <w:vAlign w:val="center"/>
          </w:tcPr>
          <w:p>
            <w:r>
              <w:rPr>
                <w:sz w:val="14"/>
              </w:rPr>
              <w:t>抗病/免疫</w:t>
            </w:r>
          </w:p>
        </w:tc>
        <w:tc>
          <w:tcPr>
            <w:tcW w:type="dxa" w:w="1837"/>
            <w:vAlign w:val="center"/>
          </w:tcPr>
          <w:p>
            <w:r>
              <w:rPr>
                <w:sz w:val="14"/>
              </w:rPr>
              <w:t>MHC-B 长期重复；多疾病或免疫结局关联[54,61–63]</w:t>
            </w:r>
          </w:p>
        </w:tc>
        <w:tc>
          <w:tcPr>
            <w:tcW w:type="dxa" w:w="1837"/>
            <w:vAlign w:val="center"/>
          </w:tcPr>
          <w:p>
            <w:r>
              <w:t>V1=1,V2=2,V3=1,V4=0/1；B；T0/T1</w:t>
            </w:r>
          </w:p>
        </w:tc>
        <w:tc>
          <w:tcPr>
            <w:tcW w:type="dxa" w:w="1837"/>
            <w:vAlign w:val="center"/>
          </w:tcPr>
          <w:p>
            <w:r>
              <w:t>抗病 GS 先验；风险管理</w:t>
            </w:r>
          </w:p>
        </w:tc>
        <w:tc>
          <w:tcPr>
            <w:tcW w:type="dxa" w:w="1837"/>
            <w:vAlign w:val="center"/>
          </w:tcPr>
          <w:p>
            <w:r>
              <w:t>病原株、环境和遗传背景依赖强；需生产损失、病原载量和目标群体验证。</w:t>
            </w:r>
          </w:p>
        </w:tc>
      </w:tr>
      <w:tr>
        <w:trPr>
          <w:cantSplit/>
        </w:trPr>
        <w:tc>
          <w:tcPr>
            <w:tcW w:type="dxa" w:w="1837"/>
            <w:vAlign w:val="center"/>
          </w:tcPr>
          <w:p>
            <w:r>
              <w:rPr>
                <w:sz w:val="14"/>
              </w:rPr>
              <w:t>食品安全</w:t>
            </w:r>
          </w:p>
        </w:tc>
        <w:tc>
          <w:tcPr>
            <w:tcW w:type="dxa" w:w="1837"/>
            <w:vAlign w:val="center"/>
          </w:tcPr>
          <w:p>
            <w:r>
              <w:rPr>
                <w:sz w:val="14"/>
              </w:rPr>
              <w:t>Salmonella QTL/候选信号；定植量、排菌量和宿主遗传控制[110–112]</w:t>
            </w:r>
          </w:p>
        </w:tc>
        <w:tc>
          <w:tcPr>
            <w:tcW w:type="dxa" w:w="1837"/>
            <w:vAlign w:val="center"/>
          </w:tcPr>
          <w:p>
            <w:r>
              <w:t>V1=0/1,V2=1,V3=1,V4=0/1；B/C–B；T0</w:t>
            </w:r>
          </w:p>
        </w:tc>
        <w:tc>
          <w:tcPr>
            <w:tcW w:type="dxa" w:w="1837"/>
            <w:vAlign w:val="center"/>
          </w:tcPr>
          <w:p>
            <w:r>
              <w:t>食品安全性状建模；抗病 GS</w:t>
            </w:r>
          </w:p>
        </w:tc>
        <w:tc>
          <w:tcPr>
            <w:tcW w:type="dxa" w:w="1837"/>
            <w:vAlign w:val="center"/>
          </w:tcPr>
          <w:p>
            <w:r>
              <w:t>受菌株、日龄、肠道菌群和环境影响大；需标准化挑战和多环境验证。</w:t>
            </w:r>
          </w:p>
        </w:tc>
      </w:tr>
      <w:tr>
        <w:trPr>
          <w:cantSplit/>
        </w:trPr>
        <w:tc>
          <w:tcPr>
            <w:tcW w:type="dxa" w:w="1837"/>
            <w:vAlign w:val="center"/>
          </w:tcPr>
          <w:p>
            <w:r>
              <w:rPr>
                <w:sz w:val="14"/>
              </w:rPr>
              <w:t>地方适应</w:t>
            </w:r>
          </w:p>
        </w:tc>
        <w:tc>
          <w:tcPr>
            <w:tcW w:type="dxa" w:w="1837"/>
            <w:vAlign w:val="center"/>
          </w:tcPr>
          <w:p>
            <w:r>
              <w:rPr>
                <w:sz w:val="14"/>
              </w:rPr>
              <w:t>高海拔、冷适应、热适应候选信号[123–137]</w:t>
            </w:r>
          </w:p>
        </w:tc>
        <w:tc>
          <w:tcPr>
            <w:tcW w:type="dxa" w:w="1837"/>
            <w:vAlign w:val="center"/>
          </w:tcPr>
          <w:p>
            <w:r>
              <w:t>V1=0/1,V2=0/1,V3=1,V4=0；C/B；T0</w:t>
            </w:r>
          </w:p>
        </w:tc>
        <w:tc>
          <w:tcPr>
            <w:tcW w:type="dxa" w:w="1837"/>
            <w:vAlign w:val="center"/>
          </w:tcPr>
          <w:p>
            <w:r>
              <w:t>资源保护；适应性等位变异发现</w:t>
            </w:r>
          </w:p>
        </w:tc>
        <w:tc>
          <w:tcPr>
            <w:tcW w:type="dxa" w:w="1837"/>
            <w:vAlign w:val="center"/>
          </w:tcPr>
          <w:p>
            <w:r>
              <w:t>选择信号和环境关联易混淆；共同环境试验、导入验证和生理表型是升级前提。</w:t>
            </w:r>
          </w:p>
        </w:tc>
      </w:tr>
    </w:tbl>
    <w:p>
      <w:pPr>
        <w:pStyle w:val="Heading1"/>
      </w:pPr>
      <w:r>
        <w:rPr>
          <w:rFonts w:ascii="Times New Roman" w:hAnsi="Times New Roman" w:eastAsia="Noto Serif CJK SC"/>
        </w:rPr>
        <w:t>参考文献</w:t>
      </w:r>
    </w:p>
    <w:p>
      <w:r>
        <w:rPr>
          <w:sz w:val="18"/>
        </w:rPr>
        <w:t>[1] Food and Agriculture Organization of the United Nations. Gateway to poultry production and products: Products and processing [EB/OL]. [2026-04-05]. https://www.fao.org/poultry-production-products/products-and-processing/products-and-processing/en/.</w:t>
      </w:r>
    </w:p>
    <w:p>
      <w:r>
        <w:rPr>
          <w:sz w:val="18"/>
        </w:rPr>
        <w:t>[2] Food and Agriculture Organization of the United Nations. Gateway to poultry production and products: Production [EB/OL]. [2026-04-05]. https://www.fao.org/poultry-production-products/production/en/.</w:t>
      </w:r>
    </w:p>
    <w:p>
      <w:r>
        <w:rPr>
          <w:sz w:val="18"/>
        </w:rPr>
        <w:t>[3] Stern C D. The chick: a great model system becomes even greater [J]. Developmental Cell, 2005, 8(1): 9-17.</w:t>
      </w:r>
    </w:p>
    <w:p>
      <w:r>
        <w:rPr>
          <w:sz w:val="18"/>
        </w:rPr>
        <w:t>[4] Burt D W. Emergence of the chicken as a model organism: implications for agriculture and biology [J]. Poultry Science, 2007, 86(7): 1460-1471.</w:t>
      </w:r>
    </w:p>
    <w:p>
      <w:r>
        <w:rPr>
          <w:sz w:val="18"/>
        </w:rPr>
        <w:t>[5] Garcia P, Wang Y, Viallet J, et al. The chicken embryo model: a novel and relevant model for immune-based studies [J]. Frontiers in Immunology, 2021, 12: 791081.</w:t>
      </w:r>
    </w:p>
    <w:p>
      <w:r>
        <w:rPr>
          <w:sz w:val="18"/>
        </w:rPr>
        <w:t>[6] Emara M G, Kim H. Genetic markers and their application in poultry breeding [J]. Poultry Science, 2003, 82(6): 952-957.</w:t>
      </w:r>
    </w:p>
    <w:p>
      <w:r>
        <w:rPr>
          <w:sz w:val="18"/>
        </w:rPr>
        <w:t>[7] Groenen M A M, Crooijmans R P M A, Veenendaal A, et al. A comprehensive microsatellite linkage map of the chicken genome [J]. Genomics, 1998, 49(2): 265-274.</w:t>
      </w:r>
    </w:p>
    <w:p>
      <w:r>
        <w:rPr>
          <w:sz w:val="18"/>
        </w:rPr>
        <w:t>[8] Groenen M A M, Cheng H H, Bumstead N, et al. A consensus linkage map of the chicken genome [J]. Genome Research, 2000, 10(1): 137-147.</w:t>
      </w:r>
    </w:p>
    <w:p>
      <w:r>
        <w:rPr>
          <w:sz w:val="18"/>
        </w:rPr>
        <w:t>[9] Abasht B, Dekkers J C M, Lamont S J. Review of quantitative trait loci identified in the chicken [J]. Poultry Science, 2006, 85(12): 2079-2096.</w:t>
      </w:r>
    </w:p>
    <w:p>
      <w:r>
        <w:rPr>
          <w:sz w:val="18"/>
        </w:rPr>
        <w:t>[10] Kerje S, et al. The twofold difference in adult size between the red junglefowl and White Leghorn chickens is largely explained by a limited number of QTLs [J]. Animal Genetics, 2003, 34(4): 264-274.</w:t>
      </w:r>
    </w:p>
    <w:p>
      <w:r>
        <w:rPr>
          <w:sz w:val="18"/>
        </w:rPr>
        <w:t>[11] Ikeobi C O N, et al. Quantitative trait loci affecting fatness in the chicken [J]. Animal Genetics, 2002, 33(6): 428-435.</w:t>
      </w:r>
    </w:p>
    <w:p>
      <w:r>
        <w:rPr>
          <w:sz w:val="18"/>
        </w:rPr>
        <w:t>[12] Tuiskula-Haavisto M, Honkatukia M, Preisinger R, et al. Quantitative trait loci affecting eggshell traits in an F2 population [J]. Animal Genetics, 2011, 42: 293-299.</w:t>
      </w:r>
    </w:p>
    <w:p>
      <w:r>
        <w:rPr>
          <w:sz w:val="18"/>
        </w:rPr>
        <w:t>[13] International Chicken Genome Sequencing Consortium. Sequence and comparative analysis of the chicken genome provide unique perspectives on vertebrate evolution [J]. Nature, 2004, 432: 695-716.</w:t>
      </w:r>
    </w:p>
    <w:p>
      <w:r>
        <w:rPr>
          <w:sz w:val="18"/>
        </w:rPr>
        <w:t>[14] International Chicken Polymorphism Map Consortium. A genetic variation map for chicken with 2.8 million single-nucleotide polymorphisms [J]. Nature, 2004, 432: 717-722.</w:t>
      </w:r>
    </w:p>
    <w:p>
      <w:r>
        <w:rPr>
          <w:sz w:val="18"/>
        </w:rPr>
        <w:t>[15] Groenen M A M, et al. A high-density SNP-based linkage map of the chicken genome reveals sequence features correlated with recombination rate [J]. Genome Research, 2009, 19(3): 510-519.</w:t>
      </w:r>
    </w:p>
    <w:p>
      <w:r>
        <w:rPr>
          <w:sz w:val="18"/>
        </w:rPr>
        <w:t>[16] Groenen M A M, et al. The development and characterization of a 60K SNP chip for chicken [J]. BMC Genomics, 2011, 12: 274.</w:t>
      </w:r>
    </w:p>
    <w:p>
      <w:r>
        <w:rPr>
          <w:sz w:val="18"/>
        </w:rPr>
        <w:t>[17] Kranis A, Gheyas A A, Boschiero C, et al. Development of a high density 600K SNP genotyping array for chicken [J]. BMC Genomics, 2013, 14: 59.</w:t>
      </w:r>
    </w:p>
    <w:p>
      <w:r>
        <w:rPr>
          <w:sz w:val="18"/>
        </w:rPr>
        <w:t>[18] Liu W, et al. A genome-wide SNP scan reveals novel loci for egg production and quality traits in white Leghorn and brown-egg dwarf layers [J]. PLOS ONE, 2011, 6(12): e28600.</w:t>
      </w:r>
    </w:p>
    <w:p>
      <w:r>
        <w:rPr>
          <w:sz w:val="18"/>
        </w:rPr>
        <w:t>[19] Luo C, Qu H, Ma J, et al. Genome-wide association study of antibody response to Newcastle disease virus in chicken [J]. BMC Genetics, 2013, 14: 42.</w:t>
      </w:r>
    </w:p>
    <w:p>
      <w:r>
        <w:rPr>
          <w:sz w:val="18"/>
        </w:rPr>
        <w:t>[20] Sun Y, Zhao G, Liu R, et al. The identification of 14 new genes for meat quality traits in chicken using a genome-wide association study [J]. BMC Genomics, 2013, 14: 458.</w:t>
      </w:r>
    </w:p>
    <w:p>
      <w:r>
        <w:rPr>
          <w:sz w:val="18"/>
        </w:rPr>
        <w:t>[21] Wang K, Hu H, Tian Y, et al. The chicken pan-genome reveals gene content variation and a promoter region deletion in IGF2BP1 affecting body size [J]. Molecular Biology and Evolution, 2021, 38(11): 5066-5081. DOI: https://doi.org/10.1093/molbev/msab231.</w:t>
      </w:r>
    </w:p>
    <w:p>
      <w:r>
        <w:rPr>
          <w:sz w:val="18"/>
        </w:rPr>
        <w:t>[22] Wang Z, Qu L, Yao J, et al. An EAV-HP insertion in 5' flanking region of SLCO1B3 causes blue eggshell in the chicken [J]. PLOS Genetics, 2013, 9(1): e1003183. DOI: https://doi.org/10.1371/journal.pgen.1003183.</w:t>
      </w:r>
    </w:p>
    <w:p>
      <w:r>
        <w:rPr>
          <w:sz w:val="18"/>
        </w:rPr>
        <w:t>[23] Eriksson J, Larson G, Gunnarsson U, et al. Identification of the yellow skin gene reveals a hybrid origin of the domestic chicken [J]. PLoS Genetics, 2008, 4(2): e1000010.</w:t>
      </w:r>
    </w:p>
    <w:p>
      <w:r>
        <w:rPr>
          <w:sz w:val="18"/>
        </w:rPr>
        <w:t>[24] Dorshorst B, Molin A M, Rubin C J, et al. A complex genomic rearrangement involving the endothelin 3 locus causes dermal hyperpigmentation in the chicken [J]. PLOS Genetics, 2011, 7(12): e1002412.</w:t>
      </w:r>
    </w:p>
    <w:p>
      <w:r>
        <w:rPr>
          <w:sz w:val="18"/>
        </w:rPr>
        <w:t>[25] Idoko-Akoh A, Goldhill D H, Sheppard C M, et al. Creating resistance to avian influenza infection through genome editing of the ANP32 gene family [J]. Nature Communications, 2023, 14: 6136. DOI: https://doi.org/10.1038/s41467-023-41476-3.</w:t>
      </w:r>
    </w:p>
    <w:p>
      <w:r>
        <w:rPr>
          <w:sz w:val="18"/>
        </w:rPr>
        <w:t>[26] Rice E S, Koren S, Rhie A, et al. A pangenome graph reference of 30 chicken genomes allows genotyping of large and complex structural variants [J]. BMC Biology, 2023, 21: 267. DOI: 10.1186/s12915-023-01758-0.</w:t>
      </w:r>
    </w:p>
    <w:p>
      <w:r>
        <w:rPr>
          <w:sz w:val="18"/>
        </w:rPr>
        <w:t>[27] Kern C, Wang Y, Xu X, et al. Functional annotations of three domestic animal genomes provide vital resources for comparative and agricultural research [J]. Nature Communications, 2021, 12: 1821.</w:t>
      </w:r>
    </w:p>
    <w:p>
      <w:r>
        <w:rPr>
          <w:sz w:val="18"/>
        </w:rPr>
        <w:t>[28] Pan Z, Yao Y, Yin H, et al. An atlas of regulatory elements in chicken: a resource for chicken genetics and genomics [J]. Science Advances, 2023, 9(15): eade1204. DOI: 10.1126/sciadv.ade1204.</w:t>
      </w:r>
    </w:p>
    <w:p>
      <w:r>
        <w:rPr>
          <w:sz w:val="18"/>
        </w:rPr>
        <w:t>[29] Zhu X N, Shi H, Sun L X, et al. Chicken chromatin accessibility atlas across 20 tissues [J]. Zoological Research, 2023, 44(1): 53-62. DOI: 10.24272/j.issn.2095-8137.2022.228.</w:t>
      </w:r>
    </w:p>
    <w:p>
      <w:r>
        <w:rPr>
          <w:sz w:val="18"/>
        </w:rPr>
        <w:t>[30] Shen L, Bai X, Zhao L, et al. Integrative 3D genomics with multi-omics analysis and functional validation of genetic regulatory mechanisms of abdominal fat deposition in chickens [J]. Nature Communications, 2024, 15: 9274. DOI: https://doi.org/10.1038/s41467-024-53692-6.</w:t>
      </w:r>
    </w:p>
    <w:p>
      <w:r>
        <w:rPr>
          <w:sz w:val="18"/>
        </w:rPr>
        <w:t>[31] Wang D, Zhu Y, Dong J, et al. Exploring the functional variations of key candidate genes affecting egg production by hypothalamic-pituitary-ovarian axis in chickens [J]. Poultry Science, 2025, 104(5): 105027. DOI: https://doi.org/10.1016/j.psj.2025.105027.</w:t>
      </w:r>
    </w:p>
    <w:p>
      <w:r>
        <w:rPr>
          <w:sz w:val="18"/>
        </w:rPr>
        <w:t>[32] Guan D, Bai Z, Zhu X, et al. Genetic regulation of gene expression across multiple tissues in chickens [J]. Nature Genetics, 2025, 57: 1298-1308. DOI: https://doi.org/10.1038/s41588-025-02155-9.</w:t>
      </w:r>
    </w:p>
    <w:p>
      <w:r>
        <w:rPr>
          <w:sz w:val="18"/>
        </w:rPr>
        <w:t>[33] Estermann M A, et al. Insights into gonadal sex differentiation provided by single-cell transcriptomics in the chicken embryo [J]. Cell Reports, 2020, 31(1): 107491.</w:t>
      </w:r>
    </w:p>
    <w:p>
      <w:r>
        <w:rPr>
          <w:sz w:val="18"/>
        </w:rPr>
        <w:t>[34] Wang T, Leng D, Cai Z, et al. Insights into left-right asymmetric development of chicken ovary at the single-cell level [J]. Journal of Genetics and Genomics, 2024, 51(11): 1265-1277. DOI: https://doi.org/10.1016/j.jgg.2024.08.002.</w:t>
      </w:r>
    </w:p>
    <w:p>
      <w:r>
        <w:rPr>
          <w:sz w:val="18"/>
        </w:rPr>
        <w:t>[35] Li J, Yang D, Chen C, et al. Single-cell RNA transcriptome uncovers distinct developmental trajectories in the embryonic skeletal muscle of Daheng broiler and Tibetan chicken [J]. BMC Genomics, 2025, 26: 187. DOI: https://doi.org/10.1186/s12864-025-11363-w.</w:t>
      </w:r>
    </w:p>
    <w:p>
      <w:r>
        <w:rPr>
          <w:sz w:val="18"/>
        </w:rPr>
        <w:t>[36] Warren W C, Rice E S, Meyer A, et al. The immune cell landscape and response of Marek's disease resistant and susceptible chickens infected with Marek's disease virus [J]. Scientific Reports, 2023, 13: 5355.</w:t>
      </w:r>
    </w:p>
    <w:p>
      <w:r>
        <w:rPr>
          <w:sz w:val="18"/>
        </w:rPr>
        <w:t>[37] He J, Shi N, Yao H, et al. Genome Editing in the Chicken: From PGC-Mediated Germline Transmission to Advanced Applications [J]. International Journal of Molecular Sciences, 2025, 26(19): 9426. DOI: 10.3390/ijms26199426.</w:t>
      </w:r>
    </w:p>
    <w:p>
      <w:r>
        <w:rPr>
          <w:sz w:val="18"/>
        </w:rPr>
        <w:t>[38] Chapman B, et al. Targeted modulation of chicken genes in vitro using CRISPRa and CRISPRi toolkit [J]. Genes, 2023, 14(4): 906.</w:t>
      </w:r>
    </w:p>
    <w:p>
      <w:r>
        <w:rPr>
          <w:sz w:val="18"/>
        </w:rPr>
        <w:t>[39] Mathan, Zaib G, Jin K, et al. Formation, application, and significance of chicken primordial germ cells: a review [J]. Animals, 2023, 13: 1096.</w:t>
      </w:r>
    </w:p>
    <w:p>
      <w:r>
        <w:rPr>
          <w:sz w:val="18"/>
        </w:rPr>
        <w:t>[40] Hutt F B. Sex-linked dwarfism in the fowl [J]. Journal of Heredity, 1959, 50(5): 209-221.</w:t>
      </w:r>
    </w:p>
    <w:p>
      <w:r>
        <w:rPr>
          <w:sz w:val="18"/>
        </w:rPr>
        <w:t>[41] Meuwissen T H E, Hayes B J, Goddard M E. Prediction of total genetic value using genome-wide dense marker maps [J]. Genetics, 2001, 157(4): 1819-1829.</w:t>
      </w:r>
    </w:p>
    <w:p>
      <w:r>
        <w:rPr>
          <w:sz w:val="18"/>
        </w:rPr>
        <w:t>[42] Goddard M E, Hayes B J, Meuwissen T H E. Genomic selection in livestock populations [J]. Genetics Research, 2010, 92(5-6): 413-421.</w:t>
      </w:r>
    </w:p>
    <w:p>
      <w:r>
        <w:rPr>
          <w:sz w:val="18"/>
        </w:rPr>
        <w:t>[43] Wolc A, Kranis A, Arango J, et al. Implementation of genomic selection in the poultry industry [J]. Animal Frontiers, 2016, 6(1): 23-31.</w:t>
      </w:r>
    </w:p>
    <w:p>
      <w:r>
        <w:rPr>
          <w:sz w:val="18"/>
        </w:rPr>
        <w:t>[44] Tu T C, Lin C J, Liu M C, et al. Comparison of genomic prediction accuracy using different models for egg production traits in Taiwan country chicken [J]. Poultry Science, 2024, 103(10): 104063.</w:t>
      </w:r>
    </w:p>
    <w:p>
      <w:r>
        <w:rPr>
          <w:sz w:val="18"/>
        </w:rPr>
        <w:t>[45] Legarra A, Aguilar I, Misztal I. A relationship matrix including full pedigree and genomic information [J]. Journal of Dairy Science, 2009, 92(9): 4656-4663.</w:t>
      </w:r>
    </w:p>
    <w:p>
      <w:r>
        <w:rPr>
          <w:sz w:val="18"/>
        </w:rPr>
        <w:t>[46] Sid H, Schusser B. Applications of gene editing in chickens: a new era is on the horizon [J]. Frontiers in Genetics, 2018, 9: 456.</w:t>
      </w:r>
    </w:p>
    <w:p>
      <w:r>
        <w:rPr>
          <w:sz w:val="18"/>
        </w:rPr>
        <w:t>[47] Richards S, Aziz N, Bale S, et al. Standards and guidelines for the interpretation of sequence variants: a joint consensus recommendation of the American College of Medical Genetics and Genomics and the Association for Molecular Pathology [J]. Genetics in Medicine, 2015, 17(5): 405-424. DOI: 10.1038/gim.2015.30.</w:t>
      </w:r>
    </w:p>
    <w:p>
      <w:r>
        <w:rPr>
          <w:sz w:val="18"/>
        </w:rPr>
        <w:t>[48] Strande N T, Riggs E R, Buchanan A H, et al. Evaluating the clinical validity of gene-disease associations: an evidence-based framework developed by the Clinical Genome Resource [J]. American Journal of Human Genetics, 2017, 100(6): 895-906. DOI: 10.1016/j.ajhg.2017.04.015.</w:t>
      </w:r>
    </w:p>
    <w:p>
      <w:r>
        <w:rPr>
          <w:sz w:val="18"/>
        </w:rPr>
        <w:t>[49] Gallagher M D, Chen-Plotkin A S. The post-GWAS era: from association to function [J]. American Journal of Human Genetics, 2018, 102(5): 717-730. DOI: 10.1016/j.ajhg.2018.04.002.</w:t>
      </w:r>
    </w:p>
    <w:p>
      <w:r>
        <w:rPr>
          <w:sz w:val="18"/>
        </w:rPr>
        <w:t>[50] The ENCODE Project Consortium. Expanded encyclopaedias of DNA elements in the human and mouse genomes [J]. Nature, 2020, 583(7818): 699-710. DOI: 10.1038/s41586-020-2493-4.</w:t>
      </w:r>
    </w:p>
    <w:p>
      <w:r>
        <w:t>[51] The IGVF Consortium. Deciphering the impact of genomic variation on function [J]. Nature, 2024, 633(8028): 47-57. DOI: 10.1038/s41586-024-07510-0.</w:t>
      </w:r>
    </w:p>
    <w:p>
      <w:r>
        <w:rPr>
          <w:sz w:val="18"/>
        </w:rPr>
        <w:t>[52] Ochoa D, Hercules A, Carmona M, et al. Open Targets Platform: supporting systematic drug-target identification and prioritisation [J]. Nucleic Acids Research, 2021, 49(D1): D1302-D1310. DOI: 10.1093/nar/gkaa1027.</w:t>
      </w:r>
    </w:p>
    <w:p>
      <w:r>
        <w:rPr>
          <w:sz w:val="18"/>
        </w:rPr>
        <w:t>[53] Cano-Gamez E, Trynka G. From GWAS to function: using functional genomics to identify the mechanisms underlying complex diseases [J]. Frontiers in Genetics, 2020, 11: 424. DOI: 10.3389/fgene.2020.00424.</w:t>
      </w:r>
    </w:p>
    <w:p>
      <w:r>
        <w:rPr>
          <w:sz w:val="18"/>
        </w:rPr>
        <w:t>[54] Miller M M, Taylor R L. Brief review of the chicken major histocompatibility complex: the genes, their distribution on chromosome 16, and their contributions to disease resistance [J]. Poultry Science, 2016, 95(2): 375-392.</w:t>
      </w:r>
    </w:p>
    <w:p>
      <w:r>
        <w:rPr>
          <w:sz w:val="18"/>
        </w:rPr>
        <w:t>[55] Nawaz A H, Liu Z, Sun W, et al. Exploring the regulatory mechanisms of chicken growth and development through multi-omics integration: a review [J]. Poultry Science, 2025, 104(10): 105542. DOI: 10.1016/j.psj.2025.105542.</w:t>
      </w:r>
    </w:p>
    <w:p>
      <w:r>
        <w:rPr>
          <w:sz w:val="18"/>
        </w:rPr>
        <w:t>[56] Fulton J E, McCarron A M, Mullen A, et al. A review of genetic variation underlying chicken phenotypic diversity [J]. Poultry Science, 2025, 104(11): 105761. DOI: 10.1016/j.psj.2025.105761.</w:t>
      </w:r>
    </w:p>
    <w:p>
      <w:r>
        <w:rPr>
          <w:sz w:val="18"/>
        </w:rPr>
        <w:t>[57] Giambartolomei C, Vukcevic D, Schadt E E, et al. Bayesian test for colocalisation between pairs of genetic association studies using summary statistics [J]. PLOS Genetics, 2014, 10(5): e1004383. DOI: 10.1371/journal.pgen.1004383.</w:t>
      </w:r>
    </w:p>
    <w:p>
      <w:r>
        <w:rPr>
          <w:sz w:val="18"/>
        </w:rPr>
        <w:t>[58] Zhu Z, Zhang F, Hu H, et al. Integration of summary data from GWAS and eQTL studies predicts complex trait gene targets [J]. Nature Genetics, 2016, 48(5): 481-487. DOI: 10.1038/ng.3538.</w:t>
      </w:r>
    </w:p>
    <w:p>
      <w:r>
        <w:rPr>
          <w:sz w:val="18"/>
        </w:rPr>
        <w:t>[59] Wolc A, Arango J, Jankowski T, et al. Genome-wide association study for egg production and quality in layer chickens [J]. Journal of Animal Breeding and Genetics, 2014, 131(3): 173-182.</w:t>
      </w:r>
    </w:p>
    <w:p>
      <w:r>
        <w:rPr>
          <w:sz w:val="18"/>
        </w:rPr>
        <w:t>[60] Liu Z, Yang N, Yan Y, et al. Genome-wide association analysis of egg production performance in chickens across the whole laying period [J]. BMC Genetics, 2019, 20: 67.</w:t>
      </w:r>
    </w:p>
    <w:p>
      <w:r>
        <w:rPr>
          <w:sz w:val="18"/>
        </w:rPr>
        <w:t>[61] Silva A P da, Gallardo R A. The chicken MHC: insights into genetic resistance, immunity, and inflammation following infectious bronchitis virus infections [J]. Vaccines, 2020, 8(4): 637.</w:t>
      </w:r>
    </w:p>
    <w:p>
      <w:r>
        <w:rPr>
          <w:sz w:val="18"/>
        </w:rPr>
        <w:t>[62] Niraula K, Fulton J E, Pyzik E, et al. Major histocompatibility complex B and alloantigens are associated with broiler coccidiosis susceptibility and growth performance [J]. Poultry Science, 2025, 104(7): 105151. DOI: 10.1016/j.psj.2025.105151.</w:t>
      </w:r>
    </w:p>
    <w:p>
      <w:r>
        <w:rPr>
          <w:sz w:val="18"/>
        </w:rPr>
        <w:t>[63] Banat G R, Tkalcic S, Dzielawa J A, et al. Association of the chicken MHC B haplotypes with resistance to avian coronavirus [J]. Developmental and Comparative Immunology, 2013, 39(4): 430-437.</w:t>
      </w:r>
    </w:p>
    <w:p>
      <w:r>
        <w:rPr>
          <w:sz w:val="18"/>
        </w:rPr>
        <w:t>[64] Warren W C, Hillier L D W, Tomlinson C, et al. A new chicken genome assembly provides insight into avian genome structure [J]. G3: Genes, Genomes, Genetics, 2017, 7(1): 109-117.</w:t>
      </w:r>
    </w:p>
    <w:p>
      <w:r>
        <w:rPr>
          <w:sz w:val="18"/>
        </w:rPr>
        <w:t>[65] Gao M, et al. Multi-omics reveals molecular and genetic mechanisms underlying egg albumen quality decline in aging laying hens [J]. International Journal of Molecular Sciences, 2025, 26(16): 7876. DOI: https://doi.org/10.3390/ijms26167876.</w:t>
      </w:r>
    </w:p>
    <w:p>
      <w:r>
        <w:rPr>
          <w:sz w:val="18"/>
        </w:rPr>
        <w:t>[66] Degalez F, Charles M, Foissac S, et al. Enriched atlas of lncRNA and protein-coding genes for the GRCg7b chicken assembly and its functional annotation across 47 tissues [J]. Scientific Reports, 2024, 14: 6588.</w:t>
      </w:r>
    </w:p>
    <w:p>
      <w:r>
        <w:rPr>
          <w:sz w:val="18"/>
        </w:rPr>
        <w:t>[67] Yang Y, Fan X, Yan J, et al. A comprehensive epigenome atlas reveals DNA methylation regulating skeletal muscle development [J]. Nucleic Acids Research, 2021, 49(3): 1313-1329.</w:t>
      </w:r>
    </w:p>
    <w:p>
      <w:r>
        <w:rPr>
          <w:sz w:val="18"/>
        </w:rPr>
        <w:t>[68] Jing Y, et al. The landscape of long non-coding RNAs and circular RNAs of the abdominal fat tissues in chicken lines divergently selected for fatness [J]. BMC Genomics, 2022, 23: 790.</w:t>
      </w:r>
    </w:p>
    <w:p>
      <w:r>
        <w:rPr>
          <w:sz w:val="18"/>
        </w:rPr>
        <w:t>[69] Yu S, et al. Comprehensive analysis of changes in expression of lncRNA, microRNA and mRNA in liver tissues of chickens with high or low abdominal fat deposition [J]. British Poultry Science, 2024, 65(3): 250-258.</w:t>
      </w:r>
    </w:p>
    <w:p>
      <w:r>
        <w:rPr>
          <w:sz w:val="18"/>
        </w:rPr>
        <w:t>[70] Ma X, et al. Long noncoding RNA 6302 regulates chicken preadipocyte differentiation by targeting SLC22A16 [J]. Genes, 2024, 15(6): 758.</w:t>
      </w:r>
    </w:p>
    <w:p>
      <w:r>
        <w:rPr>
          <w:sz w:val="18"/>
        </w:rPr>
        <w:t>[71] Zhang M, et al. LncRNA IMFNCR promotes intramuscular adipocyte differentiation by sponging miR-128-3p and miR-27b-3p [J]. Frontiers in Genetics, 2019, 10: 42.</w:t>
      </w:r>
    </w:p>
    <w:p>
      <w:r>
        <w:rPr>
          <w:sz w:val="18"/>
        </w:rPr>
        <w:t>[72] Zhu X, Zhou Q, Liu J, et al. Mapping the regulatory genetic landscape of complex traits using a chicken advanced intercross line [J]. Nature Communications, 2025, 16: 5841. DOI: 10.1038/s41467-025-60834-x.</w:t>
      </w:r>
    </w:p>
    <w:p>
      <w:r>
        <w:rPr>
          <w:sz w:val="18"/>
        </w:rPr>
        <w:t>[73] Knowles T G, Kestin S C, Haslam S M, Brown S N, Green L E, Butterworth A, Pope S J, Pfeiffer D, Nicol C J. Leg disorders in broiler chickens: prevalence, risk factors and prevention [J]. PLOS ONE, 2008, 3(2): e1545.</w:t>
      </w:r>
    </w:p>
    <w:p>
      <w:r>
        <w:rPr>
          <w:sz w:val="18"/>
        </w:rPr>
        <w:t>[74] Moreira G C M, Boschiero C, Cesar A S M, et al. Integration of genome wide association studies and whole genome sequencing provides novel insights into fat deposition in chicken [J]. Scientific Reports, 2018, 8: 16222.</w:t>
      </w:r>
    </w:p>
    <w:p>
      <w:r>
        <w:rPr>
          <w:sz w:val="18"/>
        </w:rPr>
        <w:t>[75] Mebratie W, Reyer H, Wimmers K, et al. Genome wide association study of body weight and feed efficiency traits in a commercial broiler chicken population, a re-visitation [J]. Scientific Reports, 2019, 9: 922.</w:t>
      </w:r>
    </w:p>
    <w:p>
      <w:r>
        <w:rPr>
          <w:sz w:val="18"/>
        </w:rPr>
        <w:t>[76] He Y, et al. Identification of new genes and genetic variant loci associated with breast muscle development in the mini-Cobb F2 chicken population using a genome-wide association study [J]. Genes, 2022, 13(11): 2153.</w:t>
      </w:r>
    </w:p>
    <w:p>
      <w:r>
        <w:rPr>
          <w:sz w:val="18"/>
        </w:rPr>
        <w:t>[77] Liu R, Sun Y, Zhao G, et al. Genome-wide association study identifies loci and candidate genes for body composition and meat quality traits in Beijing-You chickens [J]. PLOS ONE, 2013, 8(4): e61172.</w:t>
      </w:r>
    </w:p>
    <w:p>
      <w:r>
        <w:rPr>
          <w:sz w:val="18"/>
        </w:rPr>
        <w:t>[78] Luo W, Abdalla B A, Nie Q, et al. The genetic regulation of skeletal muscle development: insights from chicken studies [J]. Frontiers of Agricultural Science and Engineering, 2017, 4(3): 295-304.</w:t>
      </w:r>
    </w:p>
    <w:p>
      <w:r>
        <w:rPr>
          <w:sz w:val="18"/>
        </w:rPr>
        <w:t>[79] Wang Y, et al. Association of H-FABP gene polymorphisms with intramuscular fat content in three-yellow chickens and Hetian-black chickens [J]. Journal of Animal Science and Biotechnology, 2016, 7: 9.</w:t>
      </w:r>
    </w:p>
    <w:p>
      <w:r>
        <w:rPr>
          <w:sz w:val="18"/>
        </w:rPr>
        <w:t>[80] Shu J T, et al. Analysis of the genetic effects of CAPN1 gene polymorphisms on chicken meat tenderness [J]. Genetics and Molecular Research, 2015, 14(1): 1393-1403.</w:t>
      </w:r>
    </w:p>
    <w:p>
      <w:r>
        <w:rPr>
          <w:sz w:val="18"/>
        </w:rPr>
        <w:t>[81] Zhou Y G, et al. Experimental verification of CAPN1 and CAST gene polymorphisms in different generations of Da-Heng broilers [J]. BioMed Research International, 2017, 2017: 7968450.</w:t>
      </w:r>
    </w:p>
    <w:p>
      <w:r>
        <w:rPr>
          <w:sz w:val="18"/>
        </w:rPr>
        <w:t>[82] Ye M H, Chen J L, Zhao G P, et al. Correlation between polymorphisms in ADSL and GARS-AIRS-GART genes with inosine 5'-monophosphate (IMP) contents in Beijing-You chickens [J]. British Poultry Science, 2010, 51: 609-613.</w:t>
      </w:r>
    </w:p>
    <w:p>
      <w:r>
        <w:rPr>
          <w:sz w:val="18"/>
        </w:rPr>
        <w:t>[83] Yuan J, Wang K, Yi G, et al. Genome-wide association studies for feed intake and efficiency in two laying periods of chickens [J]. Genetics Selection Evolution, 2015, 47: 82.</w:t>
      </w:r>
    </w:p>
    <w:p>
      <w:r>
        <w:rPr>
          <w:sz w:val="18"/>
        </w:rPr>
        <w:t>[84] Reyer H, Hawken R, Murani E, et al. The genetics of feed conversion efficiency traits in a commercial broiler line [J]. Scientific Reports, 2015, 5: 16387.</w:t>
      </w:r>
    </w:p>
    <w:p>
      <w:r>
        <w:rPr>
          <w:sz w:val="18"/>
        </w:rPr>
        <w:t>[85] Zhang W, Lan F, Zhou Q, et al. Host genetics and gut microbiota synergistically regulate feed utilization in egg-type chickens [J]. Journal of Animal Science and Biotechnology, 2024, 15: 123. DOI: https://doi.org/10.1186/s40104-024-01076-7.</w:t>
      </w:r>
    </w:p>
    <w:p>
      <w:r>
        <w:rPr>
          <w:sz w:val="18"/>
        </w:rPr>
        <w:t>[86] Zhang L, Wang C, Zhang X, et al. Identification of key gut microbiota and microbial QTL in contributing to the significant differences in body weight between two Chinese local chicken breeds [J]. Animal Genetics, 2026, 57(1): e70060. DOI: 10.1111/age.70060.</w:t>
      </w:r>
    </w:p>
    <w:p>
      <w:r>
        <w:rPr>
          <w:sz w:val="18"/>
        </w:rPr>
        <w:t>[87] Wang D, Tan L, Zhi Y, et al. Genome-wide variation study and inter-tissue communication analysis unveil regulatory mechanisms of egg-laying performance in chickens [J]. Nature Communications, 2024, 15: 7069. DOI: https://doi.org/10.1038/s41467-024-50809-9.</w:t>
      </w:r>
    </w:p>
    <w:p>
      <w:r>
        <w:rPr>
          <w:sz w:val="18"/>
        </w:rPr>
        <w:t>[88] Zhu D, Shi K, The ChickenGTEx Consortium, et al. Egg-laying ChickenGTEx resource deciphers context-specific regulatory effects on fertility traits [J]. Nature Communications, 2026, 17: 553. DOI: 10.1038/s41467-025-67245-y.</w:t>
      </w:r>
    </w:p>
    <w:p>
      <w:r>
        <w:rPr>
          <w:sz w:val="18"/>
        </w:rPr>
        <w:t>[89] Gao J, Xu W, Zeng T, et al. Genome-wide association study of egg-laying traits and egg quality in LingKun chickens [J]. Frontiers in Veterinary Science, 2022, 9: 877739.</w:t>
      </w:r>
    </w:p>
    <w:p>
      <w:r>
        <w:rPr>
          <w:sz w:val="18"/>
        </w:rPr>
        <w:t>[90] Fu M, Wu Y, Shen J, et al. Genome-wide association study of egg production traits in Shuanglian chickens using whole genome sequencing [J]. Genes, 2023, 14: 2129.</w:t>
      </w:r>
    </w:p>
    <w:p>
      <w:r>
        <w:rPr>
          <w:sz w:val="18"/>
        </w:rPr>
        <w:t>[91] Lei Q, Zhang S, Wang J, et al. Genome-wide association studies of egg production traits by whole genome sequencing of Laiwu Black chicken [J]. Poultry Science, 2024, 103(6): 103705. DOI: https://doi.org/10.1016/j.psj.2024.103705.</w:t>
      </w:r>
    </w:p>
    <w:p>
      <w:r>
        <w:rPr>
          <w:sz w:val="18"/>
        </w:rPr>
        <w:t>[92] You Z, Wang Y, Zhu S, et al. Genetic basis of egg production in Baicheng-You chickens [J]. Animals, 2025, 15(23): 3360. DOI: 10.3390/ani15233360.</w:t>
      </w:r>
    </w:p>
    <w:p>
      <w:r>
        <w:rPr>
          <w:sz w:val="18"/>
        </w:rPr>
        <w:t>[93] Volkova N A, Fedorova E S, Romanov M N, et al. Genome-wide association study of egg production traits in an F2 resource population of Russian White and Cornish White chickens [J]. Genes, 2025, 16(5): 583. DOI: 10.3390/genes16050583.</w:t>
      </w:r>
    </w:p>
    <w:p>
      <w:r>
        <w:rPr>
          <w:sz w:val="18"/>
        </w:rPr>
        <w:t>[94] Yang H, Li Y, Yuan J, et al. Research note: genetic parameters for egg production and clutch-related traits in indigenous Beijing-You chickens [J]. Poultry Science, 2023, 102: 102904.</w:t>
      </w:r>
    </w:p>
    <w:p>
      <w:r>
        <w:rPr>
          <w:sz w:val="18"/>
        </w:rPr>
        <w:t>[95] Zhang Z, Li Q, Yang N, et al. Phenotype and genetic characterization of egg-laying traits in Beijing-You chickens [J]. Poultry Science, 2025, 104(11): 105733. DOI: 10.1016/j.psj.2025.105733.</w:t>
      </w:r>
    </w:p>
    <w:p>
      <w:r>
        <w:rPr>
          <w:sz w:val="18"/>
        </w:rPr>
        <w:t>[96] Liu J, Zhang Y, Wang X, et al. Genetic parameters for egg production and clutch traits in Lindian chickens [J]. Animals, 2025, 15(13): 1867. DOI: 10.3390/ani15131867.</w:t>
      </w:r>
    </w:p>
    <w:p>
      <w:r>
        <w:rPr>
          <w:sz w:val="18"/>
        </w:rPr>
        <w:t>[97] Yang L, Zhang X, Wang Y, et al. Research Progress on Genetic Factors of Poultry Egg Quality [J]. Animals, 2025, 15(24): 3652. DOI: 10.3390/ani15243652.</w:t>
      </w:r>
    </w:p>
    <w:p>
      <w:r>
        <w:rPr>
          <w:sz w:val="18"/>
        </w:rPr>
        <w:t>[98] Zhang L C, Ning Z H, Xu G Y, et al. Heritabilities and genetic and phenotypic correlations of egg quality traits in brown-egg dwarf layers [J]. Poultry Science, 2005, 84(8): 1209-1213.</w:t>
      </w:r>
    </w:p>
    <w:p>
      <w:r>
        <w:rPr>
          <w:sz w:val="18"/>
        </w:rPr>
        <w:t>[99] Liu Z, Sun C, Yan Y, et al. Genetic variations for egg quality of chickens at late laying period revealed by genome-wide association study [J]. Scientific Reports, 2018, 8: 10832.</w:t>
      </w:r>
    </w:p>
    <w:p>
      <w:r>
        <w:rPr>
          <w:sz w:val="18"/>
        </w:rPr>
        <w:t>[100] Zhang Q, Zhu F, Liu L, et al. Integrating transcriptome and genome re-sequencing data to identify key genes and mutations affecting chicken eggshell qualities [J]. PLOS ONE, 2015, 10(5): e0125890.</w:t>
      </w:r>
    </w:p>
    <w:p>
      <w:r>
        <w:rPr>
          <w:sz w:val="18"/>
        </w:rPr>
        <w:t>[101] Chen X, Li X, Zhong C, et al. Genetic patterns and genome-wide association analysis of eggshell quality traits of egg-type chicken across an extended laying period [J]. Poultry Science, 2024, 103(4): 103458.</w:t>
      </w:r>
    </w:p>
    <w:p>
      <w:r>
        <w:rPr>
          <w:sz w:val="18"/>
        </w:rPr>
        <w:t>[102] Wang Z P, et al. Expression and activity analysis reveal that heme oxygenase (HMOX1) is associated with blue egg formation [J]. Poultry Science, 2011, 90(4): 836-841.</w:t>
      </w:r>
    </w:p>
    <w:p>
      <w:r>
        <w:rPr>
          <w:sz w:val="18"/>
        </w:rPr>
        <w:t>[103] Honkatukia M, Tuiskula-Haavisto M, Arango J, et al. QTL mapping of egg albumen quality in egg layers [J]. Genetics Selection Evolution, 2013, 45: 31.</w:t>
      </w:r>
    </w:p>
    <w:p>
      <w:r>
        <w:rPr>
          <w:sz w:val="18"/>
        </w:rPr>
        <w:t>[104] Qu L, et al. Identification of potential genomic regions and candidate genes for egg albumen quality by a genome-wide association study [J]. Archives Animal Breeding, 2019, 62(1): 113-123.</w:t>
      </w:r>
    </w:p>
    <w:p>
      <w:r>
        <w:rPr>
          <w:sz w:val="18"/>
        </w:rPr>
        <w:t>[105] Lamont S J. Impact of genetics on disease resistance [J]. Poultry Science, 1998, 77(8): 1111-1118.</w:t>
      </w:r>
    </w:p>
    <w:p>
      <w:r>
        <w:rPr>
          <w:sz w:val="18"/>
        </w:rPr>
        <w:t>[106] Lakshmanan N, Lamont S J. Rfp-Y region polymorphism and Marek's disease resistance in multitrait immunocompetence-selected chicken lines [J]. Poultry Science, 1998, 77(4): 538-541.</w:t>
      </w:r>
    </w:p>
    <w:p>
      <w:r>
        <w:rPr>
          <w:sz w:val="18"/>
        </w:rPr>
        <w:t>[107] Boodhoo N, Gurung A, Sharif S, et al. Marek's disease in chickens: a review with focus on immunology [J]. Veterinary Research, 2016, 47: 119.</w:t>
      </w:r>
    </w:p>
    <w:p>
      <w:r>
        <w:rPr>
          <w:sz w:val="18"/>
        </w:rPr>
        <w:t>[108] Smith J, Lipkin E, Soller M, Fulton J E, Burt D W. Mapping QTL Associated with Resistance to Avian Oncogenic Marek's Disease Virus (MDV) Reveals Major Candidate Genes and Variants [J]. Genes, 2020, 11(9): 1019. DOI: 10.3390/genes11091019.</w:t>
      </w:r>
    </w:p>
    <w:p>
      <w:r>
        <w:rPr>
          <w:sz w:val="18"/>
        </w:rPr>
        <w:t>[109] Lillehoj H S, Min W, Dalloul R A. Recent progress on the cytokine regulation of intestinal immune responses to Eimeria [J]. Poultry Science, 2004, 83(4): 611-623.</w:t>
      </w:r>
    </w:p>
    <w:p>
      <w:r>
        <w:rPr>
          <w:sz w:val="18"/>
        </w:rPr>
        <w:t>[110] Calenge F, Kaiser P, Vignal A, Beaumont C. Genetic control of resistance to salmonellosis and to Salmonella carrier-state in fowl: a review [J]. Genetics Selection Evolution, 2010, 42: 11. DOI: 10.1186/1297-9686-42-11.</w:t>
      </w:r>
    </w:p>
    <w:p>
      <w:r>
        <w:rPr>
          <w:sz w:val="18"/>
        </w:rPr>
        <w:t>[111] Li X, Nie C, Zhang Z, et al. Evaluation of genetic resistance to Salmonella Pullorum in three chicken lines [J]. Poultry Science, 2018, 97(3): 764-769. DOI: 10.3382/ps/pex354.</w:t>
      </w:r>
    </w:p>
    <w:p>
      <w:r>
        <w:rPr>
          <w:sz w:val="18"/>
        </w:rPr>
        <w:t>[112] Calenge F, Lecerf F, Demars J, et al. QTL for resistance to Salmonella carrier state confirmed in both experimental and commercial chicken lines [J]. Animal Genetics, 2009, 40(5): 590-597. DOI: 10.1111/j.1365-2052.2009.01884.x.</w:t>
      </w:r>
    </w:p>
    <w:p>
      <w:r>
        <w:rPr>
          <w:sz w:val="18"/>
        </w:rPr>
        <w:t>[113] Kerje S, Sharma P, Gunnarsson U, et al. The Dominant white, Dun and Smoky color variants in chicken are associated with insertion/deletion polymorphisms in the PMEL17 gene [J]. Genetics, 2004, 168(3): 1507-1518.</w:t>
      </w:r>
    </w:p>
    <w:p>
      <w:r>
        <w:rPr>
          <w:sz w:val="18"/>
        </w:rPr>
        <w:t>[114] Wright D, Boije H, Meadows J R S, et al. Copy number variation in intron 1 of SOX5 causes the pea-comb phenotype in chickens [J]. PLOS Genetics, 2009, 5(6): e1000512.</w:t>
      </w:r>
    </w:p>
    <w:p>
      <w:r>
        <w:rPr>
          <w:sz w:val="18"/>
        </w:rPr>
        <w:t>[115] Imsland F, Feng C, Boije H, et al. The Rose-comb mutation in chickens constitutes a structural rearrangement causing both altered comb morphology and defective sperm motility [J]. PLOS Genetics, 2012, 8(6): e1002775.</w:t>
      </w:r>
    </w:p>
    <w:p>
      <w:r>
        <w:rPr>
          <w:sz w:val="18"/>
        </w:rPr>
        <w:t>[116] Dorshorst B, et al. A genomic duplication is associated with ectopic eomesodermin expression in the embryonic chicken comb and two duplex-comb phenotypes [J]. PLOS Genetics, 2015, 11(3): e1004947.</w:t>
      </w:r>
    </w:p>
    <w:p>
      <w:r>
        <w:rPr>
          <w:sz w:val="18"/>
        </w:rPr>
        <w:t>[117] Li J, et al. The crest phenotype in domestic chicken is caused by a 197 bp duplication in the intron of HOXC10 [J]. G3: Genes, Genomes, Genetics, 2021, 11(2): jkaa048.</w:t>
      </w:r>
    </w:p>
    <w:p>
      <w:r>
        <w:rPr>
          <w:sz w:val="18"/>
        </w:rPr>
        <w:t>[118] Guo Y, Gu X, Sheng Z, et al. A complex structural variation on chromosome 27 leads to the ectopic expression of HOXB8 and the muffs and beard phenotype in chickens [J]. PLOS Genetics, 2016, 12(6): e1006071.</w:t>
      </w:r>
    </w:p>
    <w:p>
      <w:r>
        <w:rPr>
          <w:sz w:val="18"/>
        </w:rPr>
        <w:t>[119] Ng C S, Wu P, Foley J, et al. The chicken frizzle feather is due to an alpha-keratin (KRT75) mutation that causes a defective rachis [J]. PLOS Genetics, 2012, 8(7): e1002748.</w:t>
      </w:r>
    </w:p>
    <w:p>
      <w:r>
        <w:rPr>
          <w:sz w:val="18"/>
        </w:rPr>
        <w:t>[120] Mou C, Pitel F, Gourichon D, et al. Cryptic patterning of avian skin confers a developmental facility for loss of neck feathering [J]. PLOS Biology, 2011, 9(3): e1001028.</w:t>
      </w:r>
    </w:p>
    <w:p>
      <w:r>
        <w:rPr>
          <w:sz w:val="18"/>
        </w:rPr>
        <w:t>[121] Wells K L, Hadad Y, Ben-Avraham D, et al. Genome-wide SNP scan of pooled DNA reveals nonsense mutation in FGF20 in the scaleless line of featherless chickens [J]. BMC Genomics, 2012, 13: 257.</w:t>
      </w:r>
    </w:p>
    <w:p>
      <w:r>
        <w:rPr>
          <w:sz w:val="18"/>
        </w:rPr>
        <w:t>[122] Feng C, Gao Y, Dorshorst B, et al. A cis-regulatory mutation of PDSS2 causes silky-feather in chickens [J]. PLOS Genetics, 2014, 10(8): e1004576.</w:t>
      </w:r>
    </w:p>
    <w:p>
      <w:r>
        <w:rPr>
          <w:sz w:val="18"/>
        </w:rPr>
        <w:t>[123] Gheyas A A, Vallejo-Trujillo A, Kebede A, et al. Integrated environmental and genomic analysis reveals the drivers of local adaptation in African indigenous chickens [J]. Molecular Biology and Evolution, 2021, 38(10): 4268-4285.</w:t>
      </w:r>
    </w:p>
    <w:p>
      <w:r>
        <w:rPr>
          <w:sz w:val="18"/>
        </w:rPr>
        <w:t>[124] Mpenda F N, Schilling M A, Campbell Z, et al. The genetic diversity of local African chickens: a potential for selection of chickens resistant to viral infections [J]. Journal of Applied Poultry Research, 2019, 28(1): 1-12.</w:t>
      </w:r>
    </w:p>
    <w:p>
      <w:r>
        <w:rPr>
          <w:sz w:val="18"/>
        </w:rPr>
        <w:t>[125] Tan X, Zhang J, Dong J, et al. Whole-genome variants dataset of 209 local chickens from China [J]. Scientific Data, 2024, 11: 169.</w:t>
      </w:r>
    </w:p>
    <w:p>
      <w:r>
        <w:rPr>
          <w:sz w:val="18"/>
        </w:rPr>
        <w:t>[126] Wang M S, Li Y, Peng M S, et al. Genomic analyses reveal potential independent adaptation to high altitude in Tibetan chickens [J]. Molecular Biology and Evolution, 2015, 32(7): 1880-1889.</w:t>
      </w:r>
    </w:p>
    <w:p>
      <w:r>
        <w:rPr>
          <w:sz w:val="18"/>
        </w:rPr>
        <w:t>[127] Zhang Q, et al. Genome resequencing identifies unique adaptations of Tibetan chickens to hypoxia and high-dose ultraviolet radiation in high-altitude environments [J]. Genome Biology and Evolution, 2016, 8(3): 765-776.</w:t>
      </w:r>
    </w:p>
    <w:p>
      <w:r>
        <w:rPr>
          <w:sz w:val="18"/>
        </w:rPr>
        <w:t>[128] Li S, et al. Genetic structure and characteristics of Tibetan chickens [J]. Poultry Science, 2023, 102(8): 102767.</w:t>
      </w:r>
    </w:p>
    <w:p>
      <w:r>
        <w:rPr>
          <w:sz w:val="18"/>
        </w:rPr>
        <w:t>[129] Xue M, et al. Metabolomics and transcriptomics of embryonic livers reveal hypoxia adaptation of Tibetan chickens [J]. BMC Genomics, 2024, 25(1): 131.</w:t>
      </w:r>
    </w:p>
    <w:p>
      <w:r>
        <w:rPr>
          <w:sz w:val="18"/>
        </w:rPr>
        <w:t>[130] Fedorova E S, et al. Identification of key candidate genes in runs of homozygosity of the genome of two chicken breeds, associated with cold adaptation [J]. Biology, 2022, 11(4): 547.</w:t>
      </w:r>
    </w:p>
    <w:p>
      <w:r>
        <w:rPr>
          <w:sz w:val="18"/>
        </w:rPr>
        <w:t>[131] Romanov M N, et al. Selective footprints and genes relevant to cold adaptation and other phenotypic traits are unscrambled in the genomes of divergently selected chicken breeds [J]. Journal of Animal Science and Biotechnology, 2023, 14(1): 35.</w:t>
      </w:r>
    </w:p>
    <w:p>
      <w:r>
        <w:rPr>
          <w:sz w:val="18"/>
        </w:rPr>
        <w:t>[132] Fleming D S, et al. Genomic comparison of indigenous African and Northern European chickens reveals putative mechanisms of stress tolerance related to environmental selection pressure [J]. G3: Genes, Genomes, Genetics, 2017, 7(5): 1525-1537.</w:t>
      </w:r>
    </w:p>
    <w:p>
      <w:r>
        <w:rPr>
          <w:sz w:val="18"/>
        </w:rPr>
        <w:t>[133] Fernandes E, Raymundo A, Martins L L, et al. The naked neck gene in the domestic chicken: a genetic strategy to mitigate the impact of heat stress in poultry production-a review [J]. Animals, 2023, 13: 1007.</w:t>
      </w:r>
    </w:p>
    <w:p>
      <w:r>
        <w:rPr>
          <w:sz w:val="18"/>
        </w:rPr>
        <w:t>[134] Cahaner A, et al. Effects of the genetically reduced feather coverage in naked neck and featherless broilers on their performance under hot conditions [J]. Poultry Science, 2008, 87(12): 2517-2527.</w:t>
      </w:r>
    </w:p>
    <w:p>
      <w:r>
        <w:rPr>
          <w:sz w:val="18"/>
        </w:rPr>
        <w:t>[135] Rachman M P, Bamidele O, Dessie T, et al. Genomic analysis of Nigerian indigenous chickens reveals their genetic diversity and adaptation to heat-stress [J]. Scientific Reports, 2024, 14: 2209.</w:t>
      </w:r>
    </w:p>
    <w:p>
      <w:r>
        <w:rPr>
          <w:sz w:val="18"/>
        </w:rPr>
        <w:t>[136] Elbeltagy A R, et al. Natural selection footprints among African chicken breeds and village ecotypes [J]. Frontiers in Genetics, 2019, 10: 376.</w:t>
      </w:r>
    </w:p>
    <w:p>
      <w:r>
        <w:rPr>
          <w:sz w:val="18"/>
        </w:rPr>
        <w:t>[137] Gu L H, Wu R R, Zheng X L, et al. Genomic insights into local adaptation and phenotypic diversity of Wenchang chickens [J]. Poultry Science, 2024, 103(3): 103376.</w:t>
      </w:r>
    </w:p>
    <w:p>
      <w:r>
        <w:rPr>
          <w:sz w:val="18"/>
        </w:rPr>
        <w:t>[138] Gallego Romero I, Lea A J. Leveraging massively parallel reporter assays for evolutionary questions [J]. Genome Biology, 2023, 24: 26.</w:t>
      </w:r>
    </w:p>
    <w:p>
      <w:r>
        <w:rPr>
          <w:sz w:val="18"/>
        </w:rPr>
        <w:t>[139] Przybyla L, Gilbert L A. A new era in functional genomics screens [J]. Nature Reviews Genetics, 2022, 23: 89-103.</w:t>
      </w:r>
    </w:p>
    <w:p>
      <w:r>
        <w:rPr>
          <w:sz w:val="18"/>
        </w:rPr>
        <w:t>[140] Doench J G. Am I ready for CRISPR? A user's guide to genetic screens [J]. Nature Reviews Genetics, 2018, 19: 67-80.</w:t>
      </w:r>
    </w:p>
    <w:p>
      <w:r>
        <w:rPr>
          <w:sz w:val="18"/>
        </w:rPr>
        <w:t>[141] Replogle J M, Norman T M, Xu A, et al. Combinatorial single-cell CRISPR screens by direct guide RNA capture and targeted sequencing [J]. Nature Biotechnology, 2020, 38: 954-961.</w:t>
      </w:r>
    </w:p>
    <w:p>
      <w:r>
        <w:rPr>
          <w:sz w:val="18"/>
        </w:rPr>
        <w:t>[142] Replogle J M, Saunders R A, Pogson A N, et al. Mapping information-rich genotype-phenotype landscapes with genome-scale Perturb-seq [J]. Cell, 2022, 185(14): 2559-2575.e28.</w:t>
      </w:r>
    </w:p>
    <w:p>
      <w:r>
        <w:rPr>
          <w:sz w:val="18"/>
        </w:rPr>
        <w:t>[143] Bacon L D, Smith E, Crittenden L B, et al. Association of the slow feathering (K) and an endogenous viral (ev21) gene on the Z chromosome of chickens [J]. Poultry Science, 1988, 67(2): 191-197.</w:t>
      </w:r>
    </w:p>
    <w:p>
      <w:r>
        <w:rPr>
          <w:sz w:val="18"/>
        </w:rPr>
        <w:t>[144] Yang R, Xu Z, Wang Q, et al. Genome-wide association study and genomic prediction for growth traits in yellow-plumage chicken using genotyping-by-sequencing [J]. Genetics Selection Evolution, 2021, 53: 82.</w:t>
      </w:r>
    </w:p>
    <w:p>
      <w:r>
        <w:rPr>
          <w:sz w:val="18"/>
        </w:rPr>
        <w:t>[145] Sell-Kubiak E, Wimmers K, Reyer H, Szwaczkowski T. Genetic aspects of feed efficiency and reduction of environmental footprint in broilers: a review [J]. Journal of Applied Genetics, 2017, 58(4): 487-498. DOI: 10.1007/s13353-017-0392-7.</w:t>
      </w:r>
    </w:p>
    <w:p>
      <w:r>
        <w:rPr>
          <w:sz w:val="18"/>
        </w:rPr>
        <w:t>[146] Wolc A, Drobik-Czwarno W, Jankowski T, et al. Accuracy of genomic prediction of shell quality in a White Leghorn line [J]. Poultry Science, 2020, 99(6): 2833-2840. DOI: 10.1016/j.psj.2020.01.019.</w:t>
      </w:r>
    </w:p>
    <w:p>
      <w:r>
        <w:rPr>
          <w:sz w:val="18"/>
        </w:rPr>
        <w:t>[147] Liu T, Qu H, Luo C, et al. Genomic selection for the improvement of antibody response to Newcastle disease and avian influenza virus in chickens [J]. PLOS ONE, 2014, 9(11): e112685. DOI: 10.1371/journal.pone.0112685.</w:t>
      </w:r>
    </w:p>
    <w:p>
      <w:r>
        <w:rPr>
          <w:sz w:val="18"/>
        </w:rPr>
        <w:t>[148] Hellmich H L, Sid H, Lengyel K, Flisikowski K, Schusser B. Acquiring resistance against a retroviral infection via CRISPR/Cas9 targeted genome editing in a commercial chicken line [J]. Frontiers in Genome Editing, 2020, 2: 3. DOI: 10.3389/fgeed.2020.00003.</w:t>
      </w:r>
    </w:p>
    <w:p>
      <w:r>
        <w:rPr>
          <w:sz w:val="18"/>
        </w:rPr>
        <w:t>[149] Van Eenennaam A L, De Figueiredo Silva F, Trott J F, Zilberman D. Genetic engineering of livestock: the opportunity cost of regulatory delay [J]. Annual Review of Animal Biosciences, 2021, 9: 453-478.</w:t>
      </w:r>
    </w:p>
    <w:p>
      <w:r>
        <w:rPr>
          <w:sz w:val="18"/>
        </w:rPr>
        <w:t>[150] U.S. Food and Drug Administration. Intentional Genomic Alterations (IGAs) in Animals [EB/OL]. [2026-05-19]. https://www.fda.gov/animal-veterinary/biotechnology-products-cvm-animals-and-animal-food/intentional-genomic-alterations-igas-animals.</w:t>
      </w:r>
    </w:p>
    <w:p>
      <w:r>
        <w:rPr>
          <w:sz w:val="18"/>
        </w:rPr>
        <w:t>[151] European Commission. New techniques in biotechnology [EB/OL]. [2026-05-19]. https://food.ec.europa.eu/plants/genetically-modified-organisms/new-techniques-biotechnology_en.</w:t>
      </w:r>
    </w:p>
    <w:p>
      <w:r>
        <w:rPr>
          <w:sz w:val="18"/>
        </w:rPr>
        <w:t>[152] 中华人民共和国农业农村部. 对十四届全国人大一次会议第3420号建议的答复摘要 [EB/OL]. 2023-08-11 [2026-05-19]. https://www.moa.gov.cn/govpublic/KJJYS/202308/t20230811_6434120.htm.</w:t>
      </w:r>
    </w:p>
    <w:p>
      <w:r>
        <w:rPr>
          <w:sz w:val="18"/>
        </w:rPr>
        <w:t>[153] 中华人民共和国农业农村部. 农业转基因生物安全评价管理办法（2022年1月21日修订版）[EB/OL]. 2022-01-21 [2026-05-25]. http://www.moa.gov.cn/ztzl/zjyqwgz/zcfg/202206/t20220607_6401864.htm.</w:t>
      </w:r>
    </w:p>
    <w:p>
      <w:r>
        <w:rPr>
          <w:sz w:val="18"/>
        </w:rPr>
        <w:t>[154] Ko J H, Jin H K, Asano A, et al. Polymorphisms and the differential antiviral activity of the chicken Mx gene [J]. Genome Research, 2002, 12(4): 595-601.</w:t>
      </w:r>
    </w:p>
    <w:p>
      <w:r>
        <w:rPr>
          <w:sz w:val="18"/>
        </w:rPr>
        <w:t>[155] Cheng H H, Kaiser P, Lamont S J. Integrated genomic approaches to enhance genetic resistance in chickens [J]. Annual Review of Animal Biosciences, 2013, 1: 239-260.</w:t>
      </w:r>
    </w:p>
    <w:p>
      <w:r>
        <w:rPr>
          <w:sz w:val="18"/>
        </w:rPr>
        <w:t>[156] Lamont S J, Pinard-van der Laan M H, Cahaner A, et al. Selection for disease resistance: direct selection on the immune response [M]. In: Muir W M, Aggrey S E, eds. Poultry Genetics, Breeding and Biotechnology. CABI, 2003: 399-418.</w:t>
      </w:r>
    </w:p>
    <w:p>
      <w:r>
        <w:rPr>
          <w:sz w:val="18"/>
        </w:rPr>
        <w:t>[157] Liu B, Liu H, Tu J, et al. An investigation of machine learning methods applied to genomic prediction in yellow-feathered broilers [J]. Poultry Science, 2025, 104(1): 104489. DOI: 10.1016/j.psj.2024.104489.</w:t>
      </w:r>
    </w:p>
    <w:p>
      <w:r>
        <w:rPr>
          <w:sz w:val="18"/>
        </w:rPr>
        <w:t>[158] Meng S, Miao A, Wu S, et al. Genetically modified chickens as bioreactors for protein-based drugs [J]. Frontiers in Genome Editing, 2025, 6: 1522837. DOI: 10.3389/fgeed.2024.1522837.</w:t>
      </w:r>
    </w:p>
    <w:p>
      <w:r>
        <w:rPr>
          <w:sz w:val="18"/>
        </w:rPr>
        <w:t>[159] Galli R, Preusse G, Uckermann O, Bartels T, Krautwald-Junghanns M E, Koch E, Steiner G. In ovo sexing of chicken eggs by fluorescence spectroscopy [J]. Analytical and Bioanalytical Chemistry, 2017, 409(5): 1185-1194.</w:t>
      </w:r>
    </w:p>
    <w:p>
      <w:r>
        <w:rPr>
          <w:sz w:val="18"/>
        </w:rPr>
        <w:t>[160] Smith C A, Roeszler K N, Ohnesorg T, et al. The avian Z-linked gene DMRT1 is required for male sex determination in the chicken [J]. Nature, 2009, 461(7261): 267-271. DOI: 10.1038/nature08298.</w:t>
      </w:r>
    </w:p>
    <w:sectPr w:rsidR="00FC693F" w:rsidRPr="0006063C" w:rsidSect="00034616">
      <w:pgSz w:w="11906" w:h="16838"/>
      <w:pgMar w:top="1304" w:right="1361" w:bottom="130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60"/>
      <w:ind w:firstLine="420"/>
    </w:pPr>
    <w:rPr>
      <w:rFonts w:ascii="Times New Roman" w:hAnsi="Times New Roman" w:eastAsia="Noto Serif CJK S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288" w:lineRule="auto"/>
      <w:ind w:firstLine="0"/>
      <w:outlineLvl w:val="0"/>
    </w:pPr>
    <w:rPr>
      <w:rFonts w:asciiTheme="majorHAnsi" w:eastAsiaTheme="majorEastAsia" w:hAnsiTheme="majorHAnsi" w:cstheme="majorBidi" w:ascii="Times New Roman" w:hAnsi="Times New Roman" w:eastAsia="Noto Serif CJK SC"/>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80" w:line="288" w:lineRule="auto"/>
      <w:ind w:firstLine="0"/>
      <w:outlineLvl w:val="1"/>
    </w:pPr>
    <w:rPr>
      <w:rFonts w:asciiTheme="majorHAnsi" w:eastAsiaTheme="majorEastAsia" w:hAnsiTheme="majorHAnsi" w:cstheme="majorBidi" w:ascii="Times New Roman" w:hAnsi="Times New Roman" w:eastAsia="Noto Serif CJK SC"/>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160" w:after="80" w:line="288" w:lineRule="auto"/>
      <w:ind w:firstLine="0"/>
      <w:outlineLvl w:val="2"/>
    </w:pPr>
    <w:rPr>
      <w:rFonts w:asciiTheme="majorHAnsi" w:eastAsiaTheme="majorEastAsia" w:hAnsiTheme="majorHAnsi" w:cstheme="majorBidi" w:ascii="Times New Roman" w:hAnsi="Times New Roman" w:eastAsia="Noto Serif CJK SC"/>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_CN">
    <w:name w:val="Caption_CN"/>
    <w:pPr>
      <w:spacing w:line="288" w:lineRule="auto" w:before="120" w:after="120"/>
      <w:ind w:firstLine="0"/>
    </w:pPr>
    <w:rPr>
      <w:rFonts w:ascii="Times New Roman" w:hAnsi="Times New Roman" w:eastAsia="Noto Serif CJK SC"/>
      <w:b w:val="0"/>
      <w:sz w:val="18"/>
    </w:rPr>
  </w:style>
  <w:style w:type="paragraph" w:customStyle="1" w:styleId="Reference_CN">
    <w:name w:val="Reference_CN"/>
    <w:pPr>
      <w:spacing w:line="264" w:lineRule="auto" w:after="20"/>
      <w:ind w:firstLine="0" w:left="0"/>
    </w:pPr>
    <w:rPr>
      <w:rFonts w:ascii="Times New Roman" w:hAnsi="Times New Roman" w:eastAsia="Noto Serif CJK SC"/>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家鸡复杂性状候选位点的证据成熟度分级、功能验证与育种转化</dc:title>
  <dc:subject/>
  <dc:creator>董一行</dc:creator>
  <cp:keywords/>
  <dc:description>generated by python-docx</dc:description>
  <cp:lastModifiedBy>董一行</cp:lastModifiedBy>
  <cp:revision>1</cp:revision>
  <dcterms:created xsi:type="dcterms:W3CDTF">2013-12-23T23:15:00Z</dcterms:created>
  <dcterms:modified xsi:type="dcterms:W3CDTF">2013-12-23T23:15:00Z</dcterms:modified>
  <cp:category/>
</cp:coreProperties>
</file>