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 xml:space="preserve">因此，本文采用“硬性门槛优先，总分辅助”的判断逻辑。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轴必须独立处理：variant-level A 解决“自然变异是否具有强证据”，gene/target-level A 解决“基因或靶点是否具有强功能作用”，T 轴解决“是否适合具体育种应用”。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Fleiss, J. L. 1971. Measuring nominal scale agreement among many raters. Psychological Bulletin 76:378-382. https://doi.org/10.1037/h0031619.</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McHugh, M. L. 2012. Interrater reliability: the kappa statistic. Biochemia Medica 22:276-282. https://doi.org/10.11613/BM.2012.031.</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