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第 2 章讨论了候选信号不能直接等同于因果位点。本章进一步把这种判断转化为可操作的证据成熟度框架，为候选位点的证据强度和应用边界提供一种更清楚的讨论语言。</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pPr>
      <w: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pPr>
      <w:r>
        <w:t>表 1 家鸡候选位点证据等级（C/B/B+/A）在四个证据维度上的典型判定特征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经验上，T2 至少要求：(1) 跨世代稳定性数据（不少于 2 代）；(2) 跨环境或跨场验证；(3) 与多性状选择指数的协调性评估；(4) 经济权重在该应用场景下的明确化。任一项缺失，原则上应保留在 T1 阶段。</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pPr>
      <w: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pPr>
      <w: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pPr>
      <w: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pPr>
      <w: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pPr>
      <w: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pPr>
      <w: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pPr>
      <w: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pPr>
      <w: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r>
              <w:t>B+–A（gene/target，依 ALV 亚群和验证模型限定）+ B–B+（variant）</w:t>
            </w:r>
          </w:p>
        </w:tc>
        <w:tc>
          <w:tcPr/>
          <w:p>
            <w:pPr>
              <w:pStyle w:val="Compact"/>
              <w:jc w:val="left"/>
            </w:pPr>
            <w:r>
              <w:t xml:space="preserve">T0–T1</w:t>
            </w:r>
          </w:p>
        </w:tc>
        <w:tc>
          <w:tcPr/>
          <w:p>
            <w:r>
              <w:t>NHE1 编辑和 TVB 自然移码突变等受体机制证据；特定 ALV 亚群中易感性改变较明确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r>
        <w:tc>
          <w:tcPr>
            <w:tcW w:type="dxa" w:w="1131"/>
          </w:tcPr>
          <w:p>
            <w:r>
              <w:t>NDV / IBDV / IBV 相关候选区域</w:t>
            </w:r>
          </w:p>
        </w:tc>
        <w:tc>
          <w:tcPr>
            <w:tcW w:type="dxa" w:w="1131"/>
          </w:tcPr>
          <w:p>
            <w:r>
              <w:t>新城疫 / 传染性法氏囊病 / 传染性支气管炎</w:t>
            </w:r>
          </w:p>
        </w:tc>
        <w:tc>
          <w:tcPr>
            <w:tcW w:type="dxa" w:w="1131"/>
          </w:tcPr>
          <w:p>
            <w:r>
              <w:t>region/gene-level</w:t>
            </w:r>
          </w:p>
        </w:tc>
        <w:tc>
          <w:tcPr>
            <w:tcW w:type="dxa" w:w="1131"/>
          </w:tcPr>
          <w:p>
            <w:r>
              <w:t>C–B</w:t>
            </w:r>
          </w:p>
        </w:tc>
        <w:tc>
          <w:tcPr>
            <w:tcW w:type="dxa" w:w="1131"/>
          </w:tcPr>
          <w:p>
            <w:r>
              <w:t>T0</w:t>
            </w:r>
          </w:p>
        </w:tc>
        <w:tc>
          <w:tcPr>
            <w:tcW w:type="dxa" w:w="1131"/>
          </w:tcPr>
          <w:p>
            <w:r>
              <w:t>抗体应答、感染后免疫反应或挑战模型中的 GWAS/转录组候选信号</w:t>
            </w:r>
          </w:p>
        </w:tc>
        <w:tc>
          <w:tcPr>
            <w:tcW w:type="dxa" w:w="1131"/>
          </w:tcPr>
          <w:p>
            <w:r>
              <w:t>病原株、疫苗背景、感染模型和表型终点异质性强；缺少明确变异和跨场景验证</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pPr>
      <w: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pPr>
      <w: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pPr>
      <w: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r>
              <w:t>羽型和形态相关位点（如 KRT75、TBX5/PITX1 调控区、PRLR/SPEF2 等）</w:t>
            </w:r>
          </w:p>
        </w:tc>
        <w:tc>
          <w:tcPr/>
          <w:p>
            <w:r>
              <w:t>卷羽、毛脚或胫羽、羽速等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等位基因特异表达（ASE）、coloc、报告基因阳性等调控候选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MPRA、CRISPR 筛选或单细胞扰动命中</w:t>
            </w:r>
          </w:p>
        </w:tc>
        <w:tc>
          <w:tcPr/>
          <w:p>
            <w:pPr>
              <w:pStyle w:val="Compact"/>
              <w:jc w:val="left"/>
            </w:pPr>
            <w:r>
              <w:t>单基因验证、机制确认和目标组织验证；未完成体内因果验证</w:t>
            </w:r>
          </w:p>
        </w:tc>
        <w:tc>
          <w:tcPr/>
          <w:p>
            <w:pPr>
              <w:pStyle w:val="Compact"/>
              <w:jc w:val="left"/>
            </w:pPr>
            <w:r>
              <w:t>B+</w:t>
            </w:r>
          </w:p>
        </w:tc>
      </w:tr>
      <w:tr>
        <w:tc>
          <w:tcPr/>
          <w:p>
            <w:pPr>
              <w:pStyle w:val="Compact"/>
              <w:jc w:val="left"/>
            </w:pPr>
            <w:r>
              <w:t>MPRA、CRISPR 筛选或单细胞扰动命中</w:t>
            </w:r>
          </w:p>
        </w:tc>
        <w:tc>
          <w:tcPr/>
          <w:p>
            <w:pPr>
              <w:pStyle w:val="Compact"/>
              <w:jc w:val="left"/>
            </w:pPr>
            <w:r>
              <w:t>单基因验证、内源验证、目标组织和体内因果验证；完成体内因果验证</w:t>
            </w:r>
          </w:p>
        </w:tc>
        <w:tc>
          <w:tcPr/>
          <w:p>
            <w:pPr>
              <w:pStyle w:val="Compact"/>
              <w:jc w:val="left"/>
            </w:pPr>
            <w:r>
              <w:t>gene/target-level A</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pPr>
      <w: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pPr>
      <w:r>
        <w:t xml:space="preserve">5.2 从报告基因和细胞模型到内源编辑</w:t>
      </w:r>
    </w:p>
    <w:p>
      <w:pPr>
        <w:pStyle w:val="FirstParagraph"/>
      </w:pPr>
      <w: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rPr>
        <w:t>1. 候选构建</w:t>
      </w:r>
      <w:r>
        <w:t>：利用 GWAS、QTL、选择扫描、多组学共定位和功能注释建立候选位点集合。</w:t>
      </w:r>
    </w:p>
    <w:p>
      <w:pPr>
        <w:pStyle w:val="Compact"/>
        <w:numPr>
          <w:ilvl w:val="0"/>
          <w:numId w:val="1001"/>
        </w:numPr>
      </w:pPr>
      <w:r>
        <w:rPr>
          <w:b/>
        </w:rPr>
        <w:t>2. 优先排序</w:t>
      </w:r>
      <w:r>
        <w:t>：利用 MPRA、CRISPR 筛选、单细胞扰动或其他高通量实验识别高验证价值候选。</w:t>
      </w:r>
    </w:p>
    <w:p>
      <w:pPr>
        <w:pStyle w:val="Compact"/>
        <w:numPr>
          <w:ilvl w:val="0"/>
          <w:numId w:val="1001"/>
        </w:numPr>
      </w:pPr>
      <w:r>
        <w:rPr>
          <w:b/>
        </w:rPr>
        <w:t>3. 机制确认</w:t>
      </w:r>
      <w:r>
        <w:t>：通过等位基因特异表达、共定位、报告基因、细胞模型和调控元件验证确认候选机制。</w:t>
      </w:r>
    </w:p>
    <w:p>
      <w:pPr>
        <w:pStyle w:val="Compact"/>
        <w:numPr>
          <w:ilvl w:val="0"/>
          <w:numId w:val="1001"/>
        </w:numPr>
      </w:pPr>
      <w:r>
        <w:rPr>
          <w:b/>
        </w:rPr>
        <w:t>4. 因果定性</w:t>
      </w:r>
      <w:r>
        <w:t>：通过内源编辑、PGC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rPr>
        <w:t>SLCO1B3 EAV-HP 插入：variant-level A / T2 的成熟 MAS 应用。</w:t>
      </w:r>
      <w:r>
        <w:br/>
      </w:r>
      <w: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pPr>
      <w:r>
        <w:t xml:space="preserve">与 SLCO1B3 这种已经达到 T2 的成熟应用案例不同，多数复杂经济性状的代表位点目前仍停留在 B+ 或 B 级。</w:t>
      </w:r>
    </w:p>
    <w:p>
      <w:pPr>
        <w:pStyle w:val="BodyText"/>
      </w:pPr>
      <w:r>
        <w:rPr>
          <w:b/>
        </w:rPr>
        <w:t>IGF2BP1 启动子缺失：variant-level B+ / T0 的验证优先位点。</w:t>
      </w:r>
      <w:r>
        <w:br/>
      </w:r>
      <w: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rPr>
        <w:t>rs734209466–IGFBP2/IGFBP5 调控链：variant-level B+ / T0 的高优先级调控候选。</w:t>
      </w:r>
      <w:r>
        <w:br/>
      </w:r>
      <w: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rPr>
        <w:t>PHIP 非编码变异：variant-level B / T0 的产蛋机制候选。</w:t>
      </w:r>
      <w:r>
        <w:br/>
      </w:r>
      <w: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rPr>
        <w:t>MHC-B 单倍型：haplotype/region-level B+ / T1 的特定疾病风险层。</w:t>
      </w:r>
      <w:r>
        <w:br/>
      </w:r>
      <w: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rPr>
        <w:t>ANP32A：gene/target-level A 与 variant-level B–C 并存的非对称证据。</w:t>
      </w:r>
      <w:r>
        <w:br/>
      </w:r>
      <w: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 xml:space="preserve">7 瓶颈、未来方向与结论</w:t>
      </w:r>
    </w:p>
    <w:p>
      <w:pPr>
        <w:pStyle w:val="BodyText"/>
      </w:pPr>
      <w: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pPr>
      <w:r>
        <w:t xml:space="preserve">7.1 证据格局背后的三类瓶颈</w:t>
      </w:r>
    </w:p>
    <w:p>
      <w:pPr>
        <w:pStyle w:val="BodyText"/>
      </w:pPr>
      <w:r>
        <w:t xml:space="preserve">家鸡复杂经济性状证据上限偏低，不是研究投入不足的简单结果，而是三类结构性瓶颈共同作用的产物。</w:t>
      </w:r>
    </w:p>
    <w:p>
      <w:pPr>
        <w:pStyle w:val="BodyText"/>
      </w:pPr>
      <w: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pPr>
      <w: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pPr>
      <w: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pPr>
      <w:r>
        <w:t xml:space="preserve">7.2 最可能改变证据分布的方向</w:t>
      </w:r>
    </w:p>
    <w:p>
      <w:pPr>
        <w:pStyle w:val="BodyText"/>
      </w:pPr>
      <w:r>
        <w:t xml:space="preserve">与上述瓶颈相对，未来若干进展有可能系统性地改变家鸡候选位点的证据分布。它们的共同特征是：改变的不是候选信号的数量，而是证据沿四个维度向上移动的能力。</w:t>
      </w:r>
    </w:p>
    <w:p>
      <w:pPr>
        <w:pStyle w:val="BodyText"/>
      </w:pPr>
      <w: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pPr>
      <w: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pPr>
      <w: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pPr>
      <w: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pPr>
      <w:r>
        <w:t xml:space="preserve">7.3 结论</w:t>
      </w:r>
    </w:p>
    <w:p>
      <w:pPr>
        <w:pStyle w:val="BodyText"/>
      </w:pPr>
      <w: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pPr>
      <w: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pPr>
      <w: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pPr>
      <w:r>
        <w:t>参考文献</w:t>
      </w:r>
    </w:p>
    <w:p>
      <w:pPr>
        <w:pStyle w:val="Heading2"/>
      </w:pPr>
      <w:r>
        <w:t>Animal QTLdb. Chicken QTLdb summary data by year and release. Release 58 (Dec. 29, 2025). https://www.animalgenome.org/cgi-bin/QTLdb/GG/summary?statu=&amp;summ=year. Accessed May 31, 2026.</w:t>
      </w:r>
    </w:p>
    <w:p>
      <w:pPr>
        <w:pStyle w:val="Heading2"/>
      </w:pPr>
      <w:r>
        <w:t>Briles, W. E., and Briles, R. W. 1982. Identification of haplotypes of the chicken major histocompatibility complex (B). Immunogenetics 15:449-459. https://doi.org/10.1007/BF00345904.</w:t>
      </w:r>
    </w:p>
    <w:p>
      <w:pPr>
        <w:pStyle w:val="Heading2"/>
      </w:pPr>
      <w:r>
        <w:t>Calenge, F., Kaiser, P., Vignal, A., and Beaumont, C. 2010. Genetic control of resistance to salmonellosis and to Salmonella carrier-state in fowl: a review. Genetics Selection Evolution 42:11. https://doi.org/10.1186/1297-9686-42-11.</w:t>
      </w:r>
    </w:p>
    <w:p>
      <w:pPr>
        <w:pStyle w:val="Heading2"/>
      </w:pPr>
      <w:r>
        <w:t>Dorshorst, B., Molin, A.-M., Rubin, C.-J., et al. 2011. A complex genomic rearrangement involving the endothelin 3 locus causes dermal hyperpigmentation in the chicken. PLoS Genetics 7:e1002412. https://doi.org/10.1371/journal.pgen.1002412.</w:t>
      </w:r>
    </w:p>
    <w:p>
      <w:pPr>
        <w:pStyle w:val="Heading2"/>
      </w:pPr>
      <w:r>
        <w:t>Elferink, M. G., Vallee, A. A., Jungerius, A. P., Crooijmans, R. P. M. A., and Groenen, M. A. M. 2008. Partial duplication of the PRLR and SPEF2 genes at the late feathering locus in chicken. BMC Genomics 9:391. https://doi.org/10.1186/1471-2164-9-391.</w:t>
      </w:r>
    </w:p>
    <w:p>
      <w:pPr>
        <w:pStyle w:val="Heading2"/>
      </w:pPr>
      <w:r>
        <w:t>Eriksson, J., Larson, G., Gunnarsson, U., et al. 2008. Identification of the yellow skin gene reveals a hybrid origin of the domestic chicken. PLoS Genetics 4:e1000010. https://doi.org/10.1371/journal.pgen.1000010.</w:t>
      </w:r>
    </w:p>
    <w:p>
      <w:pPr>
        <w:pStyle w:val="Heading2"/>
      </w:pPr>
      <w:r>
        <w:t>Fleiss, J. L. 1971. Measuring nominal scale agreement among many raters. Psychological Bulletin 76:378-382. https://doi.org/10.1037/h0031619.</w:t>
      </w:r>
    </w:p>
    <w:p>
      <w:pPr>
        <w:pStyle w:val="Heading2"/>
      </w:pPr>
      <w:r>
        <w:t>Fu, Y., Wu, C., Shen, M., Pan, J., Zhang, H., Sun, L., Liang, S., and Huang, X. 2023. Genome-wide association study of egg production traits in Shuanglian chickens using whole genome sequencing. Genes 14:2129. https://doi.org/10.3390/genes14122129.</w:t>
      </w:r>
    </w:p>
    <w:p>
      <w:pPr>
        <w:pStyle w:val="Heading2"/>
      </w:pPr>
      <w:r>
        <w:t>Gao, Y., Xu, G., Zeng, T., Tian, Y., Wu, P., Liu, Y., Zhao, Y., and Zhou, S. 2022. Genome-wide association study of egg-laying traits and egg quality in LingKun chickens. Frontiers in Veterinary Science 9:877739. https://doi.org/10.3389/fvets.2022.877739.</w:t>
      </w:r>
    </w:p>
    <w:p>
      <w:pPr>
        <w:pStyle w:val="Heading2"/>
      </w:pPr>
      <w:r>
        <w:t>Giambartolomei, C., Vukcevic, D., Schadt, E. E., et al. 2014. Bayesian test for colocalisation between pairs of genetic association studies using summary statistics. PLoS Genetics 10:e1004383. https://doi.org/10.1371/journal.pgen.1004383.</w:t>
      </w:r>
    </w:p>
    <w:p>
      <w:pPr>
        <w:pStyle w:val="Heading2"/>
      </w:pPr>
      <w:r>
        <w:t>Guyatt, G. H., Oxman, A. D., Vist, G. E., et al. 2008. GRADE: an emerging consensus on rating quality of evidence and strength of recommendations. BMJ 336:924-926. https://doi.org/10.1136/bmj.39489.470347.AD.</w:t>
      </w:r>
    </w:p>
    <w:p>
      <w:pPr>
        <w:pStyle w:val="Heading2"/>
      </w:pPr>
      <w: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pPr>
      <w:r>
        <w:t>Hormozdiari, F., van de Bunt, M., Segre, A. V., et al. 2016. Colocalization of GWAS and eQTL signals detects target genes. American Journal of Human Genetics 99:1245-1260. https://doi.org/10.1016/j.ajhg.2016.10.003.</w:t>
      </w:r>
    </w:p>
    <w:p>
      <w:pPr>
        <w:pStyle w:val="Heading2"/>
      </w:pPr>
      <w:r>
        <w:t>Hu, Z.-L., Park, C. A., and Reecy, J. M. 2016. Developmental progress and current status of the Animal QTLdb. Nucleic Acids Research 44:D827-D833. https://doi.org/10.1093/nar/gkv1233.</w:t>
      </w:r>
    </w:p>
    <w:p>
      <w:pPr>
        <w:pStyle w:val="Heading2"/>
      </w:pPr>
      <w:r>
        <w:t>Idoko-Akoh, A., Goldhill, D. H., Sheppard, C. M., et al. 2023. Creating resistance to avian influenza infection through genome editing of the ANP32 gene family. Nature Communications 14:6136. https://doi.org/10.1038/s41467-023-41476-3.</w:t>
      </w:r>
    </w:p>
    <w:p>
      <w:pPr>
        <w:pStyle w:val="Heading2"/>
      </w:pPr>
      <w:r>
        <w:t>Imsland, F., Feng, C., Boije, H., et al. 2012. The Rose-comb mutation in chickens constitutes a structural rearrangement causing both altered comb morphology and defective sperm motility. PLoS Genetics 8:e1002775. https://doi.org/10.1371/journal.pgen.1002775.</w:t>
      </w:r>
    </w:p>
    <w:p>
      <w:pPr>
        <w:pStyle w:val="Heading2"/>
      </w:pPr>
      <w:r>
        <w:t>Inoue, F., and Ahituv, N. 2015. Decoding enhancers using massively parallel reporter assays. Genomics 106:159-164. https://doi.org/10.1016/j.ygeno.2015.06.005.</w:t>
      </w:r>
    </w:p>
    <w:p>
      <w:pPr>
        <w:pStyle w:val="Heading2"/>
      </w:pPr>
      <w:r>
        <w:t>Kambadur, R., Sharma, M., Smith, T. P. L., and Bass, J. J. 1997. Mutations in myostatin (GDF8) in double-muscled Belgian Blue and Piedmontese cattle. Genome Research 7:910-916. https://doi.org/10.1101/gr.7.9.910.</w:t>
      </w:r>
    </w:p>
    <w:p>
      <w:pPr>
        <w:pStyle w:val="Heading2"/>
      </w:pPr>
      <w:r>
        <w:t>Kampmann, M. 2018. CRISPRi and CRISPRa screens in mammalian cells for precision biology and medicine. ACS Chemical Biology 13:406-416. https://doi.org/10.1021/acschembio.7b00657.</w:t>
      </w:r>
    </w:p>
    <w:p>
      <w:pPr>
        <w:pStyle w:val="Heading2"/>
      </w:pPr>
      <w:r>
        <w:t>Kang, X., Lu, Y., Zhang, H., et al. 2024. Genome-wide association study identifies a novel candidate gene for egg production traits in chickens. Animal Genetics 55:480-483. https://doi.org/10.1111/age.13427.</w:t>
      </w:r>
    </w:p>
    <w:p>
      <w:pPr>
        <w:pStyle w:val="Heading2"/>
      </w:pPr>
      <w:r>
        <w:t>Kaufman, J., Milne, S., Göbel, T. W. F., et al. 1999. The chicken B locus is a minimal essential major histocompatibility complex. Nature 401:923-925. https://doi.org/10.1038/44856.</w:t>
      </w:r>
    </w:p>
    <w:p>
      <w:pPr>
        <w:pStyle w:val="Heading2"/>
      </w:pPr>
      <w:r>
        <w:t>Kerje, S., Lind, J., Schütz, K., Jensen, P., and Andersson, L. 2003. Melanocortin 1-receptor (MC1R) mutations are associated with plumage colour in chicken. Animal Genetics 34:241-248. https://doi.org/10.1046/j.1365-2052.2003.00991.x.</w:t>
      </w:r>
    </w:p>
    <w:p>
      <w:pPr>
        <w:pStyle w:val="Heading2"/>
      </w:pPr>
      <w:r>
        <w:t>Kerje, S., Sharma, P., Gunnarsson, U., et al. 2004. The Dominant white, Dun and Smoky color variants in chicken are associated with insertion/deletion polymorphisms in the PMEL17 gene. Genetics 168:1507-1518. https://doi.org/10.1534/genetics.104.027995.</w:t>
      </w:r>
    </w:p>
    <w:p>
      <w:pPr>
        <w:pStyle w:val="Heading2"/>
      </w:pPr>
      <w:r>
        <w:t>Kim, D. K., Hong, Y. H., Lillehoj, H. S., and Lee, S. H. 2010. Genetic effects analysis of myeloid leukemia factor 2 and T cell receptor-β on resistance to coccidiosis in chickens. Poultry Science 89:20-27. https://doi.org/10.3382/ps.2009-00351.</w:t>
      </w:r>
    </w:p>
    <w:p>
      <w:pPr>
        <w:pStyle w:val="Heading2"/>
      </w:pPr>
      <w:r>
        <w:t>Lee, H. J., Lee, K. Y., Jung, K. M., et al. 2017. Precise gene editing of chicken Na+/H+ exchange type 1 (chNHE1) confers resistance to avian leukosis virus subgroup J (ALV-J). Developmental and Comparative Immunology 77:340-349. https://doi.org/10.1016/j.dci.2017.09.006.</w:t>
      </w:r>
    </w:p>
    <w:p>
      <w:pPr>
        <w:pStyle w:val="Heading2"/>
      </w:pPr>
      <w: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pPr>
      <w:r>
        <w:t>Li, G., Chen, S., Duan, Z., Qu, L., Xu, G., and Yang, N. 2013. Comparison of protoporphyrin IX content and related gene expression in the tissues of chickens laying brown-shelled eggs. Poultry Science 92:3120-3124. https://doi.org/10.3382/ps.2013-03484.</w:t>
      </w:r>
    </w:p>
    <w:p>
      <w:pPr>
        <w:pStyle w:val="Heading2"/>
      </w:pPr>
      <w:r>
        <w:t>Li, J., Lee, M. O., Davis, B. W., et al. 2020. Mutations upstream of the TBX5 and PITX1 transcription factor genes are associated with feathered legs in the domestic chicken. Molecular Biology and Evolution 37:2477-2486. https://doi.org/10.1093/molbev/msaa093.</w:t>
      </w:r>
    </w:p>
    <w:p>
      <w:pPr>
        <w:pStyle w:val="Heading2"/>
      </w:pPr>
      <w: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pPr>
      <w:r>
        <w:t>Liu, R., Luo, C., Wang, Z., et al. 2017. Assessment of the genomic prediction accuracy for feed efficiency traits in meat-type chickens. PLoS ONE 12:e0173620. https://doi.org/10.1371/journal.pone.0173620.</w:t>
      </w:r>
    </w:p>
    <w:p>
      <w:pPr>
        <w:pStyle w:val="Heading2"/>
      </w:pPr>
      <w:r>
        <w:t>Luo, C., Qu, H., Ma, J., et al. 2013. Genome-wide association study of antibody response to Newcastle disease virus in chicken. BMC Genetics 14:42. https://doi.org/10.1186/1471-2156-14-42.</w:t>
      </w:r>
    </w:p>
    <w:p>
      <w:pPr>
        <w:pStyle w:val="Heading2"/>
      </w:pPr>
      <w:r>
        <w:t>Luo, C., Qu, H., Ma, J., et al. 2014. A genome-wide association study identifies major loci affecting the immune response against infectious bronchitis virus in chicken. Infection, Genetics and Evolution 21:351-358. https://doi.org/10.1016/j.meegid.2013.12.004.</w:t>
      </w:r>
    </w:p>
    <w:p>
      <w:pPr>
        <w:pStyle w:val="Heading2"/>
      </w:pPr>
      <w:r>
        <w:t>MacLeod, I. M., Bowman, P. J., Vander Jagt, C. J., et al. 2016. Exploiting biological priors and sequence variants enhances QTL discovery and genomic prediction of complex traits. BMC Genomics 17:144. https://doi.org/10.1186/s12864-016-2443-6.</w:t>
      </w:r>
    </w:p>
    <w:p>
      <w:pPr>
        <w:pStyle w:val="Heading2"/>
      </w:pPr>
      <w:r>
        <w:t>McHugh, M. L. 2012. Interrater reliability: the kappa statistic. Biochemia Medica 22:276-282. https://doi.org/10.11613/BM.2012.031.</w:t>
      </w:r>
    </w:p>
    <w:p>
      <w:pPr>
        <w:pStyle w:val="Heading2"/>
      </w:pPr>
      <w: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pPr>
      <w:r>
        <w:t>Ng, C. S., Wu, P., Foley, J., et al. 2012. The chicken frizzle feather is due to an α-keratin (KRT75) mutation that causes a defective rachis. PLoS Genetics 8:e1002748. https://doi.org/10.1371/journal.pgen.1002748.</w:t>
      </w:r>
    </w:p>
    <w:p>
      <w:pPr>
        <w:pStyle w:val="Heading2"/>
      </w:pPr>
      <w:r>
        <w:t>Rehm, H. L., Berg, J. S., Brooks, L. D., et al. 2015. ClinGen--the Clinical Genome Resource. New England Journal of Medicine 372:2235-2242. https://doi.org/10.1056/NEJMsr1406261.</w:t>
      </w:r>
    </w:p>
    <w:p>
      <w:pPr>
        <w:pStyle w:val="Heading2"/>
      </w:pPr>
      <w:r>
        <w:t>Rice, E. S., Alberdi, A., Alfieri, J., et al. 2023. A pangenome graph reference of 30 chicken genomes allows genotyping of large and complex structural variants. BMC Biology 21:267. https://doi.org/10.1186/s12915-023-01758-0.</w:t>
      </w:r>
    </w:p>
    <w:p>
      <w:pPr>
        <w:pStyle w:val="Heading2"/>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pPr>
      <w:r>
        <w:t>Rubin, C.-J., Zody, M. C., Eriksson, J., et al. 2010. Whole-genome resequencing reveals loci under selection during chicken domestication. Nature 464:587-591. https://doi.org/10.1038/nature08832.</w:t>
      </w:r>
    </w:p>
    <w:p>
      <w:pPr>
        <w:pStyle w:val="Heading2"/>
      </w:pPr>
      <w:r>
        <w:t>Samiullah, S., and Roberts, J. R. 2015. Eggshell color in brown-egg laying hens: a review. Poultry Science 94:2566-2575. https://doi.org/10.3382/ps/pev202.</w:t>
      </w:r>
    </w:p>
    <w:p>
      <w:pPr>
        <w:pStyle w:val="Heading2"/>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pPr>
      <w: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pPr>
      <w: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pPr>
      <w:r>
        <w:t>Tohidi, R., Idris, I. B., Malar Panandam, J., and Hair Bejo, M. 2013. The effects of polymorphisms in 7 candidate genes on resistance to Salmonella Enteritidis in native chickens. Poultry Science 92:900-909. https://doi.org/10.3382/ps.2012-02797.</w:t>
      </w:r>
    </w:p>
    <w:p>
      <w:pPr>
        <w:pStyle w:val="Heading2"/>
      </w:pPr>
      <w:r>
        <w:t>van de Lavoir, M.-C., Diamond, J. H., Leighton, P. A., et al. 2006. Germline transmission of genetically modified primordial germ cells. Nature 441:766-769. https://doi.org/10.1038/nature04831.</w:t>
      </w:r>
    </w:p>
    <w:p>
      <w:pPr>
        <w:pStyle w:val="Heading2"/>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pPr>
      <w:r>
        <w:t>Wang, K., Hu, H., Tian, Y., et al. 2021. The chicken pan-genome reveals gene content variation and a promoter region deletion in IGF2BP1 affecting body size. Molecular Biology and Evolution 38:5066-5081. https://doi.org/10.1093/molbev/msab231.</w:t>
      </w:r>
    </w:p>
    <w:p>
      <w:pPr>
        <w:pStyle w:val="Heading2"/>
      </w:pPr>
      <w:r>
        <w:t>Wang, Y., Brahmakshatriya, V., Lupiani, B., et al. 2012. Associations of chicken Mx1 polymorphism with antiviral responses in avian influenza virus infected embryos and broilers. Poultry Science 91:3019-3024. https://doi.org/10.3382/ps.2012-02471.</w:t>
      </w:r>
    </w:p>
    <w:p>
      <w:pPr>
        <w:pStyle w:val="Heading2"/>
      </w:pPr>
      <w:r>
        <w:t>Wang, Y., Reid, A., Wilson, P. W., and Dunn, I. C. 2022. Identification of the core promoter and variants regulating chicken CCKAR expression. Genes 13:1083. https://doi.org/10.3390/genes13061083.</w:t>
      </w:r>
    </w:p>
    <w:p>
      <w:pPr>
        <w:pStyle w:val="Heading2"/>
      </w:pPr>
      <w:r>
        <w:t>Wang, Z., Qu, L., Yao, J., et al. 2013. An EAV-HP insertion in 5 flanking region of SLCO1B3 causes blue eggshell in the chicken. PLoS Genetics 9:e1003183. https://doi.org/10.1371/journal.pgen.1003183.</w:t>
      </w:r>
    </w:p>
    <w:p>
      <w:pPr>
        <w:pStyle w:val="Heading2"/>
      </w:pPr>
      <w:r>
        <w:t>Wang, Z., and Zhou, Z. 2021. Research note: Fine mapping of sequence variants associated with body weight of Lueyang black-boned chicken in the CCKAR gene. Poultry Science 100:101448. https://doi.org/10.1016/j.psj.2021.101448.</w:t>
      </w:r>
    </w:p>
    <w:p>
      <w:pPr>
        <w:pStyle w:val="Heading2"/>
      </w:pPr>
      <w:r>
        <w:t>Whyte, J., Glover, J. D., Woodcock, M., et al. 2015. FGF, insulin, and SMAD signaling cooperate for avian primordial germ cell self-renewal. Stem Cell Reports 5:1171-1182. https://doi.org/10.1016/j.stemcr.2015.10.008.</w:t>
      </w:r>
    </w:p>
    <w:p>
      <w:pPr>
        <w:pStyle w:val="Heading2"/>
      </w:pPr>
      <w:r>
        <w:t>Wolc, A. 2014. Understanding genomic selection in poultry breeding. World's Poultry Science Journal 70:309-314. https://doi.org/10.1017/S0043933914000324.</w:t>
      </w:r>
    </w:p>
    <w:p>
      <w:pPr>
        <w:pStyle w:val="Heading2"/>
      </w:pPr>
      <w:r>
        <w:t>Wolc, A., Kranis, A., Arango, J., et al. 2016. Implementation of genomic selection in the poultry industry. Animal Frontiers 6:23-31. https://doi.org/10.2527/af.2016-0004.</w:t>
      </w:r>
    </w:p>
    <w:p>
      <w:pPr>
        <w:pStyle w:val="Heading2"/>
      </w:pPr>
      <w:r>
        <w:t>Wright, D., Boije, H., Meadows, J. R. S., et al. 2009. Copy number variation in intron 1 of SOX5 causes the pea-comb phenotype in chickens. PLoS Genetics 5:e1000512. https://doi.org/10.1371/journal.pgen.1000512.</w:t>
      </w:r>
    </w:p>
    <w:p>
      <w:pPr>
        <w:pStyle w:val="Heading2"/>
      </w:pPr>
      <w:r>
        <w:t>Xu, H., Nie, Q., and Zhang, X. 2013. Overview of genomic insights into chicken growth traits based on genome-wide association study and microRNA regulation. Current Genomics 14:137-146. https://doi.org/10.2174/1389202911314020006.</w:t>
      </w:r>
    </w:p>
    <w:p>
      <w:pPr>
        <w:pStyle w:val="Heading2"/>
      </w:pPr>
      <w:r>
        <w:t>Yang, L., Xu, L., Wang, X., et al. 2021. Genome-wide association study and genomic prediction for growth traits in yellow-plumage chicken using genotyping-by-sequencing. Genetics Selection Evolution 53:82. https://doi.org/10.1186/s12711-021-00672-9.</w:t>
      </w:r>
    </w:p>
    <w:p>
      <w:pPr>
        <w:pStyle w:val="Heading2"/>
      </w:pPr>
      <w:r>
        <w:t>Zhang, M., Li, F., Sun, J.-W., et al. 2019. LncRNA IMFNCR promotes intramuscular adipocyte differentiation by sponging miR-128-3p and miR-27b-3p. Frontiers in Genetics 10:42. https://doi.org/10.3389/fgene.2019.00042.</w:t>
      </w:r>
    </w:p>
    <w:p>
      <w:pPr>
        <w:pStyle w:val="Heading2"/>
      </w:pPr>
      <w:r>
        <w:t>Zheng, J., Li, J., Zhang, X., et al. 2022. Identification of crucial genes and metabolites regulating the eggshell brownness in chicken. BMC Genomics 23:805. https://doi.org/10.1186/s12864-022-08987-7.</w:t>
      </w:r>
    </w:p>
    <w:p>
      <w:pPr>
        <w:pStyle w:val="Heading2"/>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